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0E6E" w14:textId="3ADF4D83" w:rsidR="00457E51" w:rsidRDefault="00457E51" w:rsidP="004A56B7">
      <w:pPr>
        <w:pStyle w:val="Heading1"/>
        <w:jc w:val="center"/>
        <w:rPr>
          <w:szCs w:val="24"/>
        </w:rPr>
      </w:pPr>
      <w:r>
        <w:rPr>
          <w:noProof/>
        </w:rPr>
        <w:t xml:space="preserve">                                                                                 </w:t>
      </w:r>
      <w:r w:rsidR="008B5A06">
        <w:rPr>
          <w:noProof/>
        </w:rPr>
        <w:pict w14:anchorId="40132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0069422" o:spid="_x0000_i1025" type="#_x0000_t75" style="width:100.5pt;height:39.75pt;visibility:visible;mso-wrap-style:square">
            <v:imagedata r:id="rId11" o:title=""/>
          </v:shape>
        </w:pict>
      </w:r>
    </w:p>
    <w:p w14:paraId="0C227698" w14:textId="77777777" w:rsidR="00457E51" w:rsidRDefault="00457E51" w:rsidP="004A56B7">
      <w:pPr>
        <w:pStyle w:val="Heading1"/>
        <w:jc w:val="center"/>
        <w:rPr>
          <w:szCs w:val="24"/>
        </w:rPr>
      </w:pPr>
    </w:p>
    <w:p w14:paraId="212C5686" w14:textId="77777777" w:rsidR="00457E51" w:rsidRDefault="00457E51" w:rsidP="004A56B7">
      <w:pPr>
        <w:pStyle w:val="Heading1"/>
        <w:jc w:val="center"/>
        <w:rPr>
          <w:szCs w:val="24"/>
        </w:rPr>
      </w:pPr>
    </w:p>
    <w:p w14:paraId="3D001A16" w14:textId="77777777" w:rsidR="00A824A0" w:rsidRPr="00994207" w:rsidRDefault="004A56B7" w:rsidP="004A56B7">
      <w:pPr>
        <w:pStyle w:val="Heading1"/>
        <w:jc w:val="center"/>
        <w:rPr>
          <w:szCs w:val="24"/>
        </w:rPr>
      </w:pPr>
      <w:r w:rsidRPr="00994207">
        <w:rPr>
          <w:szCs w:val="24"/>
        </w:rPr>
        <w:t>IPND Charges</w:t>
      </w:r>
      <w:r w:rsidR="0032148D">
        <w:rPr>
          <w:szCs w:val="24"/>
        </w:rPr>
        <w:t xml:space="preserve"> for Data Users</w:t>
      </w:r>
    </w:p>
    <w:p w14:paraId="47F59BCD" w14:textId="77777777" w:rsidR="00A824A0" w:rsidRPr="00994207" w:rsidRDefault="00A824A0"/>
    <w:p w14:paraId="3466F133" w14:textId="77777777" w:rsidR="00304A4F" w:rsidRPr="00994207" w:rsidRDefault="00994207">
      <w:r w:rsidRPr="00994207">
        <w:rPr>
          <w:b/>
        </w:rPr>
        <w:t xml:space="preserve">1. </w:t>
      </w:r>
      <w:r w:rsidR="00304A4F" w:rsidRPr="00994207">
        <w:rPr>
          <w:b/>
        </w:rPr>
        <w:t xml:space="preserve">IPND Application Fee </w:t>
      </w:r>
      <w:r w:rsidR="00304A4F" w:rsidRPr="00994207">
        <w:t>(</w:t>
      </w:r>
      <w:r w:rsidR="00BB4BB7">
        <w:t>o</w:t>
      </w:r>
      <w:r w:rsidR="00304A4F" w:rsidRPr="00994207">
        <w:t>nce only)</w:t>
      </w:r>
    </w:p>
    <w:p w14:paraId="6C3FF051" w14:textId="77777777" w:rsidR="00304A4F" w:rsidRPr="00994207" w:rsidRDefault="00304A4F"/>
    <w:p w14:paraId="3BE8422D" w14:textId="77777777" w:rsidR="00482D82" w:rsidRPr="00994207" w:rsidRDefault="00482D82" w:rsidP="00482D82">
      <w:r w:rsidRPr="00994207">
        <w:t>An application fee of $3,000</w:t>
      </w:r>
      <w:r w:rsidRPr="00BB4BB7">
        <w:rPr>
          <w:vertAlign w:val="superscript"/>
        </w:rPr>
        <w:t>*</w:t>
      </w:r>
      <w:r w:rsidRPr="00994207">
        <w:t xml:space="preserve"> is payable on application. The application fee is levied by the IPND Manager </w:t>
      </w:r>
      <w:r>
        <w:t xml:space="preserve">on new Data Users </w:t>
      </w:r>
      <w:r w:rsidRPr="00994207">
        <w:t xml:space="preserve">to cover the cost of assessing the Data User’s </w:t>
      </w:r>
      <w:r>
        <w:t>A</w:t>
      </w:r>
      <w:r w:rsidRPr="00994207">
        <w:t xml:space="preserve">pplication, </w:t>
      </w:r>
      <w:r>
        <w:t xml:space="preserve">the </w:t>
      </w:r>
      <w:r w:rsidRPr="00994207">
        <w:t xml:space="preserve">provision of IPND training and providing </w:t>
      </w:r>
      <w:r>
        <w:t>a</w:t>
      </w:r>
      <w:r w:rsidRPr="00994207">
        <w:t xml:space="preserve"> Data User who is a Public Number Directory Publisher with Provisional IPND Data or Sample IPND Test Data for all other </w:t>
      </w:r>
      <w:r>
        <w:t xml:space="preserve">Data </w:t>
      </w:r>
      <w:r w:rsidRPr="00994207">
        <w:t xml:space="preserve">Users.  </w:t>
      </w:r>
    </w:p>
    <w:p w14:paraId="6BF33581" w14:textId="583F897E" w:rsidR="00304A4F" w:rsidRPr="00994207" w:rsidRDefault="00304A4F">
      <w:r w:rsidRPr="00994207">
        <w:t xml:space="preserve">  </w:t>
      </w:r>
    </w:p>
    <w:p w14:paraId="6C588D39" w14:textId="77777777" w:rsidR="004A56B7" w:rsidRPr="00994207" w:rsidRDefault="004A56B7">
      <w:pPr>
        <w:rPr>
          <w:b/>
        </w:rPr>
      </w:pPr>
    </w:p>
    <w:p w14:paraId="1C2EAB2F" w14:textId="77777777" w:rsidR="00A824A0" w:rsidRPr="00994207" w:rsidRDefault="00994207" w:rsidP="00C31F3A">
      <w:pPr>
        <w:pStyle w:val="Heading2"/>
        <w:numPr>
          <w:ilvl w:val="12"/>
          <w:numId w:val="0"/>
        </w:numPr>
      </w:pPr>
      <w:r w:rsidRPr="00994207">
        <w:t xml:space="preserve">3. </w:t>
      </w:r>
      <w:r w:rsidR="004A56B7" w:rsidRPr="00994207">
        <w:t xml:space="preserve">Communications Charge </w:t>
      </w:r>
      <w:r w:rsidR="005A0DC9" w:rsidRPr="005A0DC9">
        <w:rPr>
          <w:b w:val="0"/>
        </w:rPr>
        <w:t>(per calendar quarter)</w:t>
      </w:r>
    </w:p>
    <w:p w14:paraId="4569FE12" w14:textId="77777777" w:rsidR="00A824A0" w:rsidRPr="00994207" w:rsidRDefault="00A824A0" w:rsidP="00C31F3A">
      <w:pPr>
        <w:numPr>
          <w:ilvl w:val="12"/>
          <w:numId w:val="0"/>
        </w:numPr>
      </w:pPr>
    </w:p>
    <w:p w14:paraId="7F171E20" w14:textId="32FC3927" w:rsidR="00A824A0" w:rsidRDefault="00482D82" w:rsidP="00C31F3A">
      <w:pPr>
        <w:numPr>
          <w:ilvl w:val="12"/>
          <w:numId w:val="0"/>
        </w:numPr>
      </w:pPr>
      <w:r>
        <w:t xml:space="preserve">The Communications Charge </w:t>
      </w:r>
      <w:r w:rsidRPr="00994207">
        <w:t>of $3,969</w:t>
      </w:r>
      <w:r w:rsidRPr="00BB4BB7">
        <w:rPr>
          <w:vertAlign w:val="superscript"/>
        </w:rPr>
        <w:t>*</w:t>
      </w:r>
      <w:r w:rsidRPr="00994207">
        <w:t xml:space="preserve"> per calendar quarter</w:t>
      </w:r>
      <w:r>
        <w:t xml:space="preserve"> applies to </w:t>
      </w:r>
      <w:r w:rsidRPr="00994207">
        <w:t>Data Users</w:t>
      </w:r>
      <w:r>
        <w:t xml:space="preserve"> who are connected to the IPND via ISDN / Frame relay and Encryption Devices</w:t>
      </w:r>
      <w:r w:rsidRPr="00994207">
        <w:t xml:space="preserve">. </w:t>
      </w:r>
      <w:r>
        <w:t>The Communications Charge will still apply to Data Users who maintain an ISDN / Frame relay and Encryption Devices connection to the IPND</w:t>
      </w:r>
      <w:r w:rsidRPr="00994207">
        <w:t xml:space="preserve">. </w:t>
      </w:r>
      <w:r>
        <w:t>Data Users who are connected to the IPND exclusively via the Internet Interface Service (IIS) do not pay the Communications Charge</w:t>
      </w:r>
    </w:p>
    <w:p w14:paraId="23AAC738" w14:textId="77777777" w:rsidR="00482D82" w:rsidRPr="00994207" w:rsidRDefault="00482D82" w:rsidP="00C31F3A">
      <w:pPr>
        <w:numPr>
          <w:ilvl w:val="12"/>
          <w:numId w:val="0"/>
        </w:numPr>
      </w:pPr>
    </w:p>
    <w:p w14:paraId="4AA1D53D" w14:textId="77777777" w:rsidR="00482D82" w:rsidRPr="00994207" w:rsidRDefault="00482D82" w:rsidP="00482D82">
      <w:r w:rsidRPr="00994207">
        <w:t>Th</w:t>
      </w:r>
      <w:r>
        <w:t xml:space="preserve">e Communications Charge </w:t>
      </w:r>
      <w:r w:rsidRPr="00994207">
        <w:t>includes:</w:t>
      </w:r>
    </w:p>
    <w:p w14:paraId="3D7E666B" w14:textId="77777777" w:rsidR="00482D82" w:rsidRPr="00994207" w:rsidRDefault="00482D82" w:rsidP="00482D82">
      <w:pPr>
        <w:numPr>
          <w:ilvl w:val="0"/>
          <w:numId w:val="1"/>
        </w:numPr>
      </w:pPr>
      <w:r w:rsidRPr="00994207">
        <w:t xml:space="preserve">access to network capacity &amp; port charges at the IPND Operations </w:t>
      </w:r>
      <w:proofErr w:type="gramStart"/>
      <w:r w:rsidRPr="00994207">
        <w:t>Centre</w:t>
      </w:r>
      <w:r>
        <w:t>;</w:t>
      </w:r>
      <w:proofErr w:type="gramEnd"/>
    </w:p>
    <w:p w14:paraId="352BE7DF" w14:textId="77777777" w:rsidR="00482D82" w:rsidRPr="00994207" w:rsidRDefault="00482D82" w:rsidP="00482D82">
      <w:pPr>
        <w:numPr>
          <w:ilvl w:val="0"/>
          <w:numId w:val="1"/>
        </w:numPr>
      </w:pPr>
      <w:r w:rsidRPr="00994207">
        <w:t xml:space="preserve">infrastructure </w:t>
      </w:r>
      <w:proofErr w:type="gramStart"/>
      <w:r w:rsidRPr="00994207">
        <w:t>upgrades</w:t>
      </w:r>
      <w:r>
        <w:t>;</w:t>
      </w:r>
      <w:proofErr w:type="gramEnd"/>
    </w:p>
    <w:p w14:paraId="706B170C" w14:textId="77777777" w:rsidR="00482D82" w:rsidRPr="00994207" w:rsidRDefault="00482D82" w:rsidP="00482D82">
      <w:pPr>
        <w:numPr>
          <w:ilvl w:val="0"/>
          <w:numId w:val="1"/>
        </w:numPr>
      </w:pPr>
      <w:r w:rsidRPr="00994207">
        <w:t>security administration</w:t>
      </w:r>
      <w:r>
        <w:t>; and</w:t>
      </w:r>
    </w:p>
    <w:p w14:paraId="57601AAC" w14:textId="77777777" w:rsidR="00482D82" w:rsidRDefault="00482D82" w:rsidP="00482D82">
      <w:pPr>
        <w:numPr>
          <w:ilvl w:val="0"/>
          <w:numId w:val="1"/>
        </w:numPr>
      </w:pPr>
      <w:r w:rsidRPr="00994207">
        <w:t xml:space="preserve">24 x </w:t>
      </w:r>
      <w:proofErr w:type="gramStart"/>
      <w:r w:rsidRPr="00994207">
        <w:t>7 hour</w:t>
      </w:r>
      <w:proofErr w:type="gramEnd"/>
      <w:r w:rsidRPr="00994207">
        <w:t xml:space="preserve"> monitoring, management &amp; </w:t>
      </w:r>
      <w:r>
        <w:t>**</w:t>
      </w:r>
      <w:r w:rsidRPr="00994207">
        <w:t>support</w:t>
      </w:r>
      <w:r>
        <w:t>.</w:t>
      </w:r>
    </w:p>
    <w:p w14:paraId="2C9E47F8" w14:textId="4F3BC44B" w:rsidR="00B25836" w:rsidRDefault="00B25836" w:rsidP="00B25836"/>
    <w:p w14:paraId="13A1CA0F" w14:textId="77777777" w:rsidR="00482D82" w:rsidRPr="00994207" w:rsidRDefault="00B25836" w:rsidP="00482D82">
      <w:r>
        <w:t xml:space="preserve">** Note: </w:t>
      </w:r>
      <w:r w:rsidR="00482D82">
        <w:t xml:space="preserve">From April </w:t>
      </w:r>
      <w:proofErr w:type="gramStart"/>
      <w:r w:rsidR="00482D82">
        <w:t>30</w:t>
      </w:r>
      <w:proofErr w:type="gramEnd"/>
      <w:r w:rsidR="00482D82">
        <w:t xml:space="preserve"> 2021, Data Users who experience connection failure via their ISDN / Frame relay and Encryption Devices will no longer be provided support to restore their connection. These Data Users will be required to migrate to the Internet Interface Service (IIS) to regain their connection to the IPND.  Once they have successfully connected to the IIS and disconnected and returned their Encryption Devices will the Communication Charge cease to apply.</w:t>
      </w:r>
    </w:p>
    <w:p w14:paraId="5C55350A" w14:textId="3B2988F5" w:rsidR="00A824A0" w:rsidRDefault="00A824A0"/>
    <w:p w14:paraId="4377F9BE" w14:textId="77777777" w:rsidR="00482D82" w:rsidRPr="00994207" w:rsidRDefault="00482D82"/>
    <w:p w14:paraId="4BE0B06D" w14:textId="77777777" w:rsidR="00BB4BB7" w:rsidRDefault="00994207">
      <w:pPr>
        <w:rPr>
          <w:b/>
        </w:rPr>
      </w:pPr>
      <w:r w:rsidRPr="00994207">
        <w:rPr>
          <w:b/>
        </w:rPr>
        <w:t xml:space="preserve">4. </w:t>
      </w:r>
      <w:r w:rsidR="004A56B7" w:rsidRPr="00994207">
        <w:rPr>
          <w:b/>
        </w:rPr>
        <w:t xml:space="preserve">Annual Subscription Charge </w:t>
      </w:r>
    </w:p>
    <w:p w14:paraId="05DD1FBE" w14:textId="77777777" w:rsidR="00BB4BB7" w:rsidRDefault="00BB4BB7">
      <w:pPr>
        <w:rPr>
          <w:b/>
        </w:rPr>
      </w:pPr>
    </w:p>
    <w:p w14:paraId="0F175CD8" w14:textId="77777777" w:rsidR="00A824A0" w:rsidRPr="00BB4BB7" w:rsidRDefault="004A56B7">
      <w:r w:rsidRPr="00BB4BB7">
        <w:t>$0.01</w:t>
      </w:r>
      <w:r w:rsidR="00BB4BB7" w:rsidRPr="00BB4BB7">
        <w:rPr>
          <w:vertAlign w:val="superscript"/>
        </w:rPr>
        <w:t>*</w:t>
      </w:r>
      <w:r w:rsidRPr="00BB4BB7">
        <w:t xml:space="preserve"> per Public Number provided to the Data User per year.</w:t>
      </w:r>
      <w:r w:rsidR="00A824A0" w:rsidRPr="00BB4BB7">
        <w:t xml:space="preserve"> </w:t>
      </w:r>
    </w:p>
    <w:p w14:paraId="0E519361" w14:textId="77777777" w:rsidR="004A56B7" w:rsidRPr="00994207" w:rsidRDefault="004A56B7"/>
    <w:p w14:paraId="6A8F9999" w14:textId="77777777" w:rsidR="004A56B7" w:rsidRPr="00994207" w:rsidRDefault="004A56B7" w:rsidP="004A56B7">
      <w:pPr>
        <w:pBdr>
          <w:top w:val="single" w:sz="4" w:space="1" w:color="auto"/>
          <w:left w:val="single" w:sz="4" w:space="4" w:color="auto"/>
          <w:bottom w:val="single" w:sz="4" w:space="1" w:color="auto"/>
          <w:right w:val="single" w:sz="4" w:space="4" w:color="auto"/>
        </w:pBdr>
      </w:pPr>
      <w:r w:rsidRPr="00994207">
        <w:t>Example</w:t>
      </w:r>
    </w:p>
    <w:p w14:paraId="2204669D" w14:textId="77777777" w:rsidR="004A56B7" w:rsidRPr="00994207" w:rsidRDefault="004A56B7" w:rsidP="004A56B7">
      <w:pPr>
        <w:pBdr>
          <w:top w:val="single" w:sz="4" w:space="1" w:color="auto"/>
          <w:left w:val="single" w:sz="4" w:space="4" w:color="auto"/>
          <w:bottom w:val="single" w:sz="4" w:space="1" w:color="auto"/>
          <w:right w:val="single" w:sz="4" w:space="4" w:color="auto"/>
        </w:pBdr>
      </w:pPr>
    </w:p>
    <w:p w14:paraId="3C10619D" w14:textId="77777777" w:rsidR="00482D82" w:rsidRPr="00994207" w:rsidRDefault="00482D82" w:rsidP="00482D82">
      <w:pPr>
        <w:pBdr>
          <w:top w:val="single" w:sz="4" w:space="1" w:color="auto"/>
          <w:left w:val="single" w:sz="4" w:space="4" w:color="auto"/>
          <w:bottom w:val="single" w:sz="4" w:space="1" w:color="auto"/>
          <w:right w:val="single" w:sz="4" w:space="4" w:color="auto"/>
        </w:pBdr>
      </w:pPr>
      <w:r>
        <w:t xml:space="preserve">If a </w:t>
      </w:r>
      <w:r w:rsidRPr="00994207">
        <w:t xml:space="preserve">Data User XYZ Pty Ltd is provided with 9 million </w:t>
      </w:r>
      <w:r>
        <w:t>P</w:t>
      </w:r>
      <w:r w:rsidRPr="00994207">
        <w:t xml:space="preserve">ublic </w:t>
      </w:r>
      <w:r>
        <w:t>N</w:t>
      </w:r>
      <w:r w:rsidRPr="00994207">
        <w:t>umber</w:t>
      </w:r>
      <w:r>
        <w:t xml:space="preserve"> Customer Data record</w:t>
      </w:r>
      <w:r w:rsidRPr="00994207">
        <w:t>s by the IPND Manager, the Annual Subscription Charge would</w:t>
      </w:r>
      <w:r>
        <w:t xml:space="preserve"> </w:t>
      </w:r>
      <w:r w:rsidRPr="00994207">
        <w:t>be $90,000</w:t>
      </w:r>
      <w:r>
        <w:t>*</w:t>
      </w:r>
      <w:r w:rsidRPr="00994207">
        <w:t xml:space="preserve"> (9 million X $0.01) per year.</w:t>
      </w:r>
    </w:p>
    <w:p w14:paraId="69791ACC" w14:textId="77777777" w:rsidR="007648EA" w:rsidRDefault="007648EA" w:rsidP="007648EA">
      <w:pPr>
        <w:rPr>
          <w:b/>
        </w:rPr>
      </w:pPr>
    </w:p>
    <w:p w14:paraId="66060549" w14:textId="77777777" w:rsidR="007648EA" w:rsidRDefault="007648EA"/>
    <w:p w14:paraId="1005A10E" w14:textId="77777777" w:rsidR="00BB4BB7" w:rsidRPr="00994207" w:rsidRDefault="00BB4BB7" w:rsidP="00BB4BB7">
      <w:pPr>
        <w:rPr>
          <w:sz w:val="22"/>
          <w:szCs w:val="22"/>
        </w:rPr>
      </w:pPr>
      <w:r w:rsidRPr="00BB4BB7">
        <w:rPr>
          <w:vertAlign w:val="superscript"/>
        </w:rPr>
        <w:t>*</w:t>
      </w:r>
      <w:r>
        <w:rPr>
          <w:vertAlign w:val="superscript"/>
        </w:rPr>
        <w:t xml:space="preserve"> </w:t>
      </w:r>
      <w:r>
        <w:rPr>
          <w:sz w:val="22"/>
          <w:szCs w:val="22"/>
        </w:rPr>
        <w:t xml:space="preserve">Please note the above charges </w:t>
      </w:r>
      <w:r w:rsidRPr="00994207">
        <w:rPr>
          <w:sz w:val="22"/>
          <w:szCs w:val="22"/>
          <w:u w:val="single"/>
        </w:rPr>
        <w:t>do not</w:t>
      </w:r>
      <w:r w:rsidRPr="00464E41">
        <w:rPr>
          <w:sz w:val="22"/>
          <w:szCs w:val="22"/>
        </w:rPr>
        <w:t xml:space="preserve"> </w:t>
      </w:r>
      <w:r>
        <w:rPr>
          <w:sz w:val="22"/>
          <w:szCs w:val="22"/>
        </w:rPr>
        <w:t>include GST and will be effective on the commencement date of the new IPND Data User Access Agreement.</w:t>
      </w:r>
    </w:p>
    <w:p w14:paraId="43006044" w14:textId="77777777" w:rsidR="00BB4BB7" w:rsidRDefault="00BB4BB7"/>
    <w:p w14:paraId="5F24F3CE" w14:textId="77777777" w:rsidR="008B3EDB" w:rsidRPr="00994207" w:rsidRDefault="008B3EDB"/>
    <w:p w14:paraId="27AA18DB" w14:textId="77777777" w:rsidR="00A824A0" w:rsidRPr="00BB4BB7" w:rsidRDefault="004A56B7">
      <w:pPr>
        <w:pStyle w:val="Heading2"/>
        <w:rPr>
          <w:u w:val="single"/>
        </w:rPr>
      </w:pPr>
      <w:r w:rsidRPr="00BB4BB7">
        <w:rPr>
          <w:u w:val="single"/>
        </w:rPr>
        <w:t>Summary of Charges</w:t>
      </w:r>
    </w:p>
    <w:p w14:paraId="43884188" w14:textId="77777777" w:rsidR="00A824A0" w:rsidRPr="00994207" w:rsidRDefault="00A824A0"/>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985"/>
        <w:gridCol w:w="4110"/>
      </w:tblGrid>
      <w:tr w:rsidR="004A56B7" w:rsidRPr="00994207" w14:paraId="1E6F3C30" w14:textId="77777777" w:rsidTr="003F1171">
        <w:tc>
          <w:tcPr>
            <w:tcW w:w="2518" w:type="dxa"/>
          </w:tcPr>
          <w:p w14:paraId="5D46CC2E" w14:textId="77777777" w:rsidR="004A56B7" w:rsidRPr="00994207" w:rsidRDefault="004A56B7">
            <w:pPr>
              <w:rPr>
                <w:b/>
              </w:rPr>
            </w:pPr>
            <w:r w:rsidRPr="00994207">
              <w:rPr>
                <w:b/>
              </w:rPr>
              <w:t>Item</w:t>
            </w:r>
          </w:p>
        </w:tc>
        <w:tc>
          <w:tcPr>
            <w:tcW w:w="1985" w:type="dxa"/>
          </w:tcPr>
          <w:p w14:paraId="0013EF62" w14:textId="77777777" w:rsidR="004A56B7" w:rsidRPr="00994207" w:rsidRDefault="004A56B7">
            <w:pPr>
              <w:rPr>
                <w:b/>
              </w:rPr>
            </w:pPr>
            <w:r w:rsidRPr="00994207">
              <w:rPr>
                <w:b/>
              </w:rPr>
              <w:t>Period</w:t>
            </w:r>
          </w:p>
        </w:tc>
        <w:tc>
          <w:tcPr>
            <w:tcW w:w="4110" w:type="dxa"/>
          </w:tcPr>
          <w:p w14:paraId="17D340F2" w14:textId="77777777" w:rsidR="004A56B7" w:rsidRPr="00994207" w:rsidRDefault="004A56B7">
            <w:pPr>
              <w:rPr>
                <w:b/>
              </w:rPr>
            </w:pPr>
            <w:r w:rsidRPr="00994207">
              <w:rPr>
                <w:b/>
              </w:rPr>
              <w:t>Charge (Excl. GST)</w:t>
            </w:r>
          </w:p>
        </w:tc>
      </w:tr>
      <w:tr w:rsidR="004A56B7" w:rsidRPr="00994207" w14:paraId="3CA21970" w14:textId="77777777" w:rsidTr="003F1171">
        <w:tc>
          <w:tcPr>
            <w:tcW w:w="2518" w:type="dxa"/>
          </w:tcPr>
          <w:p w14:paraId="2C64CE61" w14:textId="77777777" w:rsidR="004A56B7" w:rsidRPr="00994207" w:rsidRDefault="004A56B7">
            <w:r w:rsidRPr="00994207">
              <w:t>Application fee</w:t>
            </w:r>
          </w:p>
        </w:tc>
        <w:tc>
          <w:tcPr>
            <w:tcW w:w="1985" w:type="dxa"/>
          </w:tcPr>
          <w:p w14:paraId="324E37CE" w14:textId="77777777" w:rsidR="004A56B7" w:rsidRPr="00994207" w:rsidRDefault="004A56B7">
            <w:r w:rsidRPr="00994207">
              <w:t>Once only</w:t>
            </w:r>
          </w:p>
        </w:tc>
        <w:tc>
          <w:tcPr>
            <w:tcW w:w="4110" w:type="dxa"/>
          </w:tcPr>
          <w:p w14:paraId="7DBFA822" w14:textId="77777777" w:rsidR="004A56B7" w:rsidRPr="00994207" w:rsidRDefault="004A56B7">
            <w:pPr>
              <w:rPr>
                <w:b/>
              </w:rPr>
            </w:pPr>
            <w:r w:rsidRPr="00994207">
              <w:rPr>
                <w:b/>
              </w:rPr>
              <w:t xml:space="preserve">$ </w:t>
            </w:r>
            <w:r w:rsidRPr="00994207">
              <w:t>3,000</w:t>
            </w:r>
          </w:p>
        </w:tc>
      </w:tr>
      <w:tr w:rsidR="004A56B7" w:rsidRPr="00994207" w14:paraId="0EDA1894" w14:textId="77777777" w:rsidTr="003F1171">
        <w:tc>
          <w:tcPr>
            <w:tcW w:w="2518" w:type="dxa"/>
          </w:tcPr>
          <w:p w14:paraId="31B6A58C" w14:textId="77777777" w:rsidR="004A56B7" w:rsidRPr="00994207" w:rsidRDefault="004A56B7">
            <w:r w:rsidRPr="00994207">
              <w:t>Communication Charge</w:t>
            </w:r>
          </w:p>
        </w:tc>
        <w:tc>
          <w:tcPr>
            <w:tcW w:w="1985" w:type="dxa"/>
          </w:tcPr>
          <w:p w14:paraId="46F9A6C1" w14:textId="77777777" w:rsidR="004A56B7" w:rsidRPr="00994207" w:rsidRDefault="004A56B7">
            <w:r w:rsidRPr="00994207">
              <w:t xml:space="preserve">Per </w:t>
            </w:r>
            <w:r w:rsidR="005A0DC9">
              <w:t>c</w:t>
            </w:r>
            <w:r w:rsidRPr="00994207">
              <w:t>alendar quarter</w:t>
            </w:r>
          </w:p>
        </w:tc>
        <w:tc>
          <w:tcPr>
            <w:tcW w:w="4110" w:type="dxa"/>
          </w:tcPr>
          <w:p w14:paraId="7B0614F3" w14:textId="77777777" w:rsidR="004A56B7" w:rsidRDefault="004A56B7">
            <w:r w:rsidRPr="00994207">
              <w:t>$ 3,969</w:t>
            </w:r>
          </w:p>
          <w:p w14:paraId="727F0B1C" w14:textId="27E617F5" w:rsidR="003F1171" w:rsidRPr="00994207" w:rsidRDefault="003F1171">
            <w:r>
              <w:t xml:space="preserve">Not applicable for users connected via IIS </w:t>
            </w:r>
            <w:r w:rsidR="008B5A06">
              <w:t>&amp; disconnected from ISDN / Frame relay.</w:t>
            </w:r>
          </w:p>
        </w:tc>
      </w:tr>
      <w:tr w:rsidR="004A56B7" w:rsidRPr="00994207" w14:paraId="545DC6EF" w14:textId="77777777" w:rsidTr="003F1171">
        <w:tc>
          <w:tcPr>
            <w:tcW w:w="2518" w:type="dxa"/>
          </w:tcPr>
          <w:p w14:paraId="5FED8C5A" w14:textId="77777777" w:rsidR="004A56B7" w:rsidRPr="00994207" w:rsidRDefault="004A56B7">
            <w:r w:rsidRPr="00994207">
              <w:t>Annual Subscription Charge</w:t>
            </w:r>
          </w:p>
        </w:tc>
        <w:tc>
          <w:tcPr>
            <w:tcW w:w="1985" w:type="dxa"/>
          </w:tcPr>
          <w:p w14:paraId="372E4771" w14:textId="77777777" w:rsidR="004A56B7" w:rsidRPr="00994207" w:rsidRDefault="004A56B7">
            <w:r w:rsidRPr="00994207">
              <w:t>Per annum</w:t>
            </w:r>
          </w:p>
        </w:tc>
        <w:tc>
          <w:tcPr>
            <w:tcW w:w="4110" w:type="dxa"/>
          </w:tcPr>
          <w:p w14:paraId="05777F5D" w14:textId="77777777" w:rsidR="004A56B7" w:rsidRPr="00994207" w:rsidRDefault="004A56B7">
            <w:r w:rsidRPr="00994207">
              <w:t>$ 0.01 per Public Number per year</w:t>
            </w:r>
          </w:p>
        </w:tc>
      </w:tr>
    </w:tbl>
    <w:p w14:paraId="2CA5A8D9" w14:textId="77777777" w:rsidR="00A824A0" w:rsidRDefault="00A824A0"/>
    <w:sectPr w:rsidR="00A824A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4E223C"/>
    <w:lvl w:ilvl="0">
      <w:numFmt w:val="bullet"/>
      <w:lvlText w:val="*"/>
      <w:lvlJc w:val="left"/>
    </w:lvl>
  </w:abstractNum>
  <w:abstractNum w:abstractNumId="1" w15:restartNumberingAfterBreak="0">
    <w:nsid w:val="7CA05DCA"/>
    <w:multiLevelType w:val="hybridMultilevel"/>
    <w:tmpl w:val="8D7AE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F3A"/>
    <w:rsid w:val="00180278"/>
    <w:rsid w:val="001B1ECD"/>
    <w:rsid w:val="00275037"/>
    <w:rsid w:val="00304A4F"/>
    <w:rsid w:val="0032148D"/>
    <w:rsid w:val="00350160"/>
    <w:rsid w:val="0035340E"/>
    <w:rsid w:val="00397A01"/>
    <w:rsid w:val="003F1171"/>
    <w:rsid w:val="00420538"/>
    <w:rsid w:val="00457E51"/>
    <w:rsid w:val="00464E41"/>
    <w:rsid w:val="00482D82"/>
    <w:rsid w:val="004A56B7"/>
    <w:rsid w:val="005A0DC9"/>
    <w:rsid w:val="005A1DBC"/>
    <w:rsid w:val="00654CC5"/>
    <w:rsid w:val="006819BF"/>
    <w:rsid w:val="007648EA"/>
    <w:rsid w:val="00801DB2"/>
    <w:rsid w:val="008B3EDB"/>
    <w:rsid w:val="008B5A06"/>
    <w:rsid w:val="00994207"/>
    <w:rsid w:val="009B17D1"/>
    <w:rsid w:val="009E79FD"/>
    <w:rsid w:val="00A824A0"/>
    <w:rsid w:val="00B25836"/>
    <w:rsid w:val="00BB4BB7"/>
    <w:rsid w:val="00C31F3A"/>
    <w:rsid w:val="00D51AA3"/>
    <w:rsid w:val="00DB18D2"/>
    <w:rsid w:val="00E0779F"/>
    <w:rsid w:val="00FB4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FB2B8"/>
  <w15:chartTrackingRefBased/>
  <w15:docId w15:val="{F40B419C-5905-43FE-941B-6FE93B3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18D2"/>
    <w:rPr>
      <w:rFonts w:ascii="Tahoma" w:hAnsi="Tahoma" w:cs="Tahoma"/>
      <w:sz w:val="16"/>
      <w:szCs w:val="16"/>
    </w:rPr>
  </w:style>
  <w:style w:type="paragraph" w:styleId="ListParagraph">
    <w:name w:val="List Paragraph"/>
    <w:basedOn w:val="Normal"/>
    <w:uiPriority w:val="34"/>
    <w:qFormat/>
    <w:rsid w:val="00275037"/>
    <w:pPr>
      <w:overflowPunct/>
      <w:autoSpaceDE/>
      <w:autoSpaceDN/>
      <w:adjustRightInd/>
      <w:ind w:left="720"/>
      <w:contextualSpacing/>
      <w:textAlignment w:val="auto"/>
    </w:pPr>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79E6DAC099A45B0C12689CA9A09FC" ma:contentTypeVersion="10" ma:contentTypeDescription="Create a new document." ma:contentTypeScope="" ma:versionID="60e992b35bc25304730da9e744cbf4b7">
  <xsd:schema xmlns:xsd="http://www.w3.org/2001/XMLSchema" xmlns:xs="http://www.w3.org/2001/XMLSchema" xmlns:p="http://schemas.microsoft.com/office/2006/metadata/properties" xmlns:ns2="0882e0d2-d5ec-48b2-8c5f-79300f58ca35" xmlns:ns3="5c45358c-1cad-4ecc-8a56-e86415905217" targetNamespace="http://schemas.microsoft.com/office/2006/metadata/properties" ma:root="true" ma:fieldsID="0e8fa0b7370199f4892556da881e3a35" ns2:_="" ns3:_="">
    <xsd:import namespace="0882e0d2-d5ec-48b2-8c5f-79300f58ca35"/>
    <xsd:import namespace="5c45358c-1cad-4ecc-8a56-e8641590521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2e0d2-d5ec-48b2-8c5f-79300f58c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358c-1cad-4ecc-8a56-e8641590521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B7DF3-C689-4761-BA62-5B692189DCF6}">
  <ds:schemaRefs>
    <ds:schemaRef ds:uri="http://schemas.microsoft.com/sharepoint/v3/contenttype/forms"/>
  </ds:schemaRefs>
</ds:datastoreItem>
</file>

<file path=customXml/itemProps2.xml><?xml version="1.0" encoding="utf-8"?>
<ds:datastoreItem xmlns:ds="http://schemas.openxmlformats.org/officeDocument/2006/customXml" ds:itemID="{BD69C5FC-F8B3-4E8D-8F1A-C0F81AEF1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9FB7D-2B29-4EC5-BD99-984C92FD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2e0d2-d5ec-48b2-8c5f-79300f58ca35"/>
    <ds:schemaRef ds:uri="5c45358c-1cad-4ecc-8a56-e8641590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76B66-1B6E-497F-A49C-076688EF7792}">
  <ds:schemaRefs>
    <ds:schemaRef ds:uri="http://schemas.microsoft.com/office/2006/metadata/longProperties"/>
  </ds:schemaRefs>
</ds:datastoreItem>
</file>

<file path=customXml/itemProps5.xml><?xml version="1.0" encoding="utf-8"?>
<ds:datastoreItem xmlns:ds="http://schemas.openxmlformats.org/officeDocument/2006/customXml" ds:itemID="{9CE29CAD-1A0E-418F-AE48-77867E4691B7}">
  <ds:schemaRefs>
    <ds:schemaRef ds:uri="http://schemas.microsoft.com/sharepoint/events"/>
  </ds:schemaRefs>
</ds:datastoreItem>
</file>

<file path=customXml/itemProps6.xml><?xml version="1.0" encoding="utf-8"?>
<ds:datastoreItem xmlns:ds="http://schemas.openxmlformats.org/officeDocument/2006/customXml" ds:itemID="{32462CDC-B5A7-451A-9671-86458CDF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IPND Costs</vt:lpstr>
    </vt:vector>
  </TitlesOfParts>
  <Company>Telstra Corporation Limited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IPND Costs</dc:title>
  <dc:subject/>
  <dc:creator>c753537</dc:creator>
  <cp:keywords/>
  <cp:lastModifiedBy>Waite, Penny</cp:lastModifiedBy>
  <cp:revision>5</cp:revision>
  <cp:lastPrinted>2007-08-31T04:23:00Z</cp:lastPrinted>
  <dcterms:created xsi:type="dcterms:W3CDTF">2021-02-26T00:32:00Z</dcterms:created>
  <dcterms:modified xsi:type="dcterms:W3CDTF">2021-03-18T04:44:00Z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AAYNP-1443241697-343</vt:lpwstr>
  </property>
  <property fmtid="{D5CDD505-2E9C-101B-9397-08002B2CF9AE}" pid="3" name="_dlc_DocIdItemGuid">
    <vt:lpwstr>db720afa-a439-4cc5-8327-1bddc44bca19</vt:lpwstr>
  </property>
  <property fmtid="{D5CDD505-2E9C-101B-9397-08002B2CF9AE}" pid="4" name="_dlc_DocIdUrl">
    <vt:lpwstr>https://teamtelstra.sharepoint.com/sites/IPNDHome/_layouts/15/DocIdRedir.aspx?ID=AAYNP-1443241697-343, AAYNP-1443241697-343</vt:lpwstr>
  </property>
</Properties>
</file>