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EFD16" w14:textId="77777777" w:rsidR="00732ADB" w:rsidRDefault="00732ADB" w:rsidP="00732ADB">
      <w:pPr>
        <w:pStyle w:val="TOCHeading"/>
        <w:tabs>
          <w:tab w:val="right" w:pos="9070"/>
        </w:tabs>
      </w:pPr>
      <w:bookmarkStart w:id="0" w:name="Temp"/>
      <w:bookmarkEnd w:id="0"/>
      <w:r>
        <w:t>Contents</w:t>
      </w:r>
      <w:r>
        <w:tab/>
      </w:r>
    </w:p>
    <w:p w14:paraId="25002802" w14:textId="77777777" w:rsidR="00732ADB" w:rsidRDefault="00732ADB">
      <w:pPr>
        <w:pStyle w:val="TOC1"/>
        <w:tabs>
          <w:tab w:val="left" w:pos="1474"/>
        </w:tabs>
        <w:spacing w:before="0" w:after="240"/>
        <w:rPr>
          <w:b w:val="0"/>
          <w:bCs/>
        </w:rPr>
      </w:pPr>
      <w:bookmarkStart w:id="1" w:name="Contents"/>
      <w:bookmarkEnd w:id="1"/>
      <w:r>
        <w:rPr>
          <w:b w:val="0"/>
          <w:bCs/>
        </w:rPr>
        <w:t>Click on the section that you are interested in.</w:t>
      </w:r>
    </w:p>
    <w:p w14:paraId="7E6F9300" w14:textId="3E4344DC" w:rsidR="005D02CD" w:rsidRDefault="00732ADB">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r>
        <w:fldChar w:fldCharType="begin"/>
      </w:r>
      <w:r>
        <w:instrText xml:space="preserve"> TOC \h \z \t "Heading 1,1,Indent 1,2" </w:instrText>
      </w:r>
      <w:r>
        <w:fldChar w:fldCharType="separate"/>
      </w:r>
      <w:hyperlink w:anchor="_Toc157514637" w:history="1">
        <w:r w:rsidR="005D02CD" w:rsidRPr="00816DBE">
          <w:rPr>
            <w:rStyle w:val="Hyperlink"/>
            <w:noProof/>
          </w:rPr>
          <w:t>1</w:t>
        </w:r>
        <w:r w:rsidR="005D02CD">
          <w:rPr>
            <w:rFonts w:asciiTheme="minorHAnsi" w:eastAsiaTheme="minorEastAsia" w:hAnsiTheme="minorHAnsi" w:cstheme="minorBidi"/>
            <w:b w:val="0"/>
            <w:noProof/>
            <w:kern w:val="2"/>
            <w:sz w:val="22"/>
            <w:szCs w:val="22"/>
            <w:lang w:eastAsia="en-AU"/>
            <w14:ligatures w14:val="standardContextual"/>
          </w:rPr>
          <w:tab/>
        </w:r>
        <w:r w:rsidR="005D02CD" w:rsidRPr="00816DBE">
          <w:rPr>
            <w:rStyle w:val="Hyperlink"/>
            <w:noProof/>
          </w:rPr>
          <w:t>About the SMR Commercial Service Section</w:t>
        </w:r>
        <w:r w:rsidR="005D02CD">
          <w:rPr>
            <w:noProof/>
            <w:webHidden/>
          </w:rPr>
          <w:tab/>
        </w:r>
        <w:r w:rsidR="005D02CD">
          <w:rPr>
            <w:noProof/>
            <w:webHidden/>
          </w:rPr>
          <w:fldChar w:fldCharType="begin"/>
        </w:r>
        <w:r w:rsidR="005D02CD">
          <w:rPr>
            <w:noProof/>
            <w:webHidden/>
          </w:rPr>
          <w:instrText xml:space="preserve"> PAGEREF _Toc157514637 \h </w:instrText>
        </w:r>
        <w:r w:rsidR="005D02CD">
          <w:rPr>
            <w:noProof/>
            <w:webHidden/>
          </w:rPr>
        </w:r>
        <w:r w:rsidR="005D02CD">
          <w:rPr>
            <w:noProof/>
            <w:webHidden/>
          </w:rPr>
          <w:fldChar w:fldCharType="separate"/>
        </w:r>
        <w:r w:rsidR="00FF38DD">
          <w:rPr>
            <w:noProof/>
            <w:webHidden/>
          </w:rPr>
          <w:t>2</w:t>
        </w:r>
        <w:r w:rsidR="005D02CD">
          <w:rPr>
            <w:noProof/>
            <w:webHidden/>
          </w:rPr>
          <w:fldChar w:fldCharType="end"/>
        </w:r>
      </w:hyperlink>
    </w:p>
    <w:p w14:paraId="196763C2" w14:textId="5DA06D25"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38" w:history="1">
        <w:r w:rsidR="005D02CD" w:rsidRPr="00816DBE">
          <w:rPr>
            <w:rStyle w:val="Hyperlink"/>
            <w:noProof/>
          </w:rPr>
          <w:t>Our Customer Terms</w:t>
        </w:r>
        <w:r w:rsidR="005D02CD">
          <w:rPr>
            <w:noProof/>
            <w:webHidden/>
          </w:rPr>
          <w:tab/>
        </w:r>
        <w:r w:rsidR="005D02CD">
          <w:rPr>
            <w:noProof/>
            <w:webHidden/>
          </w:rPr>
          <w:fldChar w:fldCharType="begin"/>
        </w:r>
        <w:r w:rsidR="005D02CD">
          <w:rPr>
            <w:noProof/>
            <w:webHidden/>
          </w:rPr>
          <w:instrText xml:space="preserve"> PAGEREF _Toc157514638 \h </w:instrText>
        </w:r>
        <w:r w:rsidR="005D02CD">
          <w:rPr>
            <w:noProof/>
            <w:webHidden/>
          </w:rPr>
        </w:r>
        <w:r w:rsidR="005D02CD">
          <w:rPr>
            <w:noProof/>
            <w:webHidden/>
          </w:rPr>
          <w:fldChar w:fldCharType="separate"/>
        </w:r>
        <w:r w:rsidR="00FF38DD">
          <w:rPr>
            <w:noProof/>
            <w:webHidden/>
          </w:rPr>
          <w:t>2</w:t>
        </w:r>
        <w:r w:rsidR="005D02CD">
          <w:rPr>
            <w:noProof/>
            <w:webHidden/>
          </w:rPr>
          <w:fldChar w:fldCharType="end"/>
        </w:r>
      </w:hyperlink>
    </w:p>
    <w:p w14:paraId="2E6ACD96" w14:textId="743B2A6B"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39" w:history="1">
        <w:r w:rsidR="005D02CD" w:rsidRPr="00816DBE">
          <w:rPr>
            <w:rStyle w:val="Hyperlink"/>
            <w:noProof/>
          </w:rPr>
          <w:t>Inconsistencies</w:t>
        </w:r>
        <w:r w:rsidR="005D02CD">
          <w:rPr>
            <w:noProof/>
            <w:webHidden/>
          </w:rPr>
          <w:tab/>
        </w:r>
        <w:r w:rsidR="005D02CD">
          <w:rPr>
            <w:noProof/>
            <w:webHidden/>
          </w:rPr>
          <w:fldChar w:fldCharType="begin"/>
        </w:r>
        <w:r w:rsidR="005D02CD">
          <w:rPr>
            <w:noProof/>
            <w:webHidden/>
          </w:rPr>
          <w:instrText xml:space="preserve"> PAGEREF _Toc157514639 \h </w:instrText>
        </w:r>
        <w:r w:rsidR="005D02CD">
          <w:rPr>
            <w:noProof/>
            <w:webHidden/>
          </w:rPr>
        </w:r>
        <w:r w:rsidR="005D02CD">
          <w:rPr>
            <w:noProof/>
            <w:webHidden/>
          </w:rPr>
          <w:fldChar w:fldCharType="separate"/>
        </w:r>
        <w:r w:rsidR="00FF38DD">
          <w:rPr>
            <w:noProof/>
            <w:webHidden/>
          </w:rPr>
          <w:t>2</w:t>
        </w:r>
        <w:r w:rsidR="005D02CD">
          <w:rPr>
            <w:noProof/>
            <w:webHidden/>
          </w:rPr>
          <w:fldChar w:fldCharType="end"/>
        </w:r>
      </w:hyperlink>
    </w:p>
    <w:p w14:paraId="525DD19A" w14:textId="07CD07A8" w:rsidR="005D02CD" w:rsidRDefault="00000000">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57514640" w:history="1">
        <w:r w:rsidR="005D02CD" w:rsidRPr="00816DBE">
          <w:rPr>
            <w:rStyle w:val="Hyperlink"/>
            <w:noProof/>
          </w:rPr>
          <w:t>2</w:t>
        </w:r>
        <w:r w:rsidR="005D02CD">
          <w:rPr>
            <w:rFonts w:asciiTheme="minorHAnsi" w:eastAsiaTheme="minorEastAsia" w:hAnsiTheme="minorHAnsi" w:cstheme="minorBidi"/>
            <w:b w:val="0"/>
            <w:noProof/>
            <w:kern w:val="2"/>
            <w:sz w:val="22"/>
            <w:szCs w:val="22"/>
            <w:lang w:eastAsia="en-AU"/>
            <w14:ligatures w14:val="standardContextual"/>
          </w:rPr>
          <w:tab/>
        </w:r>
        <w:r w:rsidR="005D02CD" w:rsidRPr="00816DBE">
          <w:rPr>
            <w:rStyle w:val="Hyperlink"/>
            <w:noProof/>
          </w:rPr>
          <w:t>SMR Commercial Service</w:t>
        </w:r>
        <w:r w:rsidR="005D02CD">
          <w:rPr>
            <w:noProof/>
            <w:webHidden/>
          </w:rPr>
          <w:tab/>
        </w:r>
        <w:r w:rsidR="005D02CD">
          <w:rPr>
            <w:noProof/>
            <w:webHidden/>
          </w:rPr>
          <w:fldChar w:fldCharType="begin"/>
        </w:r>
        <w:r w:rsidR="005D02CD">
          <w:rPr>
            <w:noProof/>
            <w:webHidden/>
          </w:rPr>
          <w:instrText xml:space="preserve"> PAGEREF _Toc157514640 \h </w:instrText>
        </w:r>
        <w:r w:rsidR="005D02CD">
          <w:rPr>
            <w:noProof/>
            <w:webHidden/>
          </w:rPr>
        </w:r>
        <w:r w:rsidR="005D02CD">
          <w:rPr>
            <w:noProof/>
            <w:webHidden/>
          </w:rPr>
          <w:fldChar w:fldCharType="separate"/>
        </w:r>
        <w:r w:rsidR="00FF38DD">
          <w:rPr>
            <w:noProof/>
            <w:webHidden/>
          </w:rPr>
          <w:t>2</w:t>
        </w:r>
        <w:r w:rsidR="005D02CD">
          <w:rPr>
            <w:noProof/>
            <w:webHidden/>
          </w:rPr>
          <w:fldChar w:fldCharType="end"/>
        </w:r>
      </w:hyperlink>
    </w:p>
    <w:p w14:paraId="743EE02D" w14:textId="4ECF45D2"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41" w:history="1">
        <w:r w:rsidR="005D02CD" w:rsidRPr="00816DBE">
          <w:rPr>
            <w:rStyle w:val="Hyperlink"/>
            <w:noProof/>
          </w:rPr>
          <w:t>What is SMR Commercial?</w:t>
        </w:r>
        <w:r w:rsidR="005D02CD">
          <w:rPr>
            <w:noProof/>
            <w:webHidden/>
          </w:rPr>
          <w:tab/>
        </w:r>
        <w:r w:rsidR="005D02CD">
          <w:rPr>
            <w:noProof/>
            <w:webHidden/>
          </w:rPr>
          <w:fldChar w:fldCharType="begin"/>
        </w:r>
        <w:r w:rsidR="005D02CD">
          <w:rPr>
            <w:noProof/>
            <w:webHidden/>
          </w:rPr>
          <w:instrText xml:space="preserve"> PAGEREF _Toc157514641 \h </w:instrText>
        </w:r>
        <w:r w:rsidR="005D02CD">
          <w:rPr>
            <w:noProof/>
            <w:webHidden/>
          </w:rPr>
        </w:r>
        <w:r w:rsidR="005D02CD">
          <w:rPr>
            <w:noProof/>
            <w:webHidden/>
          </w:rPr>
          <w:fldChar w:fldCharType="separate"/>
        </w:r>
        <w:r w:rsidR="00FF38DD">
          <w:rPr>
            <w:noProof/>
            <w:webHidden/>
          </w:rPr>
          <w:t>2</w:t>
        </w:r>
        <w:r w:rsidR="005D02CD">
          <w:rPr>
            <w:noProof/>
            <w:webHidden/>
          </w:rPr>
          <w:fldChar w:fldCharType="end"/>
        </w:r>
      </w:hyperlink>
    </w:p>
    <w:p w14:paraId="2B2B1962" w14:textId="6FAC9EAB"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42" w:history="1">
        <w:r w:rsidR="005D02CD" w:rsidRPr="00816DBE">
          <w:rPr>
            <w:rStyle w:val="Hyperlink"/>
            <w:noProof/>
          </w:rPr>
          <w:t>Service features</w:t>
        </w:r>
        <w:r w:rsidR="005D02CD">
          <w:rPr>
            <w:noProof/>
            <w:webHidden/>
          </w:rPr>
          <w:tab/>
        </w:r>
        <w:r w:rsidR="005D02CD">
          <w:rPr>
            <w:noProof/>
            <w:webHidden/>
          </w:rPr>
          <w:fldChar w:fldCharType="begin"/>
        </w:r>
        <w:r w:rsidR="005D02CD">
          <w:rPr>
            <w:noProof/>
            <w:webHidden/>
          </w:rPr>
          <w:instrText xml:space="preserve"> PAGEREF _Toc157514642 \h </w:instrText>
        </w:r>
        <w:r w:rsidR="005D02CD">
          <w:rPr>
            <w:noProof/>
            <w:webHidden/>
          </w:rPr>
        </w:r>
        <w:r w:rsidR="005D02CD">
          <w:rPr>
            <w:noProof/>
            <w:webHidden/>
          </w:rPr>
          <w:fldChar w:fldCharType="separate"/>
        </w:r>
        <w:r w:rsidR="00FF38DD">
          <w:rPr>
            <w:noProof/>
            <w:webHidden/>
          </w:rPr>
          <w:t>3</w:t>
        </w:r>
        <w:r w:rsidR="005D02CD">
          <w:rPr>
            <w:noProof/>
            <w:webHidden/>
          </w:rPr>
          <w:fldChar w:fldCharType="end"/>
        </w:r>
      </w:hyperlink>
    </w:p>
    <w:p w14:paraId="2F7981F8" w14:textId="31244880"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43" w:history="1">
        <w:r w:rsidR="005D02CD" w:rsidRPr="00816DBE">
          <w:rPr>
            <w:rStyle w:val="Hyperlink"/>
            <w:noProof/>
          </w:rPr>
          <w:t>Coverage</w:t>
        </w:r>
        <w:r w:rsidR="005D02CD">
          <w:rPr>
            <w:noProof/>
            <w:webHidden/>
          </w:rPr>
          <w:tab/>
        </w:r>
        <w:r w:rsidR="005D02CD">
          <w:rPr>
            <w:noProof/>
            <w:webHidden/>
          </w:rPr>
          <w:fldChar w:fldCharType="begin"/>
        </w:r>
        <w:r w:rsidR="005D02CD">
          <w:rPr>
            <w:noProof/>
            <w:webHidden/>
          </w:rPr>
          <w:instrText xml:space="preserve"> PAGEREF _Toc157514643 \h </w:instrText>
        </w:r>
        <w:r w:rsidR="005D02CD">
          <w:rPr>
            <w:noProof/>
            <w:webHidden/>
          </w:rPr>
        </w:r>
        <w:r w:rsidR="005D02CD">
          <w:rPr>
            <w:noProof/>
            <w:webHidden/>
          </w:rPr>
          <w:fldChar w:fldCharType="separate"/>
        </w:r>
        <w:r w:rsidR="00FF38DD">
          <w:rPr>
            <w:noProof/>
            <w:webHidden/>
          </w:rPr>
          <w:t>3</w:t>
        </w:r>
        <w:r w:rsidR="005D02CD">
          <w:rPr>
            <w:noProof/>
            <w:webHidden/>
          </w:rPr>
          <w:fldChar w:fldCharType="end"/>
        </w:r>
      </w:hyperlink>
    </w:p>
    <w:p w14:paraId="637BD7DD" w14:textId="4A698F9E"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44" w:history="1">
        <w:r w:rsidR="005D02CD" w:rsidRPr="00816DBE">
          <w:rPr>
            <w:rStyle w:val="Hyperlink"/>
            <w:noProof/>
          </w:rPr>
          <w:t>Limits on your service</w:t>
        </w:r>
        <w:r w:rsidR="005D02CD">
          <w:rPr>
            <w:noProof/>
            <w:webHidden/>
          </w:rPr>
          <w:tab/>
        </w:r>
        <w:r w:rsidR="005D02CD">
          <w:rPr>
            <w:noProof/>
            <w:webHidden/>
          </w:rPr>
          <w:fldChar w:fldCharType="begin"/>
        </w:r>
        <w:r w:rsidR="005D02CD">
          <w:rPr>
            <w:noProof/>
            <w:webHidden/>
          </w:rPr>
          <w:instrText xml:space="preserve"> PAGEREF _Toc157514644 \h </w:instrText>
        </w:r>
        <w:r w:rsidR="005D02CD">
          <w:rPr>
            <w:noProof/>
            <w:webHidden/>
          </w:rPr>
        </w:r>
        <w:r w:rsidR="005D02CD">
          <w:rPr>
            <w:noProof/>
            <w:webHidden/>
          </w:rPr>
          <w:fldChar w:fldCharType="separate"/>
        </w:r>
        <w:r w:rsidR="00FF38DD">
          <w:rPr>
            <w:noProof/>
            <w:webHidden/>
          </w:rPr>
          <w:t>4</w:t>
        </w:r>
        <w:r w:rsidR="005D02CD">
          <w:rPr>
            <w:noProof/>
            <w:webHidden/>
          </w:rPr>
          <w:fldChar w:fldCharType="end"/>
        </w:r>
      </w:hyperlink>
    </w:p>
    <w:p w14:paraId="21153226" w14:textId="70D91C52" w:rsidR="005D02CD" w:rsidRDefault="00000000">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57514645" w:history="1">
        <w:r w:rsidR="005D02CD" w:rsidRPr="00816DBE">
          <w:rPr>
            <w:rStyle w:val="Hyperlink"/>
            <w:iCs/>
            <w:noProof/>
          </w:rPr>
          <w:t>3</w:t>
        </w:r>
        <w:r w:rsidR="005D02CD">
          <w:rPr>
            <w:rFonts w:asciiTheme="minorHAnsi" w:eastAsiaTheme="minorEastAsia" w:hAnsiTheme="minorHAnsi" w:cstheme="minorBidi"/>
            <w:b w:val="0"/>
            <w:noProof/>
            <w:kern w:val="2"/>
            <w:sz w:val="22"/>
            <w:szCs w:val="22"/>
            <w:lang w:eastAsia="en-AU"/>
            <w14:ligatures w14:val="standardContextual"/>
          </w:rPr>
          <w:tab/>
        </w:r>
        <w:r w:rsidR="005D02CD" w:rsidRPr="00816DBE">
          <w:rPr>
            <w:rStyle w:val="Hyperlink"/>
            <w:iCs/>
            <w:noProof/>
          </w:rPr>
          <w:t>Service Charges</w:t>
        </w:r>
        <w:r w:rsidR="005D02CD">
          <w:rPr>
            <w:noProof/>
            <w:webHidden/>
          </w:rPr>
          <w:tab/>
        </w:r>
        <w:r w:rsidR="005D02CD">
          <w:rPr>
            <w:noProof/>
            <w:webHidden/>
          </w:rPr>
          <w:fldChar w:fldCharType="begin"/>
        </w:r>
        <w:r w:rsidR="005D02CD">
          <w:rPr>
            <w:noProof/>
            <w:webHidden/>
          </w:rPr>
          <w:instrText xml:space="preserve"> PAGEREF _Toc157514645 \h </w:instrText>
        </w:r>
        <w:r w:rsidR="005D02CD">
          <w:rPr>
            <w:noProof/>
            <w:webHidden/>
          </w:rPr>
        </w:r>
        <w:r w:rsidR="005D02CD">
          <w:rPr>
            <w:noProof/>
            <w:webHidden/>
          </w:rPr>
          <w:fldChar w:fldCharType="separate"/>
        </w:r>
        <w:r w:rsidR="00FF38DD">
          <w:rPr>
            <w:noProof/>
            <w:webHidden/>
          </w:rPr>
          <w:t>4</w:t>
        </w:r>
        <w:r w:rsidR="005D02CD">
          <w:rPr>
            <w:noProof/>
            <w:webHidden/>
          </w:rPr>
          <w:fldChar w:fldCharType="end"/>
        </w:r>
      </w:hyperlink>
    </w:p>
    <w:p w14:paraId="45318EC2" w14:textId="791128FC"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46" w:history="1">
        <w:r w:rsidR="005D02CD" w:rsidRPr="00816DBE">
          <w:rPr>
            <w:rStyle w:val="Hyperlink"/>
            <w:iCs/>
            <w:noProof/>
          </w:rPr>
          <w:t>New service activation charge</w:t>
        </w:r>
        <w:r w:rsidR="005D02CD">
          <w:rPr>
            <w:noProof/>
            <w:webHidden/>
          </w:rPr>
          <w:tab/>
        </w:r>
        <w:r w:rsidR="005D02CD">
          <w:rPr>
            <w:noProof/>
            <w:webHidden/>
          </w:rPr>
          <w:fldChar w:fldCharType="begin"/>
        </w:r>
        <w:r w:rsidR="005D02CD">
          <w:rPr>
            <w:noProof/>
            <w:webHidden/>
          </w:rPr>
          <w:instrText xml:space="preserve"> PAGEREF _Toc157514646 \h </w:instrText>
        </w:r>
        <w:r w:rsidR="005D02CD">
          <w:rPr>
            <w:noProof/>
            <w:webHidden/>
          </w:rPr>
        </w:r>
        <w:r w:rsidR="005D02CD">
          <w:rPr>
            <w:noProof/>
            <w:webHidden/>
          </w:rPr>
          <w:fldChar w:fldCharType="separate"/>
        </w:r>
        <w:r w:rsidR="00FF38DD">
          <w:rPr>
            <w:noProof/>
            <w:webHidden/>
          </w:rPr>
          <w:t>4</w:t>
        </w:r>
        <w:r w:rsidR="005D02CD">
          <w:rPr>
            <w:noProof/>
            <w:webHidden/>
          </w:rPr>
          <w:fldChar w:fldCharType="end"/>
        </w:r>
      </w:hyperlink>
    </w:p>
    <w:p w14:paraId="193E6FBC" w14:textId="158D0216"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47" w:history="1">
        <w:r w:rsidR="005D02CD" w:rsidRPr="00816DBE">
          <w:rPr>
            <w:rStyle w:val="Hyperlink"/>
            <w:iCs/>
            <w:noProof/>
          </w:rPr>
          <w:t>Connection charges</w:t>
        </w:r>
        <w:r w:rsidR="005D02CD">
          <w:rPr>
            <w:noProof/>
            <w:webHidden/>
          </w:rPr>
          <w:tab/>
        </w:r>
        <w:r w:rsidR="005D02CD">
          <w:rPr>
            <w:noProof/>
            <w:webHidden/>
          </w:rPr>
          <w:fldChar w:fldCharType="begin"/>
        </w:r>
        <w:r w:rsidR="005D02CD">
          <w:rPr>
            <w:noProof/>
            <w:webHidden/>
          </w:rPr>
          <w:instrText xml:space="preserve"> PAGEREF _Toc157514647 \h </w:instrText>
        </w:r>
        <w:r w:rsidR="005D02CD">
          <w:rPr>
            <w:noProof/>
            <w:webHidden/>
          </w:rPr>
        </w:r>
        <w:r w:rsidR="005D02CD">
          <w:rPr>
            <w:noProof/>
            <w:webHidden/>
          </w:rPr>
          <w:fldChar w:fldCharType="separate"/>
        </w:r>
        <w:r w:rsidR="00FF38DD">
          <w:rPr>
            <w:noProof/>
            <w:webHidden/>
          </w:rPr>
          <w:t>4</w:t>
        </w:r>
        <w:r w:rsidR="005D02CD">
          <w:rPr>
            <w:noProof/>
            <w:webHidden/>
          </w:rPr>
          <w:fldChar w:fldCharType="end"/>
        </w:r>
      </w:hyperlink>
    </w:p>
    <w:p w14:paraId="0B514F2D" w14:textId="5377A816"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48" w:history="1">
        <w:r w:rsidR="005D02CD" w:rsidRPr="00816DBE">
          <w:rPr>
            <w:rStyle w:val="Hyperlink"/>
            <w:iCs/>
            <w:noProof/>
          </w:rPr>
          <w:t>Monthly charges</w:t>
        </w:r>
        <w:r w:rsidR="005D02CD">
          <w:rPr>
            <w:noProof/>
            <w:webHidden/>
          </w:rPr>
          <w:tab/>
        </w:r>
        <w:r w:rsidR="005D02CD">
          <w:rPr>
            <w:noProof/>
            <w:webHidden/>
          </w:rPr>
          <w:fldChar w:fldCharType="begin"/>
        </w:r>
        <w:r w:rsidR="005D02CD">
          <w:rPr>
            <w:noProof/>
            <w:webHidden/>
          </w:rPr>
          <w:instrText xml:space="preserve"> PAGEREF _Toc157514648 \h </w:instrText>
        </w:r>
        <w:r w:rsidR="005D02CD">
          <w:rPr>
            <w:noProof/>
            <w:webHidden/>
          </w:rPr>
        </w:r>
        <w:r w:rsidR="005D02CD">
          <w:rPr>
            <w:noProof/>
            <w:webHidden/>
          </w:rPr>
          <w:fldChar w:fldCharType="separate"/>
        </w:r>
        <w:r w:rsidR="00FF38DD">
          <w:rPr>
            <w:noProof/>
            <w:webHidden/>
          </w:rPr>
          <w:t>5</w:t>
        </w:r>
        <w:r w:rsidR="005D02CD">
          <w:rPr>
            <w:noProof/>
            <w:webHidden/>
          </w:rPr>
          <w:fldChar w:fldCharType="end"/>
        </w:r>
      </w:hyperlink>
    </w:p>
    <w:p w14:paraId="49571696" w14:textId="0C7D81D3"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49" w:history="1">
        <w:r w:rsidR="005D02CD" w:rsidRPr="00816DBE">
          <w:rPr>
            <w:rStyle w:val="Hyperlink"/>
            <w:noProof/>
          </w:rPr>
          <w:t>Monthly airtime allowance</w:t>
        </w:r>
        <w:r w:rsidR="005D02CD">
          <w:rPr>
            <w:noProof/>
            <w:webHidden/>
          </w:rPr>
          <w:tab/>
        </w:r>
        <w:r w:rsidR="005D02CD">
          <w:rPr>
            <w:noProof/>
            <w:webHidden/>
          </w:rPr>
          <w:fldChar w:fldCharType="begin"/>
        </w:r>
        <w:r w:rsidR="005D02CD">
          <w:rPr>
            <w:noProof/>
            <w:webHidden/>
          </w:rPr>
          <w:instrText xml:space="preserve"> PAGEREF _Toc157514649 \h </w:instrText>
        </w:r>
        <w:r w:rsidR="005D02CD">
          <w:rPr>
            <w:noProof/>
            <w:webHidden/>
          </w:rPr>
        </w:r>
        <w:r w:rsidR="005D02CD">
          <w:rPr>
            <w:noProof/>
            <w:webHidden/>
          </w:rPr>
          <w:fldChar w:fldCharType="separate"/>
        </w:r>
        <w:r w:rsidR="00FF38DD">
          <w:rPr>
            <w:noProof/>
            <w:webHidden/>
          </w:rPr>
          <w:t>5</w:t>
        </w:r>
        <w:r w:rsidR="005D02CD">
          <w:rPr>
            <w:noProof/>
            <w:webHidden/>
          </w:rPr>
          <w:fldChar w:fldCharType="end"/>
        </w:r>
      </w:hyperlink>
    </w:p>
    <w:p w14:paraId="2D0A5CE6" w14:textId="42C3064F"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50" w:history="1">
        <w:r w:rsidR="005D02CD" w:rsidRPr="00816DBE">
          <w:rPr>
            <w:rStyle w:val="Hyperlink"/>
            <w:noProof/>
          </w:rPr>
          <w:t>Monthly access charges</w:t>
        </w:r>
        <w:r w:rsidR="005D02CD">
          <w:rPr>
            <w:noProof/>
            <w:webHidden/>
          </w:rPr>
          <w:tab/>
        </w:r>
        <w:r w:rsidR="005D02CD">
          <w:rPr>
            <w:noProof/>
            <w:webHidden/>
          </w:rPr>
          <w:fldChar w:fldCharType="begin"/>
        </w:r>
        <w:r w:rsidR="005D02CD">
          <w:rPr>
            <w:noProof/>
            <w:webHidden/>
          </w:rPr>
          <w:instrText xml:space="preserve"> PAGEREF _Toc157514650 \h </w:instrText>
        </w:r>
        <w:r w:rsidR="005D02CD">
          <w:rPr>
            <w:noProof/>
            <w:webHidden/>
          </w:rPr>
        </w:r>
        <w:r w:rsidR="005D02CD">
          <w:rPr>
            <w:noProof/>
            <w:webHidden/>
          </w:rPr>
          <w:fldChar w:fldCharType="separate"/>
        </w:r>
        <w:r w:rsidR="00FF38DD">
          <w:rPr>
            <w:noProof/>
            <w:webHidden/>
          </w:rPr>
          <w:t>6</w:t>
        </w:r>
        <w:r w:rsidR="005D02CD">
          <w:rPr>
            <w:noProof/>
            <w:webHidden/>
          </w:rPr>
          <w:fldChar w:fldCharType="end"/>
        </w:r>
      </w:hyperlink>
    </w:p>
    <w:p w14:paraId="019AA652" w14:textId="7DB306B5"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51" w:history="1">
        <w:r w:rsidR="005D02CD" w:rsidRPr="00816DBE">
          <w:rPr>
            <w:rStyle w:val="Hyperlink"/>
            <w:noProof/>
          </w:rPr>
          <w:t>Additional charges for exceeding monthly airtime allowance</w:t>
        </w:r>
        <w:r w:rsidR="005D02CD">
          <w:rPr>
            <w:noProof/>
            <w:webHidden/>
          </w:rPr>
          <w:tab/>
        </w:r>
        <w:r w:rsidR="005D02CD">
          <w:rPr>
            <w:noProof/>
            <w:webHidden/>
          </w:rPr>
          <w:fldChar w:fldCharType="begin"/>
        </w:r>
        <w:r w:rsidR="005D02CD">
          <w:rPr>
            <w:noProof/>
            <w:webHidden/>
          </w:rPr>
          <w:instrText xml:space="preserve"> PAGEREF _Toc157514651 \h </w:instrText>
        </w:r>
        <w:r w:rsidR="005D02CD">
          <w:rPr>
            <w:noProof/>
            <w:webHidden/>
          </w:rPr>
        </w:r>
        <w:r w:rsidR="005D02CD">
          <w:rPr>
            <w:noProof/>
            <w:webHidden/>
          </w:rPr>
          <w:fldChar w:fldCharType="separate"/>
        </w:r>
        <w:r w:rsidR="00FF38DD">
          <w:rPr>
            <w:noProof/>
            <w:webHidden/>
          </w:rPr>
          <w:t>6</w:t>
        </w:r>
        <w:r w:rsidR="005D02CD">
          <w:rPr>
            <w:noProof/>
            <w:webHidden/>
          </w:rPr>
          <w:fldChar w:fldCharType="end"/>
        </w:r>
      </w:hyperlink>
    </w:p>
    <w:p w14:paraId="24EB4533" w14:textId="42DE3307"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52" w:history="1">
        <w:r w:rsidR="005D02CD" w:rsidRPr="00816DBE">
          <w:rPr>
            <w:rStyle w:val="Hyperlink"/>
            <w:noProof/>
          </w:rPr>
          <w:t>Temporary suspension or disconnection</w:t>
        </w:r>
        <w:r w:rsidR="005D02CD">
          <w:rPr>
            <w:noProof/>
            <w:webHidden/>
          </w:rPr>
          <w:tab/>
        </w:r>
        <w:r w:rsidR="005D02CD">
          <w:rPr>
            <w:noProof/>
            <w:webHidden/>
          </w:rPr>
          <w:fldChar w:fldCharType="begin"/>
        </w:r>
        <w:r w:rsidR="005D02CD">
          <w:rPr>
            <w:noProof/>
            <w:webHidden/>
          </w:rPr>
          <w:instrText xml:space="preserve"> PAGEREF _Toc157514652 \h </w:instrText>
        </w:r>
        <w:r w:rsidR="005D02CD">
          <w:rPr>
            <w:noProof/>
            <w:webHidden/>
          </w:rPr>
        </w:r>
        <w:r w:rsidR="005D02CD">
          <w:rPr>
            <w:noProof/>
            <w:webHidden/>
          </w:rPr>
          <w:fldChar w:fldCharType="separate"/>
        </w:r>
        <w:r w:rsidR="00FF38DD">
          <w:rPr>
            <w:noProof/>
            <w:webHidden/>
          </w:rPr>
          <w:t>7</w:t>
        </w:r>
        <w:r w:rsidR="005D02CD">
          <w:rPr>
            <w:noProof/>
            <w:webHidden/>
          </w:rPr>
          <w:fldChar w:fldCharType="end"/>
        </w:r>
      </w:hyperlink>
    </w:p>
    <w:p w14:paraId="70CA6BD9" w14:textId="16555234"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53" w:history="1">
        <w:r w:rsidR="005D02CD" w:rsidRPr="00816DBE">
          <w:rPr>
            <w:rStyle w:val="Hyperlink"/>
            <w:noProof/>
          </w:rPr>
          <w:t>Volume discounts</w:t>
        </w:r>
        <w:r w:rsidR="005D02CD">
          <w:rPr>
            <w:noProof/>
            <w:webHidden/>
          </w:rPr>
          <w:tab/>
        </w:r>
        <w:r w:rsidR="005D02CD">
          <w:rPr>
            <w:noProof/>
            <w:webHidden/>
          </w:rPr>
          <w:fldChar w:fldCharType="begin"/>
        </w:r>
        <w:r w:rsidR="005D02CD">
          <w:rPr>
            <w:noProof/>
            <w:webHidden/>
          </w:rPr>
          <w:instrText xml:space="preserve"> PAGEREF _Toc157514653 \h </w:instrText>
        </w:r>
        <w:r w:rsidR="005D02CD">
          <w:rPr>
            <w:noProof/>
            <w:webHidden/>
          </w:rPr>
        </w:r>
        <w:r w:rsidR="005D02CD">
          <w:rPr>
            <w:noProof/>
            <w:webHidden/>
          </w:rPr>
          <w:fldChar w:fldCharType="separate"/>
        </w:r>
        <w:r w:rsidR="00FF38DD">
          <w:rPr>
            <w:noProof/>
            <w:webHidden/>
          </w:rPr>
          <w:t>7</w:t>
        </w:r>
        <w:r w:rsidR="005D02CD">
          <w:rPr>
            <w:noProof/>
            <w:webHidden/>
          </w:rPr>
          <w:fldChar w:fldCharType="end"/>
        </w:r>
      </w:hyperlink>
    </w:p>
    <w:p w14:paraId="209863A0" w14:textId="2FFBF901"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54" w:history="1">
        <w:r w:rsidR="005D02CD" w:rsidRPr="00816DBE">
          <w:rPr>
            <w:rStyle w:val="Hyperlink"/>
            <w:iCs/>
            <w:noProof/>
          </w:rPr>
          <w:t>Number retention</w:t>
        </w:r>
        <w:r w:rsidR="005D02CD">
          <w:rPr>
            <w:noProof/>
            <w:webHidden/>
          </w:rPr>
          <w:tab/>
        </w:r>
        <w:r w:rsidR="005D02CD">
          <w:rPr>
            <w:noProof/>
            <w:webHidden/>
          </w:rPr>
          <w:fldChar w:fldCharType="begin"/>
        </w:r>
        <w:r w:rsidR="005D02CD">
          <w:rPr>
            <w:noProof/>
            <w:webHidden/>
          </w:rPr>
          <w:instrText xml:space="preserve"> PAGEREF _Toc157514654 \h </w:instrText>
        </w:r>
        <w:r w:rsidR="005D02CD">
          <w:rPr>
            <w:noProof/>
            <w:webHidden/>
          </w:rPr>
        </w:r>
        <w:r w:rsidR="005D02CD">
          <w:rPr>
            <w:noProof/>
            <w:webHidden/>
          </w:rPr>
          <w:fldChar w:fldCharType="separate"/>
        </w:r>
        <w:r w:rsidR="00FF38DD">
          <w:rPr>
            <w:noProof/>
            <w:webHidden/>
          </w:rPr>
          <w:t>8</w:t>
        </w:r>
        <w:r w:rsidR="005D02CD">
          <w:rPr>
            <w:noProof/>
            <w:webHidden/>
          </w:rPr>
          <w:fldChar w:fldCharType="end"/>
        </w:r>
      </w:hyperlink>
    </w:p>
    <w:p w14:paraId="1132AFB1" w14:textId="5542D70A"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55" w:history="1">
        <w:r w:rsidR="005D02CD" w:rsidRPr="00816DBE">
          <w:rPr>
            <w:rStyle w:val="Hyperlink"/>
            <w:iCs/>
            <w:noProof/>
          </w:rPr>
          <w:t>Changing your monthly access option</w:t>
        </w:r>
        <w:r w:rsidR="005D02CD">
          <w:rPr>
            <w:noProof/>
            <w:webHidden/>
          </w:rPr>
          <w:tab/>
        </w:r>
        <w:r w:rsidR="005D02CD">
          <w:rPr>
            <w:noProof/>
            <w:webHidden/>
          </w:rPr>
          <w:fldChar w:fldCharType="begin"/>
        </w:r>
        <w:r w:rsidR="005D02CD">
          <w:rPr>
            <w:noProof/>
            <w:webHidden/>
          </w:rPr>
          <w:instrText xml:space="preserve"> PAGEREF _Toc157514655 \h </w:instrText>
        </w:r>
        <w:r w:rsidR="005D02CD">
          <w:rPr>
            <w:noProof/>
            <w:webHidden/>
          </w:rPr>
        </w:r>
        <w:r w:rsidR="005D02CD">
          <w:rPr>
            <w:noProof/>
            <w:webHidden/>
          </w:rPr>
          <w:fldChar w:fldCharType="separate"/>
        </w:r>
        <w:r w:rsidR="00FF38DD">
          <w:rPr>
            <w:noProof/>
            <w:webHidden/>
          </w:rPr>
          <w:t>8</w:t>
        </w:r>
        <w:r w:rsidR="005D02CD">
          <w:rPr>
            <w:noProof/>
            <w:webHidden/>
          </w:rPr>
          <w:fldChar w:fldCharType="end"/>
        </w:r>
      </w:hyperlink>
    </w:p>
    <w:p w14:paraId="608AE67A" w14:textId="44A14D8B"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56" w:history="1">
        <w:r w:rsidR="005D02CD" w:rsidRPr="00816DBE">
          <w:rPr>
            <w:rStyle w:val="Hyperlink"/>
            <w:iCs/>
            <w:noProof/>
          </w:rPr>
          <w:t>Changing your mobile number</w:t>
        </w:r>
        <w:r w:rsidR="005D02CD">
          <w:rPr>
            <w:noProof/>
            <w:webHidden/>
          </w:rPr>
          <w:tab/>
        </w:r>
        <w:r w:rsidR="005D02CD">
          <w:rPr>
            <w:noProof/>
            <w:webHidden/>
          </w:rPr>
          <w:fldChar w:fldCharType="begin"/>
        </w:r>
        <w:r w:rsidR="005D02CD">
          <w:rPr>
            <w:noProof/>
            <w:webHidden/>
          </w:rPr>
          <w:instrText xml:space="preserve"> PAGEREF _Toc157514656 \h </w:instrText>
        </w:r>
        <w:r w:rsidR="005D02CD">
          <w:rPr>
            <w:noProof/>
            <w:webHidden/>
          </w:rPr>
        </w:r>
        <w:r w:rsidR="005D02CD">
          <w:rPr>
            <w:noProof/>
            <w:webHidden/>
          </w:rPr>
          <w:fldChar w:fldCharType="separate"/>
        </w:r>
        <w:r w:rsidR="00FF38DD">
          <w:rPr>
            <w:noProof/>
            <w:webHidden/>
          </w:rPr>
          <w:t>8</w:t>
        </w:r>
        <w:r w:rsidR="005D02CD">
          <w:rPr>
            <w:noProof/>
            <w:webHidden/>
          </w:rPr>
          <w:fldChar w:fldCharType="end"/>
        </w:r>
      </w:hyperlink>
    </w:p>
    <w:p w14:paraId="4BB8B39B" w14:textId="5F69882A" w:rsidR="005D02CD" w:rsidRDefault="00000000">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57514657" w:history="1">
        <w:r w:rsidR="005D02CD" w:rsidRPr="00816DBE">
          <w:rPr>
            <w:rStyle w:val="Hyperlink"/>
            <w:noProof/>
          </w:rPr>
          <w:t>4</w:t>
        </w:r>
        <w:r w:rsidR="005D02CD">
          <w:rPr>
            <w:rFonts w:asciiTheme="minorHAnsi" w:eastAsiaTheme="minorEastAsia" w:hAnsiTheme="minorHAnsi" w:cstheme="minorBidi"/>
            <w:b w:val="0"/>
            <w:noProof/>
            <w:kern w:val="2"/>
            <w:sz w:val="22"/>
            <w:szCs w:val="22"/>
            <w:lang w:eastAsia="en-AU"/>
            <w14:ligatures w14:val="standardContextual"/>
          </w:rPr>
          <w:tab/>
        </w:r>
        <w:r w:rsidR="005D02CD" w:rsidRPr="00816DBE">
          <w:rPr>
            <w:rStyle w:val="Hyperlink"/>
            <w:noProof/>
          </w:rPr>
          <w:t>Value Added Service Charges</w:t>
        </w:r>
        <w:r w:rsidR="005D02CD">
          <w:rPr>
            <w:noProof/>
            <w:webHidden/>
          </w:rPr>
          <w:tab/>
        </w:r>
        <w:r w:rsidR="005D02CD">
          <w:rPr>
            <w:noProof/>
            <w:webHidden/>
          </w:rPr>
          <w:fldChar w:fldCharType="begin"/>
        </w:r>
        <w:r w:rsidR="005D02CD">
          <w:rPr>
            <w:noProof/>
            <w:webHidden/>
          </w:rPr>
          <w:instrText xml:space="preserve"> PAGEREF _Toc157514657 \h </w:instrText>
        </w:r>
        <w:r w:rsidR="005D02CD">
          <w:rPr>
            <w:noProof/>
            <w:webHidden/>
          </w:rPr>
        </w:r>
        <w:r w:rsidR="005D02CD">
          <w:rPr>
            <w:noProof/>
            <w:webHidden/>
          </w:rPr>
          <w:fldChar w:fldCharType="separate"/>
        </w:r>
        <w:r w:rsidR="00FF38DD">
          <w:rPr>
            <w:noProof/>
            <w:webHidden/>
          </w:rPr>
          <w:t>9</w:t>
        </w:r>
        <w:r w:rsidR="005D02CD">
          <w:rPr>
            <w:noProof/>
            <w:webHidden/>
          </w:rPr>
          <w:fldChar w:fldCharType="end"/>
        </w:r>
      </w:hyperlink>
    </w:p>
    <w:p w14:paraId="07CF209F" w14:textId="15CC327A"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58" w:history="1">
        <w:r w:rsidR="005D02CD" w:rsidRPr="00816DBE">
          <w:rPr>
            <w:rStyle w:val="Hyperlink"/>
            <w:noProof/>
          </w:rPr>
          <w:t>Group call facility charge</w:t>
        </w:r>
        <w:r w:rsidR="005D02CD">
          <w:rPr>
            <w:noProof/>
            <w:webHidden/>
          </w:rPr>
          <w:tab/>
        </w:r>
        <w:r w:rsidR="005D02CD">
          <w:rPr>
            <w:noProof/>
            <w:webHidden/>
          </w:rPr>
          <w:fldChar w:fldCharType="begin"/>
        </w:r>
        <w:r w:rsidR="005D02CD">
          <w:rPr>
            <w:noProof/>
            <w:webHidden/>
          </w:rPr>
          <w:instrText xml:space="preserve"> PAGEREF _Toc157514658 \h </w:instrText>
        </w:r>
        <w:r w:rsidR="005D02CD">
          <w:rPr>
            <w:noProof/>
            <w:webHidden/>
          </w:rPr>
        </w:r>
        <w:r w:rsidR="005D02CD">
          <w:rPr>
            <w:noProof/>
            <w:webHidden/>
          </w:rPr>
          <w:fldChar w:fldCharType="separate"/>
        </w:r>
        <w:r w:rsidR="00FF38DD">
          <w:rPr>
            <w:noProof/>
            <w:webHidden/>
          </w:rPr>
          <w:t>9</w:t>
        </w:r>
        <w:r w:rsidR="005D02CD">
          <w:rPr>
            <w:noProof/>
            <w:webHidden/>
          </w:rPr>
          <w:fldChar w:fldCharType="end"/>
        </w:r>
      </w:hyperlink>
    </w:p>
    <w:p w14:paraId="30232909" w14:textId="3EB1A954"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59" w:history="1">
        <w:r w:rsidR="005D02CD" w:rsidRPr="00816DBE">
          <w:rPr>
            <w:rStyle w:val="Hyperlink"/>
            <w:noProof/>
          </w:rPr>
          <w:t>Fixed network access facility charge</w:t>
        </w:r>
        <w:r w:rsidR="005D02CD">
          <w:rPr>
            <w:noProof/>
            <w:webHidden/>
          </w:rPr>
          <w:tab/>
        </w:r>
        <w:r w:rsidR="005D02CD">
          <w:rPr>
            <w:noProof/>
            <w:webHidden/>
          </w:rPr>
          <w:fldChar w:fldCharType="begin"/>
        </w:r>
        <w:r w:rsidR="005D02CD">
          <w:rPr>
            <w:noProof/>
            <w:webHidden/>
          </w:rPr>
          <w:instrText xml:space="preserve"> PAGEREF _Toc157514659 \h </w:instrText>
        </w:r>
        <w:r w:rsidR="005D02CD">
          <w:rPr>
            <w:noProof/>
            <w:webHidden/>
          </w:rPr>
        </w:r>
        <w:r w:rsidR="005D02CD">
          <w:rPr>
            <w:noProof/>
            <w:webHidden/>
          </w:rPr>
          <w:fldChar w:fldCharType="separate"/>
        </w:r>
        <w:r w:rsidR="00FF38DD">
          <w:rPr>
            <w:noProof/>
            <w:webHidden/>
          </w:rPr>
          <w:t>9</w:t>
        </w:r>
        <w:r w:rsidR="005D02CD">
          <w:rPr>
            <w:noProof/>
            <w:webHidden/>
          </w:rPr>
          <w:fldChar w:fldCharType="end"/>
        </w:r>
      </w:hyperlink>
    </w:p>
    <w:p w14:paraId="4FEA1DBA" w14:textId="339F9CB7"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60" w:history="1">
        <w:r w:rsidR="005D02CD" w:rsidRPr="00816DBE">
          <w:rPr>
            <w:rStyle w:val="Hyperlink"/>
            <w:noProof/>
          </w:rPr>
          <w:t>Executive call priority access facility charge</w:t>
        </w:r>
        <w:r w:rsidR="005D02CD">
          <w:rPr>
            <w:noProof/>
            <w:webHidden/>
          </w:rPr>
          <w:tab/>
        </w:r>
        <w:r w:rsidR="005D02CD">
          <w:rPr>
            <w:noProof/>
            <w:webHidden/>
          </w:rPr>
          <w:fldChar w:fldCharType="begin"/>
        </w:r>
        <w:r w:rsidR="005D02CD">
          <w:rPr>
            <w:noProof/>
            <w:webHidden/>
          </w:rPr>
          <w:instrText xml:space="preserve"> PAGEREF _Toc157514660 \h </w:instrText>
        </w:r>
        <w:r w:rsidR="005D02CD">
          <w:rPr>
            <w:noProof/>
            <w:webHidden/>
          </w:rPr>
        </w:r>
        <w:r w:rsidR="005D02CD">
          <w:rPr>
            <w:noProof/>
            <w:webHidden/>
          </w:rPr>
          <w:fldChar w:fldCharType="separate"/>
        </w:r>
        <w:r w:rsidR="00FF38DD">
          <w:rPr>
            <w:noProof/>
            <w:webHidden/>
          </w:rPr>
          <w:t>9</w:t>
        </w:r>
        <w:r w:rsidR="005D02CD">
          <w:rPr>
            <w:noProof/>
            <w:webHidden/>
          </w:rPr>
          <w:fldChar w:fldCharType="end"/>
        </w:r>
      </w:hyperlink>
    </w:p>
    <w:p w14:paraId="63835224" w14:textId="3465936E"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61" w:history="1">
        <w:r w:rsidR="005D02CD" w:rsidRPr="00816DBE">
          <w:rPr>
            <w:rStyle w:val="Hyperlink"/>
            <w:iCs/>
            <w:noProof/>
          </w:rPr>
          <w:t>Fixed call charges</w:t>
        </w:r>
        <w:r w:rsidR="005D02CD">
          <w:rPr>
            <w:noProof/>
            <w:webHidden/>
          </w:rPr>
          <w:tab/>
        </w:r>
        <w:r w:rsidR="005D02CD">
          <w:rPr>
            <w:noProof/>
            <w:webHidden/>
          </w:rPr>
          <w:fldChar w:fldCharType="begin"/>
        </w:r>
        <w:r w:rsidR="005D02CD">
          <w:rPr>
            <w:noProof/>
            <w:webHidden/>
          </w:rPr>
          <w:instrText xml:space="preserve"> PAGEREF _Toc157514661 \h </w:instrText>
        </w:r>
        <w:r w:rsidR="005D02CD">
          <w:rPr>
            <w:noProof/>
            <w:webHidden/>
          </w:rPr>
        </w:r>
        <w:r w:rsidR="005D02CD">
          <w:rPr>
            <w:noProof/>
            <w:webHidden/>
          </w:rPr>
          <w:fldChar w:fldCharType="separate"/>
        </w:r>
        <w:r w:rsidR="00FF38DD">
          <w:rPr>
            <w:noProof/>
            <w:webHidden/>
          </w:rPr>
          <w:t>10</w:t>
        </w:r>
        <w:r w:rsidR="005D02CD">
          <w:rPr>
            <w:noProof/>
            <w:webHidden/>
          </w:rPr>
          <w:fldChar w:fldCharType="end"/>
        </w:r>
      </w:hyperlink>
    </w:p>
    <w:p w14:paraId="3FF32CA9" w14:textId="1B5D314E"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62" w:history="1">
        <w:r w:rsidR="005D02CD" w:rsidRPr="00816DBE">
          <w:rPr>
            <w:rStyle w:val="Hyperlink"/>
            <w:iCs/>
            <w:noProof/>
          </w:rPr>
          <w:t>Call diversion charges</w:t>
        </w:r>
        <w:r w:rsidR="005D02CD">
          <w:rPr>
            <w:noProof/>
            <w:webHidden/>
          </w:rPr>
          <w:tab/>
        </w:r>
        <w:r w:rsidR="005D02CD">
          <w:rPr>
            <w:noProof/>
            <w:webHidden/>
          </w:rPr>
          <w:fldChar w:fldCharType="begin"/>
        </w:r>
        <w:r w:rsidR="005D02CD">
          <w:rPr>
            <w:noProof/>
            <w:webHidden/>
          </w:rPr>
          <w:instrText xml:space="preserve"> PAGEREF _Toc157514662 \h </w:instrText>
        </w:r>
        <w:r w:rsidR="005D02CD">
          <w:rPr>
            <w:noProof/>
            <w:webHidden/>
          </w:rPr>
        </w:r>
        <w:r w:rsidR="005D02CD">
          <w:rPr>
            <w:noProof/>
            <w:webHidden/>
          </w:rPr>
          <w:fldChar w:fldCharType="separate"/>
        </w:r>
        <w:r w:rsidR="00FF38DD">
          <w:rPr>
            <w:noProof/>
            <w:webHidden/>
          </w:rPr>
          <w:t>10</w:t>
        </w:r>
        <w:r w:rsidR="005D02CD">
          <w:rPr>
            <w:noProof/>
            <w:webHidden/>
          </w:rPr>
          <w:fldChar w:fldCharType="end"/>
        </w:r>
      </w:hyperlink>
    </w:p>
    <w:p w14:paraId="6F05135A" w14:textId="6D374905"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63" w:history="1">
        <w:r w:rsidR="005D02CD" w:rsidRPr="00816DBE">
          <w:rPr>
            <w:rStyle w:val="Hyperlink"/>
            <w:iCs/>
            <w:noProof/>
          </w:rPr>
          <w:t>Line dispatcher/PABX interface charges</w:t>
        </w:r>
        <w:r w:rsidR="005D02CD">
          <w:rPr>
            <w:noProof/>
            <w:webHidden/>
          </w:rPr>
          <w:tab/>
        </w:r>
        <w:r w:rsidR="005D02CD">
          <w:rPr>
            <w:noProof/>
            <w:webHidden/>
          </w:rPr>
          <w:fldChar w:fldCharType="begin"/>
        </w:r>
        <w:r w:rsidR="005D02CD">
          <w:rPr>
            <w:noProof/>
            <w:webHidden/>
          </w:rPr>
          <w:instrText xml:space="preserve"> PAGEREF _Toc157514663 \h </w:instrText>
        </w:r>
        <w:r w:rsidR="005D02CD">
          <w:rPr>
            <w:noProof/>
            <w:webHidden/>
          </w:rPr>
        </w:r>
        <w:r w:rsidR="005D02CD">
          <w:rPr>
            <w:noProof/>
            <w:webHidden/>
          </w:rPr>
          <w:fldChar w:fldCharType="separate"/>
        </w:r>
        <w:r w:rsidR="00FF38DD">
          <w:rPr>
            <w:noProof/>
            <w:webHidden/>
          </w:rPr>
          <w:t>10</w:t>
        </w:r>
        <w:r w:rsidR="005D02CD">
          <w:rPr>
            <w:noProof/>
            <w:webHidden/>
          </w:rPr>
          <w:fldChar w:fldCharType="end"/>
        </w:r>
      </w:hyperlink>
    </w:p>
    <w:p w14:paraId="30C45A3C" w14:textId="01556884"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64" w:history="1">
        <w:r w:rsidR="005D02CD" w:rsidRPr="00816DBE">
          <w:rPr>
            <w:rStyle w:val="Hyperlink"/>
            <w:iCs/>
            <w:noProof/>
          </w:rPr>
          <w:t>Call barring charges</w:t>
        </w:r>
        <w:r w:rsidR="005D02CD">
          <w:rPr>
            <w:noProof/>
            <w:webHidden/>
          </w:rPr>
          <w:tab/>
        </w:r>
        <w:r w:rsidR="005D02CD">
          <w:rPr>
            <w:noProof/>
            <w:webHidden/>
          </w:rPr>
          <w:fldChar w:fldCharType="begin"/>
        </w:r>
        <w:r w:rsidR="005D02CD">
          <w:rPr>
            <w:noProof/>
            <w:webHidden/>
          </w:rPr>
          <w:instrText xml:space="preserve"> PAGEREF _Toc157514664 \h </w:instrText>
        </w:r>
        <w:r w:rsidR="005D02CD">
          <w:rPr>
            <w:noProof/>
            <w:webHidden/>
          </w:rPr>
        </w:r>
        <w:r w:rsidR="005D02CD">
          <w:rPr>
            <w:noProof/>
            <w:webHidden/>
          </w:rPr>
          <w:fldChar w:fldCharType="separate"/>
        </w:r>
        <w:r w:rsidR="00FF38DD">
          <w:rPr>
            <w:noProof/>
            <w:webHidden/>
          </w:rPr>
          <w:t>11</w:t>
        </w:r>
        <w:r w:rsidR="005D02CD">
          <w:rPr>
            <w:noProof/>
            <w:webHidden/>
          </w:rPr>
          <w:fldChar w:fldCharType="end"/>
        </w:r>
      </w:hyperlink>
    </w:p>
    <w:p w14:paraId="77C6710E" w14:textId="7AA95D21"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65" w:history="1">
        <w:r w:rsidR="005D02CD" w:rsidRPr="00816DBE">
          <w:rPr>
            <w:rStyle w:val="Hyperlink"/>
            <w:iCs/>
            <w:noProof/>
          </w:rPr>
          <w:t>Individual account charges</w:t>
        </w:r>
        <w:r w:rsidR="005D02CD">
          <w:rPr>
            <w:noProof/>
            <w:webHidden/>
          </w:rPr>
          <w:tab/>
        </w:r>
        <w:r w:rsidR="005D02CD">
          <w:rPr>
            <w:noProof/>
            <w:webHidden/>
          </w:rPr>
          <w:fldChar w:fldCharType="begin"/>
        </w:r>
        <w:r w:rsidR="005D02CD">
          <w:rPr>
            <w:noProof/>
            <w:webHidden/>
          </w:rPr>
          <w:instrText xml:space="preserve"> PAGEREF _Toc157514665 \h </w:instrText>
        </w:r>
        <w:r w:rsidR="005D02CD">
          <w:rPr>
            <w:noProof/>
            <w:webHidden/>
          </w:rPr>
        </w:r>
        <w:r w:rsidR="005D02CD">
          <w:rPr>
            <w:noProof/>
            <w:webHidden/>
          </w:rPr>
          <w:fldChar w:fldCharType="separate"/>
        </w:r>
        <w:r w:rsidR="00FF38DD">
          <w:rPr>
            <w:noProof/>
            <w:webHidden/>
          </w:rPr>
          <w:t>11</w:t>
        </w:r>
        <w:r w:rsidR="005D02CD">
          <w:rPr>
            <w:noProof/>
            <w:webHidden/>
          </w:rPr>
          <w:fldChar w:fldCharType="end"/>
        </w:r>
      </w:hyperlink>
    </w:p>
    <w:p w14:paraId="12EC2E4F" w14:textId="567B74B9" w:rsidR="005D02CD"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7514666" w:history="1">
        <w:r w:rsidR="005D02CD" w:rsidRPr="00816DBE">
          <w:rPr>
            <w:rStyle w:val="Hyperlink"/>
            <w:iCs/>
            <w:noProof/>
          </w:rPr>
          <w:t>Mobile to mobile restricted access charges</w:t>
        </w:r>
        <w:r w:rsidR="005D02CD">
          <w:rPr>
            <w:noProof/>
            <w:webHidden/>
          </w:rPr>
          <w:tab/>
        </w:r>
        <w:r w:rsidR="005D02CD">
          <w:rPr>
            <w:noProof/>
            <w:webHidden/>
          </w:rPr>
          <w:fldChar w:fldCharType="begin"/>
        </w:r>
        <w:r w:rsidR="005D02CD">
          <w:rPr>
            <w:noProof/>
            <w:webHidden/>
          </w:rPr>
          <w:instrText xml:space="preserve"> PAGEREF _Toc157514666 \h </w:instrText>
        </w:r>
        <w:r w:rsidR="005D02CD">
          <w:rPr>
            <w:noProof/>
            <w:webHidden/>
          </w:rPr>
        </w:r>
        <w:r w:rsidR="005D02CD">
          <w:rPr>
            <w:noProof/>
            <w:webHidden/>
          </w:rPr>
          <w:fldChar w:fldCharType="separate"/>
        </w:r>
        <w:r w:rsidR="00FF38DD">
          <w:rPr>
            <w:noProof/>
            <w:webHidden/>
          </w:rPr>
          <w:t>11</w:t>
        </w:r>
        <w:r w:rsidR="005D02CD">
          <w:rPr>
            <w:noProof/>
            <w:webHidden/>
          </w:rPr>
          <w:fldChar w:fldCharType="end"/>
        </w:r>
      </w:hyperlink>
    </w:p>
    <w:p w14:paraId="040952C1" w14:textId="09B948DF" w:rsidR="00732ADB" w:rsidRDefault="00732ADB">
      <w:pPr>
        <w:ind w:right="1273"/>
        <w:rPr>
          <w:rFonts w:ascii="Arial" w:hAnsi="Arial"/>
          <w:sz w:val="21"/>
        </w:rPr>
      </w:pPr>
      <w:r>
        <w:rPr>
          <w:rFonts w:ascii="Arial" w:hAnsi="Arial"/>
          <w:sz w:val="21"/>
        </w:rPr>
        <w:fldChar w:fldCharType="end"/>
      </w:r>
    </w:p>
    <w:p w14:paraId="74B866F7" w14:textId="77777777" w:rsidR="00732ADB" w:rsidRDefault="00732ADB" w:rsidP="00732ADB">
      <w:pPr>
        <w:pStyle w:val="Heading1"/>
        <w:numPr>
          <w:ilvl w:val="0"/>
          <w:numId w:val="0"/>
        </w:numPr>
      </w:pPr>
      <w:r>
        <w:br w:type="page"/>
      </w:r>
      <w:bookmarkStart w:id="2" w:name="_Toc52095567"/>
      <w:bookmarkStart w:id="3" w:name="_Toc52158044"/>
    </w:p>
    <w:p w14:paraId="6152FC0D" w14:textId="77777777" w:rsidR="00732ADB" w:rsidRDefault="00732ADB">
      <w:pPr>
        <w:spacing w:after="240"/>
        <w:rPr>
          <w:rFonts w:ascii="Arial" w:hAnsi="Arial" w:cs="Arial"/>
        </w:rPr>
      </w:pPr>
      <w:r>
        <w:rPr>
          <w:rFonts w:ascii="Arial" w:hAnsi="Arial" w:cs="Arial"/>
          <w:bCs/>
          <w:sz w:val="21"/>
        </w:rPr>
        <w:lastRenderedPageBreak/>
        <w:t xml:space="preserve">Certain words are used with the specific meanings set out in </w:t>
      </w:r>
      <w:hyperlink r:id="rId11" w:history="1">
        <w:r>
          <w:rPr>
            <w:rStyle w:val="Hyperlink"/>
            <w:rFonts w:ascii="Arial" w:hAnsi="Arial" w:cs="Arial"/>
            <w:bCs/>
            <w:sz w:val="21"/>
          </w:rPr>
          <w:t>the General Terms of Our Customer Terms</w:t>
        </w:r>
      </w:hyperlink>
      <w:r>
        <w:rPr>
          <w:rFonts w:ascii="Arial" w:hAnsi="Arial" w:cs="Arial"/>
          <w:bCs/>
          <w:sz w:val="21"/>
        </w:rPr>
        <w:t>.</w:t>
      </w:r>
    </w:p>
    <w:p w14:paraId="479C7556" w14:textId="77777777" w:rsidR="00732ADB" w:rsidRDefault="00732ADB">
      <w:pPr>
        <w:pStyle w:val="Heading1"/>
      </w:pPr>
      <w:bookmarkStart w:id="4" w:name="_Toc74821832"/>
      <w:bookmarkStart w:id="5" w:name="_Toc256000001"/>
      <w:bookmarkStart w:id="6" w:name="_Toc256000032"/>
      <w:bookmarkStart w:id="7" w:name="_Toc157514637"/>
      <w:r>
        <w:t>About the SMR Commercial Service</w:t>
      </w:r>
      <w:bookmarkEnd w:id="2"/>
      <w:r>
        <w:t xml:space="preserve"> Section</w:t>
      </w:r>
      <w:bookmarkEnd w:id="3"/>
      <w:bookmarkEnd w:id="4"/>
      <w:bookmarkEnd w:id="5"/>
      <w:bookmarkEnd w:id="6"/>
      <w:bookmarkEnd w:id="7"/>
    </w:p>
    <w:p w14:paraId="584E2C52" w14:textId="77777777" w:rsidR="00732ADB" w:rsidRDefault="00732ADB">
      <w:pPr>
        <w:pStyle w:val="Indent1"/>
      </w:pPr>
      <w:bookmarkStart w:id="8" w:name="_Toc50544121"/>
      <w:bookmarkStart w:id="9" w:name="_Toc74821833"/>
      <w:bookmarkStart w:id="10" w:name="_Toc256000002"/>
      <w:bookmarkStart w:id="11" w:name="_Toc256000033"/>
      <w:bookmarkStart w:id="12" w:name="_Toc157514638"/>
      <w:r>
        <w:t>Our Customer Terms</w:t>
      </w:r>
      <w:bookmarkEnd w:id="8"/>
      <w:bookmarkEnd w:id="9"/>
      <w:bookmarkEnd w:id="10"/>
      <w:bookmarkEnd w:id="11"/>
      <w:bookmarkEnd w:id="12"/>
    </w:p>
    <w:p w14:paraId="4A073BF3" w14:textId="77777777" w:rsidR="00732ADB" w:rsidRDefault="00732ADB">
      <w:pPr>
        <w:pStyle w:val="Heading2"/>
      </w:pPr>
      <w:r>
        <w:t>This is the SMR Commercial Service section of Our Customer Terms.</w:t>
      </w:r>
    </w:p>
    <w:p w14:paraId="1293C447" w14:textId="77777777" w:rsidR="00732ADB" w:rsidRDefault="00000000">
      <w:pPr>
        <w:pStyle w:val="Heading2"/>
      </w:pPr>
      <w:hyperlink r:id="rId12" w:history="1">
        <w:r w:rsidR="00732ADB">
          <w:rPr>
            <w:rStyle w:val="Hyperlink"/>
          </w:rPr>
          <w:t>The General Terms of Our Customer Terms</w:t>
        </w:r>
      </w:hyperlink>
      <w:r w:rsidR="00732ADB">
        <w:t xml:space="preserve"> apply.</w:t>
      </w:r>
    </w:p>
    <w:p w14:paraId="49DD99F4" w14:textId="77777777" w:rsidR="00732ADB" w:rsidRDefault="00732ADB">
      <w:pPr>
        <w:pStyle w:val="Indent1"/>
      </w:pPr>
      <w:bookmarkStart w:id="13" w:name="_Toc50544122"/>
      <w:bookmarkStart w:id="14" w:name="_Toc74821834"/>
      <w:bookmarkStart w:id="15" w:name="_Toc256000003"/>
      <w:bookmarkStart w:id="16" w:name="_Toc256000034"/>
      <w:bookmarkStart w:id="17" w:name="_Toc157514639"/>
      <w:r>
        <w:t>Inconsistencies</w:t>
      </w:r>
      <w:bookmarkEnd w:id="13"/>
      <w:bookmarkEnd w:id="14"/>
      <w:bookmarkEnd w:id="15"/>
      <w:bookmarkEnd w:id="16"/>
      <w:bookmarkEnd w:id="17"/>
    </w:p>
    <w:p w14:paraId="55680E64" w14:textId="77777777" w:rsidR="00732ADB" w:rsidRDefault="00732ADB">
      <w:pPr>
        <w:pStyle w:val="Heading2"/>
      </w:pPr>
      <w:r>
        <w:t>If the General Terms of Our Customer Terms are inconsistent with something in the SMR Commercial Service section, then the SMR Commercial Service section applies instead of the General Terms to the extent of the inconsistency.</w:t>
      </w:r>
    </w:p>
    <w:p w14:paraId="13FCE99F" w14:textId="77777777" w:rsidR="00732ADB" w:rsidRDefault="00732ADB">
      <w:pPr>
        <w:pStyle w:val="Heading2"/>
      </w:pPr>
      <w:r>
        <w:t>If a provision of the SMR Commercial Service section gives us the right to suspend or terminate your service, that right is in addition to our rights to suspend or terminate your service under the General Terms of Our Customer Terms.</w:t>
      </w:r>
    </w:p>
    <w:p w14:paraId="689B43B0" w14:textId="77777777" w:rsidR="00732ADB" w:rsidRDefault="00732ADB">
      <w:pPr>
        <w:pStyle w:val="Heading1"/>
      </w:pPr>
      <w:bookmarkStart w:id="18" w:name="_Toc74821835"/>
      <w:bookmarkStart w:id="19" w:name="_Toc256000004"/>
      <w:bookmarkStart w:id="20" w:name="_Toc256000035"/>
      <w:bookmarkStart w:id="21" w:name="_Toc157514640"/>
      <w:r>
        <w:t>SMR Commercial Service</w:t>
      </w:r>
      <w:bookmarkEnd w:id="18"/>
      <w:bookmarkEnd w:id="19"/>
      <w:bookmarkEnd w:id="20"/>
      <w:bookmarkEnd w:id="21"/>
    </w:p>
    <w:p w14:paraId="2780A95B" w14:textId="77777777" w:rsidR="00732ADB" w:rsidRDefault="00732ADB">
      <w:pPr>
        <w:pStyle w:val="Indent1"/>
      </w:pPr>
      <w:bookmarkStart w:id="22" w:name="_Toc74821836"/>
      <w:bookmarkStart w:id="23" w:name="_Toc256000005"/>
      <w:bookmarkStart w:id="24" w:name="_Toc256000036"/>
      <w:bookmarkStart w:id="25" w:name="_Toc157514641"/>
      <w:r>
        <w:t>What is SMR Commercial?</w:t>
      </w:r>
      <w:bookmarkEnd w:id="22"/>
      <w:bookmarkEnd w:id="23"/>
      <w:bookmarkEnd w:id="24"/>
      <w:bookmarkEnd w:id="25"/>
    </w:p>
    <w:p w14:paraId="0DEDC98D" w14:textId="77777777" w:rsidR="00732ADB" w:rsidRDefault="00732ADB">
      <w:pPr>
        <w:pStyle w:val="Heading2"/>
      </w:pPr>
      <w:r>
        <w:t>Telstra’s SMR Commercial Service lets you use VHF radio units (called mobiles) to make and receive radio-telephone calls to and from other mobiles that you operate within the same fleet in Victoria only.</w:t>
      </w:r>
    </w:p>
    <w:p w14:paraId="7659D041" w14:textId="77777777" w:rsidR="00732ADB" w:rsidRDefault="00732ADB">
      <w:pPr>
        <w:pStyle w:val="Heading2"/>
      </w:pPr>
      <w:r>
        <w:t xml:space="preserve">The SMR Commercial Service is an invitation-only service </w:t>
      </w:r>
      <w:r w:rsidRPr="004C41CD">
        <w:t xml:space="preserve">for eligible </w:t>
      </w:r>
      <w:r w:rsidRPr="00AD7AE8">
        <w:t xml:space="preserve">existing </w:t>
      </w:r>
      <w:r w:rsidRPr="004C41CD">
        <w:t>customers</w:t>
      </w:r>
      <w:r>
        <w:t xml:space="preserve"> and not available to all customers. We will determine your eligibility for the SMR Commercial Service in our absolute discretion.</w:t>
      </w:r>
    </w:p>
    <w:p w14:paraId="1240E642" w14:textId="0F64D84A" w:rsidR="00016C9B" w:rsidRDefault="00016C9B">
      <w:pPr>
        <w:pStyle w:val="Heading2"/>
      </w:pPr>
      <w:r>
        <w:rPr>
          <w:rStyle w:val="ui-provider"/>
        </w:rPr>
        <w:t>From June 2024, the SMR Commercial Service will be passive cease sold and remain only available to existing eligible customers as per point 2.2 above.</w:t>
      </w:r>
    </w:p>
    <w:p w14:paraId="6E9749FE" w14:textId="759FE5A3" w:rsidR="00732ADB" w:rsidRPr="00AD7AE8" w:rsidRDefault="00732ADB" w:rsidP="00732ADB">
      <w:pPr>
        <w:pStyle w:val="Heading2"/>
      </w:pPr>
      <w:r w:rsidRPr="004C41CD">
        <w:t xml:space="preserve">The SMR Commercial service will </w:t>
      </w:r>
      <w:r w:rsidRPr="00E272A7">
        <w:t xml:space="preserve">be </w:t>
      </w:r>
      <w:r w:rsidR="00016C9B">
        <w:t xml:space="preserve">fully </w:t>
      </w:r>
      <w:r w:rsidRPr="00E272A7">
        <w:t>exited on t</w:t>
      </w:r>
      <w:r w:rsidRPr="00AD7AE8">
        <w:t xml:space="preserve">he earlier of: </w:t>
      </w:r>
    </w:p>
    <w:p w14:paraId="3CFE8332" w14:textId="18D03876" w:rsidR="00732ADB" w:rsidRPr="00AD7AE8" w:rsidRDefault="00016C9B" w:rsidP="00732ADB">
      <w:pPr>
        <w:pStyle w:val="Heading3"/>
      </w:pPr>
      <w:r>
        <w:t xml:space="preserve">30 June </w:t>
      </w:r>
      <w:proofErr w:type="gramStart"/>
      <w:r>
        <w:t xml:space="preserve">2026 </w:t>
      </w:r>
      <w:r w:rsidR="00732ADB" w:rsidRPr="00AD7AE8">
        <w:t>;</w:t>
      </w:r>
      <w:proofErr w:type="gramEnd"/>
      <w:r w:rsidR="00732ADB" w:rsidRPr="00AD7AE8">
        <w:t xml:space="preserve"> or </w:t>
      </w:r>
    </w:p>
    <w:p w14:paraId="0AFBDAA0" w14:textId="77777777" w:rsidR="00732ADB" w:rsidRPr="00AD7AE8" w:rsidRDefault="00732ADB" w:rsidP="00732ADB">
      <w:pPr>
        <w:pStyle w:val="Heading3"/>
      </w:pPr>
      <w:r w:rsidRPr="00AD7AE8">
        <w:t>another date nominated by us in our absolute discretion,</w:t>
      </w:r>
    </w:p>
    <w:p w14:paraId="7AFEEE35" w14:textId="77777777" w:rsidR="00732ADB" w:rsidRPr="00E272A7" w:rsidRDefault="00732ADB" w:rsidP="00732ADB">
      <w:pPr>
        <w:pStyle w:val="Heading3"/>
        <w:numPr>
          <w:ilvl w:val="0"/>
          <w:numId w:val="0"/>
        </w:numPr>
        <w:ind w:left="1474" w:hanging="737"/>
      </w:pPr>
      <w:r w:rsidRPr="00AD7AE8">
        <w:t>(“</w:t>
      </w:r>
      <w:r w:rsidRPr="00AD7AE8">
        <w:rPr>
          <w:b/>
          <w:bCs/>
        </w:rPr>
        <w:t>Exit Date</w:t>
      </w:r>
      <w:r w:rsidRPr="004C41CD">
        <w:t>”)</w:t>
      </w:r>
    </w:p>
    <w:p w14:paraId="21056F67" w14:textId="77777777" w:rsidR="00732ADB" w:rsidRPr="00AD7AE8" w:rsidRDefault="00732ADB" w:rsidP="00732ADB">
      <w:pPr>
        <w:pStyle w:val="Heading2"/>
      </w:pPr>
      <w:r w:rsidRPr="00AD7AE8">
        <w:t xml:space="preserve">On and from the Exit Date, the SMR Commercial Service will cease to be available to all customers. </w:t>
      </w:r>
    </w:p>
    <w:p w14:paraId="688F778A" w14:textId="77777777" w:rsidR="00732ADB" w:rsidRPr="00AD7AE8" w:rsidRDefault="00732ADB" w:rsidP="00732ADB">
      <w:pPr>
        <w:pStyle w:val="Heading2"/>
      </w:pPr>
      <w:r w:rsidRPr="00AD7AE8">
        <w:lastRenderedPageBreak/>
        <w:t>We</w:t>
      </w:r>
      <w:r w:rsidRPr="004C41CD">
        <w:t xml:space="preserve"> </w:t>
      </w:r>
      <w:r w:rsidRPr="00AD7AE8">
        <w:t>may</w:t>
      </w:r>
      <w:r w:rsidRPr="004C41CD">
        <w:t xml:space="preserve"> </w:t>
      </w:r>
      <w:r w:rsidRPr="00AD7AE8">
        <w:t>terminate</w:t>
      </w:r>
      <w:r w:rsidRPr="004C41CD">
        <w:t xml:space="preserve"> </w:t>
      </w:r>
      <w:r w:rsidRPr="00AD7AE8">
        <w:t>your</w:t>
      </w:r>
      <w:r w:rsidRPr="004C41CD">
        <w:t xml:space="preserve"> SMR Com</w:t>
      </w:r>
      <w:r w:rsidRPr="00E272A7">
        <w:t xml:space="preserve">mercial Service </w:t>
      </w:r>
      <w:r w:rsidRPr="00AD7AE8">
        <w:t xml:space="preserve">in our sole discretion at any time </w:t>
      </w:r>
      <w:r w:rsidRPr="004C41CD">
        <w:t>if you are no longer eligible for the SMR Commercial Service</w:t>
      </w:r>
      <w:r w:rsidRPr="00E272A7">
        <w:t>.</w:t>
      </w:r>
      <w:r w:rsidRPr="00AD7AE8">
        <w:t xml:space="preserve"> </w:t>
      </w:r>
    </w:p>
    <w:p w14:paraId="62E9E104" w14:textId="77777777" w:rsidR="00732ADB" w:rsidRPr="004C41CD" w:rsidRDefault="00732ADB" w:rsidP="00732ADB">
      <w:pPr>
        <w:pStyle w:val="Heading2"/>
      </w:pPr>
      <w:r w:rsidRPr="00AD7AE8">
        <w:t xml:space="preserve">If we decide to terminate the SMR Commercial Service before the Exit Date or </w:t>
      </w:r>
      <w:proofErr w:type="gramStart"/>
      <w:r w:rsidRPr="00AD7AE8">
        <w:t>we decide</w:t>
      </w:r>
      <w:proofErr w:type="gramEnd"/>
      <w:r w:rsidRPr="00AD7AE8">
        <w:t xml:space="preserve"> that you are no longer eligible for the SMR Commercial Service, we will notify you in writing prior to terminating the SMR Commercial Service. </w:t>
      </w:r>
    </w:p>
    <w:p w14:paraId="416A4845" w14:textId="77777777" w:rsidR="00732ADB" w:rsidRDefault="00732ADB">
      <w:pPr>
        <w:pStyle w:val="Indent1"/>
      </w:pPr>
      <w:bookmarkStart w:id="26" w:name="_Toc74821837"/>
      <w:bookmarkStart w:id="27" w:name="_Toc256000006"/>
      <w:bookmarkStart w:id="28" w:name="_Toc256000037"/>
      <w:bookmarkStart w:id="29" w:name="_Toc157514642"/>
      <w:r>
        <w:t>Service features</w:t>
      </w:r>
      <w:bookmarkEnd w:id="26"/>
      <w:bookmarkEnd w:id="27"/>
      <w:bookmarkEnd w:id="28"/>
      <w:bookmarkEnd w:id="29"/>
    </w:p>
    <w:p w14:paraId="25635589" w14:textId="77777777" w:rsidR="00732ADB" w:rsidRDefault="00732ADB">
      <w:pPr>
        <w:pStyle w:val="Heading2"/>
        <w:rPr>
          <w:iCs/>
        </w:rPr>
      </w:pPr>
      <w:r>
        <w:rPr>
          <w:iCs/>
        </w:rPr>
        <w:t>You will receive:</w:t>
      </w:r>
    </w:p>
    <w:p w14:paraId="6ED533C5" w14:textId="77777777" w:rsidR="00732ADB" w:rsidRDefault="00732ADB">
      <w:pPr>
        <w:pStyle w:val="Heading3"/>
      </w:pPr>
      <w:r>
        <w:t xml:space="preserve">access to the </w:t>
      </w:r>
      <w:r>
        <w:rPr>
          <w:iCs/>
        </w:rPr>
        <w:t xml:space="preserve">Trunked Land Mobile Radio Service </w:t>
      </w:r>
      <w:r w:rsidRPr="004C41CD">
        <w:rPr>
          <w:iCs/>
        </w:rPr>
        <w:t xml:space="preserve">in </w:t>
      </w:r>
      <w:proofErr w:type="gramStart"/>
      <w:r w:rsidRPr="004C41CD">
        <w:rPr>
          <w:iCs/>
        </w:rPr>
        <w:t>V</w:t>
      </w:r>
      <w:r w:rsidRPr="00C7030A">
        <w:rPr>
          <w:iCs/>
        </w:rPr>
        <w:t>i</w:t>
      </w:r>
      <w:r w:rsidRPr="004C41CD">
        <w:rPr>
          <w:iCs/>
        </w:rPr>
        <w:t>ctoria</w:t>
      </w:r>
      <w:r>
        <w:t>;</w:t>
      </w:r>
      <w:proofErr w:type="gramEnd"/>
    </w:p>
    <w:p w14:paraId="043005F4" w14:textId="77777777" w:rsidR="00732ADB" w:rsidRPr="00AD7AE8" w:rsidRDefault="00732ADB">
      <w:pPr>
        <w:pStyle w:val="Heading3"/>
      </w:pPr>
      <w:r w:rsidRPr="004C41CD">
        <w:t>a fleet nu</w:t>
      </w:r>
      <w:r w:rsidRPr="00E272A7">
        <w:t>mber or uniqu</w:t>
      </w:r>
      <w:r w:rsidRPr="00AD7AE8">
        <w:t>e network identification (if necessary</w:t>
      </w:r>
      <w:proofErr w:type="gramStart"/>
      <w:r w:rsidRPr="00AD7AE8">
        <w:t>);</w:t>
      </w:r>
      <w:proofErr w:type="gramEnd"/>
      <w:r w:rsidRPr="00AD7AE8">
        <w:t xml:space="preserve"> </w:t>
      </w:r>
    </w:p>
    <w:p w14:paraId="41611F02" w14:textId="77777777" w:rsidR="00732ADB" w:rsidRPr="00AD7AE8" w:rsidRDefault="00732ADB">
      <w:pPr>
        <w:pStyle w:val="Heading3"/>
      </w:pPr>
      <w:r w:rsidRPr="00AD7AE8">
        <w:t>a mobile number for each individual radio unit made of the fleet number followed by a unique number for the individual radio unit (if necessary</w:t>
      </w:r>
      <w:proofErr w:type="gramStart"/>
      <w:r w:rsidRPr="00AD7AE8">
        <w:t>);</w:t>
      </w:r>
      <w:proofErr w:type="gramEnd"/>
    </w:p>
    <w:p w14:paraId="45EF6080" w14:textId="77777777" w:rsidR="00732ADB" w:rsidRDefault="00732ADB">
      <w:pPr>
        <w:pStyle w:val="Heading3"/>
      </w:pPr>
      <w:r>
        <w:t xml:space="preserve">maintenance of any Telstra plant and equipment relating to the SMR Commercial Service </w:t>
      </w:r>
      <w:r w:rsidRPr="004C41CD">
        <w:t xml:space="preserve">in </w:t>
      </w:r>
      <w:proofErr w:type="gramStart"/>
      <w:r w:rsidRPr="004C41CD">
        <w:t>V</w:t>
      </w:r>
      <w:r w:rsidRPr="00C7030A">
        <w:t>ict</w:t>
      </w:r>
      <w:r w:rsidRPr="004C41CD">
        <w:t>oria</w:t>
      </w:r>
      <w:r>
        <w:t>;</w:t>
      </w:r>
      <w:proofErr w:type="gramEnd"/>
    </w:p>
    <w:p w14:paraId="0B55E100" w14:textId="77777777" w:rsidR="00732ADB" w:rsidRDefault="00732ADB">
      <w:pPr>
        <w:pStyle w:val="Heading3"/>
      </w:pPr>
      <w:r>
        <w:t>general service restoration for the SMR Commercial Service during standard business hours in Victoria (8:30 a.m. to 5:30 p.m. Monday to Friday, excluding public holidays); and</w:t>
      </w:r>
    </w:p>
    <w:p w14:paraId="78A56FF3" w14:textId="77777777" w:rsidR="00732ADB" w:rsidRDefault="00732ADB">
      <w:pPr>
        <w:pStyle w:val="Heading3"/>
      </w:pPr>
      <w:r>
        <w:t>a 24-hour help desk for the reporting of radio service faults, help inquiries and product information.</w:t>
      </w:r>
    </w:p>
    <w:p w14:paraId="7DC4AAE5" w14:textId="77777777" w:rsidR="00732ADB" w:rsidRDefault="00732ADB">
      <w:pPr>
        <w:pStyle w:val="Heading2"/>
      </w:pPr>
      <w:r>
        <w:rPr>
          <w:iCs/>
        </w:rPr>
        <w:t>In Victoria, you will be able to:</w:t>
      </w:r>
    </w:p>
    <w:p w14:paraId="7CDD0980" w14:textId="77777777" w:rsidR="00732ADB" w:rsidRDefault="00732ADB">
      <w:pPr>
        <w:pStyle w:val="Heading3"/>
        <w:ind w:left="1440" w:hanging="703"/>
        <w:rPr>
          <w:iCs/>
        </w:rPr>
      </w:pPr>
      <w:r>
        <w:rPr>
          <w:iCs/>
        </w:rPr>
        <w:t xml:space="preserve">transmit voice or data from a VHF radio unit simultaneously to other radio units within the same </w:t>
      </w:r>
      <w:r>
        <w:t>fleet</w:t>
      </w:r>
      <w:r>
        <w:rPr>
          <w:iCs/>
        </w:rPr>
        <w:t xml:space="preserve"> or to other SMR Commercial </w:t>
      </w:r>
      <w:proofErr w:type="gramStart"/>
      <w:r>
        <w:rPr>
          <w:iCs/>
        </w:rPr>
        <w:t>customers;</w:t>
      </w:r>
      <w:proofErr w:type="gramEnd"/>
    </w:p>
    <w:p w14:paraId="46C26C82" w14:textId="77777777" w:rsidR="00732ADB" w:rsidRDefault="00732ADB">
      <w:pPr>
        <w:pStyle w:val="Heading3"/>
        <w:ind w:left="1440" w:hanging="703"/>
        <w:rPr>
          <w:iCs/>
        </w:rPr>
      </w:pPr>
      <w:r>
        <w:rPr>
          <w:iCs/>
        </w:rPr>
        <w:t>transmit voice or data from a VHF radio unit to other communications services (</w:t>
      </w:r>
      <w:r>
        <w:t>such</w:t>
      </w:r>
      <w:r>
        <w:rPr>
          <w:iCs/>
        </w:rPr>
        <w:t xml:space="preserve"> as Telstra’s fixed or mobile services) if you have pre-arranged </w:t>
      </w:r>
      <w:proofErr w:type="gramStart"/>
      <w:r>
        <w:rPr>
          <w:iCs/>
        </w:rPr>
        <w:t>access;</w:t>
      </w:r>
      <w:proofErr w:type="gramEnd"/>
    </w:p>
    <w:p w14:paraId="2BC99E8E" w14:textId="77777777" w:rsidR="00732ADB" w:rsidRDefault="00732ADB">
      <w:pPr>
        <w:pStyle w:val="Heading3"/>
        <w:ind w:left="1440" w:hanging="703"/>
        <w:rPr>
          <w:iCs/>
        </w:rPr>
      </w:pPr>
      <w:r>
        <w:rPr>
          <w:iCs/>
        </w:rPr>
        <w:t xml:space="preserve">divert calls made to a particular </w:t>
      </w:r>
      <w:r>
        <w:t>VHF</w:t>
      </w:r>
      <w:r>
        <w:rPr>
          <w:iCs/>
        </w:rPr>
        <w:t xml:space="preserve"> radio unit under specific cases (</w:t>
      </w:r>
      <w:proofErr w:type="spellStart"/>
      <w:r>
        <w:rPr>
          <w:iCs/>
        </w:rPr>
        <w:t>eg</w:t>
      </w:r>
      <w:proofErr w:type="spellEnd"/>
      <w:r>
        <w:rPr>
          <w:iCs/>
        </w:rPr>
        <w:t>, when it is unattended); and</w:t>
      </w:r>
    </w:p>
    <w:p w14:paraId="70D47391" w14:textId="77777777" w:rsidR="00732ADB" w:rsidRDefault="00732ADB">
      <w:pPr>
        <w:pStyle w:val="Heading3"/>
      </w:pPr>
      <w:r>
        <w:t>select the coverage area needed for your individual business needs.</w:t>
      </w:r>
    </w:p>
    <w:p w14:paraId="2162748B" w14:textId="77777777" w:rsidR="00732ADB" w:rsidRDefault="00732ADB">
      <w:pPr>
        <w:pStyle w:val="Heading2"/>
      </w:pPr>
      <w:r>
        <w:rPr>
          <w:iCs/>
        </w:rPr>
        <w:t>To use the service, your radio equipment must be within radio range of the compatible VHF SMR Commercial network radio transmitting and receiving stations.  You must pre-arrange access to those stations with us.</w:t>
      </w:r>
    </w:p>
    <w:p w14:paraId="591DBD81" w14:textId="77777777" w:rsidR="00732ADB" w:rsidRDefault="00732ADB">
      <w:pPr>
        <w:pStyle w:val="Indent1"/>
      </w:pPr>
      <w:bookmarkStart w:id="30" w:name="_Toc74821838"/>
      <w:bookmarkStart w:id="31" w:name="_Toc256000007"/>
      <w:bookmarkStart w:id="32" w:name="_Toc256000038"/>
      <w:bookmarkStart w:id="33" w:name="_Toc157514643"/>
      <w:r>
        <w:t>Coverage</w:t>
      </w:r>
      <w:bookmarkEnd w:id="30"/>
      <w:bookmarkEnd w:id="31"/>
      <w:bookmarkEnd w:id="32"/>
      <w:bookmarkEnd w:id="33"/>
    </w:p>
    <w:p w14:paraId="64FBE2DD" w14:textId="77777777" w:rsidR="00732ADB" w:rsidRDefault="00732ADB">
      <w:pPr>
        <w:pStyle w:val="Heading2"/>
      </w:pPr>
      <w:r>
        <w:rPr>
          <w:iCs/>
        </w:rPr>
        <w:t>The coverage is available in Victoria only.  It is either:</w:t>
      </w:r>
    </w:p>
    <w:p w14:paraId="2E3B32CB" w14:textId="77777777" w:rsidR="00732ADB" w:rsidRDefault="00732ADB" w:rsidP="00732ADB">
      <w:pPr>
        <w:pStyle w:val="Indent3"/>
        <w:numPr>
          <w:ilvl w:val="0"/>
          <w:numId w:val="7"/>
        </w:numPr>
        <w:tabs>
          <w:tab w:val="clear" w:pos="737"/>
          <w:tab w:val="num" w:pos="1474"/>
        </w:tabs>
        <w:ind w:left="1474"/>
      </w:pPr>
      <w:r>
        <w:lastRenderedPageBreak/>
        <w:t xml:space="preserve">single or multiple </w:t>
      </w:r>
      <w:proofErr w:type="gramStart"/>
      <w:r>
        <w:t>sites;</w:t>
      </w:r>
      <w:proofErr w:type="gramEnd"/>
      <w:r>
        <w:t xml:space="preserve"> </w:t>
      </w:r>
    </w:p>
    <w:p w14:paraId="30186EE9" w14:textId="77777777" w:rsidR="00732ADB" w:rsidRDefault="00732ADB" w:rsidP="00732ADB">
      <w:pPr>
        <w:pStyle w:val="Indent3"/>
        <w:numPr>
          <w:ilvl w:val="0"/>
          <w:numId w:val="7"/>
        </w:numPr>
        <w:tabs>
          <w:tab w:val="clear" w:pos="737"/>
          <w:tab w:val="num" w:pos="1474"/>
        </w:tabs>
        <w:ind w:left="1474"/>
      </w:pPr>
      <w:r>
        <w:t>region or multiple regions; or</w:t>
      </w:r>
    </w:p>
    <w:p w14:paraId="3463C054" w14:textId="77777777" w:rsidR="00732ADB" w:rsidRPr="00C51E51" w:rsidRDefault="00732ADB" w:rsidP="00732ADB">
      <w:pPr>
        <w:pStyle w:val="Indent3"/>
        <w:numPr>
          <w:ilvl w:val="0"/>
          <w:numId w:val="7"/>
        </w:numPr>
        <w:tabs>
          <w:tab w:val="clear" w:pos="737"/>
          <w:tab w:val="num" w:pos="1474"/>
        </w:tabs>
        <w:ind w:left="1474"/>
        <w:rPr>
          <w:iCs/>
        </w:rPr>
      </w:pPr>
      <w:r>
        <w:t>state coverage (all sites).</w:t>
      </w:r>
    </w:p>
    <w:p w14:paraId="71D62EA1" w14:textId="77777777" w:rsidR="00732ADB" w:rsidRDefault="00732ADB">
      <w:pPr>
        <w:pStyle w:val="Heading2"/>
        <w:rPr>
          <w:iCs/>
        </w:rPr>
      </w:pPr>
      <w:r>
        <w:rPr>
          <w:iCs/>
        </w:rPr>
        <w:t xml:space="preserve">Coverage within these areas is based on </w:t>
      </w:r>
      <w:proofErr w:type="gramStart"/>
      <w:r>
        <w:rPr>
          <w:iCs/>
        </w:rPr>
        <w:t>a number of</w:t>
      </w:r>
      <w:proofErr w:type="gramEnd"/>
      <w:r>
        <w:rPr>
          <w:iCs/>
        </w:rPr>
        <w:t xml:space="preserve"> individual base stations strategically located to provide a cell coverage area.  Within an area, geography and topography may affect reception.</w:t>
      </w:r>
    </w:p>
    <w:p w14:paraId="40C7C7B5" w14:textId="77777777" w:rsidR="00732ADB" w:rsidRDefault="00732ADB">
      <w:pPr>
        <w:pStyle w:val="Indent1"/>
      </w:pPr>
      <w:bookmarkStart w:id="34" w:name="_Toc74821839"/>
      <w:bookmarkStart w:id="35" w:name="_Toc256000008"/>
      <w:bookmarkStart w:id="36" w:name="_Toc256000039"/>
      <w:bookmarkStart w:id="37" w:name="_Toc157514644"/>
      <w:r>
        <w:t>Limits on your service</w:t>
      </w:r>
      <w:bookmarkEnd w:id="34"/>
      <w:bookmarkEnd w:id="35"/>
      <w:bookmarkEnd w:id="36"/>
      <w:bookmarkEnd w:id="37"/>
    </w:p>
    <w:p w14:paraId="4B452FEA" w14:textId="77777777" w:rsidR="00732ADB" w:rsidRDefault="00732ADB">
      <w:pPr>
        <w:pStyle w:val="Heading2"/>
        <w:rPr>
          <w:iCs/>
        </w:rPr>
      </w:pPr>
      <w:r>
        <w:rPr>
          <w:iCs/>
        </w:rPr>
        <w:t xml:space="preserve">All calls that you make or receive using the SMR Commercial service are of limited </w:t>
      </w:r>
      <w:r>
        <w:t>duration</w:t>
      </w:r>
      <w:r>
        <w:rPr>
          <w:iCs/>
        </w:rPr>
        <w:t>.  We will disconnect all calls three minutes after connection.  (You will hear a warning tone ten seconds before disconnection).</w:t>
      </w:r>
    </w:p>
    <w:p w14:paraId="384BF096" w14:textId="77777777" w:rsidR="00732ADB" w:rsidRDefault="00732ADB">
      <w:pPr>
        <w:pStyle w:val="Heading1"/>
        <w:rPr>
          <w:iCs/>
        </w:rPr>
      </w:pPr>
      <w:bookmarkStart w:id="38" w:name="_Toc74821840"/>
      <w:bookmarkStart w:id="39" w:name="_Toc256000009"/>
      <w:bookmarkStart w:id="40" w:name="_Toc256000040"/>
      <w:bookmarkStart w:id="41" w:name="_Toc157514645"/>
      <w:r>
        <w:rPr>
          <w:iCs/>
        </w:rPr>
        <w:t>Service Charges</w:t>
      </w:r>
      <w:bookmarkEnd w:id="38"/>
      <w:bookmarkEnd w:id="39"/>
      <w:bookmarkEnd w:id="40"/>
      <w:bookmarkEnd w:id="41"/>
    </w:p>
    <w:p w14:paraId="54597665" w14:textId="77777777" w:rsidR="00732ADB" w:rsidRDefault="00732ADB">
      <w:pPr>
        <w:pStyle w:val="Indent1"/>
        <w:rPr>
          <w:iCs/>
        </w:rPr>
      </w:pPr>
      <w:bookmarkStart w:id="42" w:name="_Toc74821841"/>
      <w:bookmarkStart w:id="43" w:name="_Toc256000010"/>
      <w:bookmarkStart w:id="44" w:name="_Toc256000041"/>
      <w:bookmarkStart w:id="45" w:name="_Toc157514646"/>
      <w:r>
        <w:rPr>
          <w:iCs/>
        </w:rPr>
        <w:t>New service activation charge</w:t>
      </w:r>
      <w:bookmarkEnd w:id="42"/>
      <w:bookmarkEnd w:id="43"/>
      <w:bookmarkEnd w:id="44"/>
      <w:bookmarkEnd w:id="45"/>
    </w:p>
    <w:p w14:paraId="071FDA9C" w14:textId="77777777" w:rsidR="00732ADB" w:rsidRDefault="00732ADB">
      <w:pPr>
        <w:pStyle w:val="Heading2"/>
      </w:pPr>
      <w:r>
        <w:rPr>
          <w:iCs/>
        </w:rPr>
        <w:t>We charge you the following to activate a new service:</w:t>
      </w:r>
    </w:p>
    <w:tbl>
      <w:tblPr>
        <w:tblW w:w="6237" w:type="dxa"/>
        <w:tblInd w:w="817" w:type="dxa"/>
        <w:tblLayout w:type="fixed"/>
        <w:tblLook w:val="0000" w:firstRow="0" w:lastRow="0" w:firstColumn="0" w:lastColumn="0" w:noHBand="0" w:noVBand="0"/>
      </w:tblPr>
      <w:tblGrid>
        <w:gridCol w:w="3401"/>
        <w:gridCol w:w="1418"/>
        <w:gridCol w:w="1418"/>
      </w:tblGrid>
      <w:tr w:rsidR="00732ADB" w14:paraId="1DE906D8" w14:textId="77777777">
        <w:trPr>
          <w:cantSplit/>
          <w:tblHeader/>
        </w:trPr>
        <w:tc>
          <w:tcPr>
            <w:tcW w:w="3402" w:type="dxa"/>
            <w:tcBorders>
              <w:top w:val="single" w:sz="6" w:space="0" w:color="auto"/>
              <w:left w:val="single" w:sz="6" w:space="0" w:color="auto"/>
              <w:bottom w:val="single" w:sz="6" w:space="0" w:color="auto"/>
              <w:right w:val="single" w:sz="6" w:space="0" w:color="auto"/>
            </w:tcBorders>
          </w:tcPr>
          <w:p w14:paraId="6C1244F2" w14:textId="77777777" w:rsidR="00732ADB" w:rsidRDefault="00732ADB">
            <w:pPr>
              <w:keepNext/>
              <w:spacing w:before="120" w:after="120"/>
              <w:rPr>
                <w:rFonts w:ascii="Arial" w:hAnsi="Arial" w:cs="Arial"/>
                <w:b/>
                <w:bCs/>
                <w:iCs/>
                <w:sz w:val="18"/>
              </w:rPr>
            </w:pPr>
            <w:r>
              <w:rPr>
                <w:rFonts w:ascii="Arial" w:hAnsi="Arial" w:cs="Arial"/>
                <w:b/>
                <w:bCs/>
                <w:iCs/>
                <w:sz w:val="18"/>
              </w:rPr>
              <w:t>New service activation charge</w:t>
            </w:r>
          </w:p>
        </w:tc>
        <w:tc>
          <w:tcPr>
            <w:tcW w:w="1418" w:type="dxa"/>
            <w:tcBorders>
              <w:top w:val="single" w:sz="6" w:space="0" w:color="auto"/>
              <w:bottom w:val="single" w:sz="6" w:space="0" w:color="auto"/>
              <w:right w:val="single" w:sz="6" w:space="0" w:color="auto"/>
            </w:tcBorders>
          </w:tcPr>
          <w:p w14:paraId="13EBF38C" w14:textId="77777777" w:rsidR="00732ADB" w:rsidRDefault="00732ADB">
            <w:pPr>
              <w:keepNext/>
              <w:spacing w:before="120" w:after="120"/>
              <w:rPr>
                <w:rFonts w:ascii="Arial" w:hAnsi="Arial" w:cs="Arial"/>
                <w:b/>
                <w:bCs/>
                <w:iCs/>
                <w:sz w:val="18"/>
              </w:rPr>
            </w:pPr>
            <w:r>
              <w:rPr>
                <w:rFonts w:ascii="Arial" w:hAnsi="Arial" w:cs="Arial"/>
                <w:b/>
                <w:bCs/>
                <w:iCs/>
                <w:sz w:val="18"/>
              </w:rPr>
              <w:t>GST excl.</w:t>
            </w:r>
          </w:p>
        </w:tc>
        <w:tc>
          <w:tcPr>
            <w:tcW w:w="1418" w:type="dxa"/>
            <w:tcBorders>
              <w:top w:val="single" w:sz="6" w:space="0" w:color="auto"/>
              <w:bottom w:val="single" w:sz="6" w:space="0" w:color="auto"/>
              <w:right w:val="single" w:sz="6" w:space="0" w:color="auto"/>
            </w:tcBorders>
          </w:tcPr>
          <w:p w14:paraId="5DEB109C" w14:textId="77777777" w:rsidR="00732ADB" w:rsidRDefault="00732ADB">
            <w:pPr>
              <w:keepNext/>
              <w:spacing w:before="120" w:after="120"/>
              <w:rPr>
                <w:rFonts w:ascii="Arial" w:hAnsi="Arial" w:cs="Arial"/>
                <w:b/>
                <w:bCs/>
                <w:iCs/>
                <w:sz w:val="18"/>
              </w:rPr>
            </w:pPr>
            <w:r>
              <w:rPr>
                <w:rFonts w:ascii="Arial" w:hAnsi="Arial" w:cs="Arial"/>
                <w:b/>
                <w:bCs/>
                <w:iCs/>
                <w:sz w:val="18"/>
              </w:rPr>
              <w:t>GST incl.</w:t>
            </w:r>
          </w:p>
        </w:tc>
      </w:tr>
      <w:tr w:rsidR="00732ADB" w14:paraId="63E75F90" w14:textId="77777777">
        <w:trPr>
          <w:cantSplit/>
        </w:trPr>
        <w:tc>
          <w:tcPr>
            <w:tcW w:w="3402" w:type="dxa"/>
            <w:tcBorders>
              <w:left w:val="single" w:sz="6" w:space="0" w:color="auto"/>
              <w:bottom w:val="single" w:sz="6" w:space="0" w:color="auto"/>
              <w:right w:val="single" w:sz="6" w:space="0" w:color="auto"/>
            </w:tcBorders>
          </w:tcPr>
          <w:p w14:paraId="0FB83B9A" w14:textId="77777777" w:rsidR="00732ADB" w:rsidRDefault="00732ADB">
            <w:pPr>
              <w:pStyle w:val="Index1"/>
              <w:spacing w:before="120" w:after="120"/>
              <w:rPr>
                <w:iCs/>
              </w:rPr>
            </w:pPr>
            <w:r>
              <w:rPr>
                <w:iCs/>
              </w:rPr>
              <w:t>New service activation charge</w:t>
            </w:r>
          </w:p>
        </w:tc>
        <w:tc>
          <w:tcPr>
            <w:tcW w:w="1418" w:type="dxa"/>
            <w:tcBorders>
              <w:top w:val="single" w:sz="6" w:space="0" w:color="auto"/>
              <w:bottom w:val="single" w:sz="6" w:space="0" w:color="auto"/>
              <w:right w:val="single" w:sz="6" w:space="0" w:color="auto"/>
            </w:tcBorders>
          </w:tcPr>
          <w:p w14:paraId="29D34017" w14:textId="77777777" w:rsidR="00732ADB" w:rsidRDefault="00732ADB">
            <w:pPr>
              <w:spacing w:before="120" w:after="120"/>
              <w:jc w:val="right"/>
              <w:rPr>
                <w:rFonts w:ascii="Arial" w:hAnsi="Arial" w:cs="Arial"/>
                <w:iCs/>
                <w:sz w:val="18"/>
              </w:rPr>
            </w:pPr>
            <w:r>
              <w:rPr>
                <w:rFonts w:ascii="Arial" w:hAnsi="Arial" w:cs="Arial"/>
                <w:iCs/>
                <w:sz w:val="18"/>
              </w:rPr>
              <w:t>$11.00</w:t>
            </w:r>
          </w:p>
        </w:tc>
        <w:tc>
          <w:tcPr>
            <w:tcW w:w="1418" w:type="dxa"/>
            <w:tcBorders>
              <w:top w:val="single" w:sz="6" w:space="0" w:color="auto"/>
              <w:bottom w:val="single" w:sz="6" w:space="0" w:color="auto"/>
              <w:right w:val="single" w:sz="6" w:space="0" w:color="auto"/>
            </w:tcBorders>
          </w:tcPr>
          <w:p w14:paraId="284E6E3A" w14:textId="77777777" w:rsidR="00732ADB" w:rsidRDefault="00732ADB">
            <w:pPr>
              <w:spacing w:before="120" w:after="120"/>
              <w:jc w:val="right"/>
              <w:rPr>
                <w:rFonts w:ascii="Arial" w:hAnsi="Arial" w:cs="Arial"/>
                <w:b/>
                <w:bCs/>
                <w:iCs/>
                <w:sz w:val="18"/>
              </w:rPr>
            </w:pPr>
            <w:r>
              <w:rPr>
                <w:rFonts w:ascii="Arial" w:hAnsi="Arial" w:cs="Arial"/>
                <w:b/>
                <w:bCs/>
                <w:iCs/>
                <w:sz w:val="18"/>
              </w:rPr>
              <w:t>$12.10</w:t>
            </w:r>
          </w:p>
        </w:tc>
      </w:tr>
    </w:tbl>
    <w:p w14:paraId="3E4A15DE" w14:textId="77777777" w:rsidR="00732ADB" w:rsidRDefault="00732ADB">
      <w:pPr>
        <w:pStyle w:val="TableData"/>
      </w:pPr>
      <w:r>
        <w:tab/>
      </w:r>
    </w:p>
    <w:p w14:paraId="3B35B779" w14:textId="77777777" w:rsidR="00732ADB" w:rsidRPr="00E272A7" w:rsidRDefault="00732ADB" w:rsidP="00732ADB">
      <w:pPr>
        <w:pStyle w:val="Heading2"/>
      </w:pPr>
      <w:r w:rsidRPr="00AD7AE8">
        <w:t xml:space="preserve">If you are being migrated to the SMR Commercial Service from Telstra’s </w:t>
      </w:r>
      <w:proofErr w:type="spellStart"/>
      <w:r w:rsidRPr="00AD7AE8">
        <w:t>Fleetcoms</w:t>
      </w:r>
      <w:proofErr w:type="spellEnd"/>
      <w:r w:rsidRPr="00AD7AE8">
        <w:t xml:space="preserve"> Service, the </w:t>
      </w:r>
      <w:proofErr w:type="spellStart"/>
      <w:r w:rsidRPr="00AD7AE8">
        <w:t>Fleetcoms</w:t>
      </w:r>
      <w:proofErr w:type="spellEnd"/>
      <w:r w:rsidRPr="00AD7AE8">
        <w:t xml:space="preserve"> Service(s) that are being migrated to the SMR Commercial Service will not </w:t>
      </w:r>
      <w:r>
        <w:t>constitute a new service activation and the new service activation charge will not apply to those services</w:t>
      </w:r>
      <w:r w:rsidRPr="004C41CD">
        <w:t>.</w:t>
      </w:r>
    </w:p>
    <w:p w14:paraId="16CC5DEC" w14:textId="77777777" w:rsidR="00732ADB" w:rsidRDefault="00732ADB">
      <w:pPr>
        <w:pStyle w:val="Indent1"/>
        <w:rPr>
          <w:iCs/>
        </w:rPr>
      </w:pPr>
      <w:bookmarkStart w:id="46" w:name="_Toc74821842"/>
      <w:bookmarkStart w:id="47" w:name="_Toc256000011"/>
      <w:bookmarkStart w:id="48" w:name="_Toc256000042"/>
      <w:bookmarkStart w:id="49" w:name="_Toc157514647"/>
      <w:r>
        <w:rPr>
          <w:iCs/>
        </w:rPr>
        <w:t>Connection charges</w:t>
      </w:r>
      <w:bookmarkEnd w:id="46"/>
      <w:bookmarkEnd w:id="47"/>
      <w:bookmarkEnd w:id="48"/>
      <w:bookmarkEnd w:id="49"/>
    </w:p>
    <w:p w14:paraId="393BECB8" w14:textId="77777777" w:rsidR="00732ADB" w:rsidRDefault="00732ADB">
      <w:pPr>
        <w:pStyle w:val="Heading2"/>
      </w:pPr>
      <w:r>
        <w:rPr>
          <w:iCs/>
        </w:rPr>
        <w:t xml:space="preserve">We </w:t>
      </w:r>
      <w:r>
        <w:t>charge</w:t>
      </w:r>
      <w:r>
        <w:rPr>
          <w:iCs/>
        </w:rPr>
        <w:t xml:space="preserve"> you the following for each mobile that you wish to include in your fleet to receive the service.  This charge covers us validating and activating the mobile.</w:t>
      </w:r>
    </w:p>
    <w:tbl>
      <w:tblPr>
        <w:tblW w:w="6237" w:type="dxa"/>
        <w:tblInd w:w="817" w:type="dxa"/>
        <w:tblLayout w:type="fixed"/>
        <w:tblLook w:val="0000" w:firstRow="0" w:lastRow="0" w:firstColumn="0" w:lastColumn="0" w:noHBand="0" w:noVBand="0"/>
      </w:tblPr>
      <w:tblGrid>
        <w:gridCol w:w="3402"/>
        <w:gridCol w:w="1418"/>
        <w:gridCol w:w="1417"/>
      </w:tblGrid>
      <w:tr w:rsidR="00732ADB" w14:paraId="45ECFAED" w14:textId="77777777">
        <w:trPr>
          <w:cantSplit/>
        </w:trPr>
        <w:tc>
          <w:tcPr>
            <w:tcW w:w="3402" w:type="dxa"/>
            <w:tcBorders>
              <w:top w:val="single" w:sz="6" w:space="0" w:color="auto"/>
              <w:left w:val="single" w:sz="6" w:space="0" w:color="auto"/>
              <w:bottom w:val="single" w:sz="6" w:space="0" w:color="auto"/>
              <w:right w:val="single" w:sz="6" w:space="0" w:color="auto"/>
            </w:tcBorders>
          </w:tcPr>
          <w:p w14:paraId="4AF51B58" w14:textId="77777777" w:rsidR="00732ADB" w:rsidRDefault="00732ADB">
            <w:pPr>
              <w:keepNext/>
              <w:spacing w:before="120" w:after="120"/>
              <w:rPr>
                <w:rFonts w:ascii="Arial" w:hAnsi="Arial" w:cs="Arial"/>
                <w:iCs/>
                <w:sz w:val="18"/>
              </w:rPr>
            </w:pPr>
            <w:r>
              <w:rPr>
                <w:rFonts w:ascii="Arial" w:hAnsi="Arial" w:cs="Arial"/>
                <w:b/>
                <w:bCs/>
                <w:iCs/>
                <w:sz w:val="18"/>
              </w:rPr>
              <w:t>Connection charges</w:t>
            </w:r>
          </w:p>
        </w:tc>
        <w:tc>
          <w:tcPr>
            <w:tcW w:w="1418" w:type="dxa"/>
            <w:tcBorders>
              <w:top w:val="single" w:sz="6" w:space="0" w:color="auto"/>
              <w:bottom w:val="single" w:sz="6" w:space="0" w:color="auto"/>
              <w:right w:val="single" w:sz="6" w:space="0" w:color="auto"/>
            </w:tcBorders>
          </w:tcPr>
          <w:p w14:paraId="3826EA44" w14:textId="77777777" w:rsidR="00732ADB" w:rsidRDefault="00732ADB">
            <w:pPr>
              <w:keepNext/>
              <w:spacing w:before="120" w:after="120"/>
              <w:rPr>
                <w:rFonts w:ascii="Arial" w:hAnsi="Arial" w:cs="Arial"/>
                <w:b/>
                <w:iCs/>
                <w:sz w:val="18"/>
              </w:rPr>
            </w:pPr>
            <w:r>
              <w:rPr>
                <w:rFonts w:ascii="Arial" w:hAnsi="Arial" w:cs="Arial"/>
                <w:b/>
                <w:iCs/>
                <w:sz w:val="18"/>
              </w:rPr>
              <w:t>GST excl.</w:t>
            </w:r>
          </w:p>
        </w:tc>
        <w:tc>
          <w:tcPr>
            <w:tcW w:w="1417" w:type="dxa"/>
            <w:tcBorders>
              <w:top w:val="single" w:sz="6" w:space="0" w:color="auto"/>
              <w:bottom w:val="single" w:sz="6" w:space="0" w:color="auto"/>
              <w:right w:val="single" w:sz="6" w:space="0" w:color="auto"/>
            </w:tcBorders>
          </w:tcPr>
          <w:p w14:paraId="47F610BD" w14:textId="77777777" w:rsidR="00732ADB" w:rsidRDefault="00732ADB">
            <w:pPr>
              <w:keepNext/>
              <w:spacing w:before="120" w:after="120"/>
              <w:rPr>
                <w:rFonts w:ascii="Arial" w:hAnsi="Arial" w:cs="Arial"/>
                <w:b/>
                <w:iCs/>
                <w:sz w:val="18"/>
              </w:rPr>
            </w:pPr>
            <w:r>
              <w:rPr>
                <w:rFonts w:ascii="Arial" w:hAnsi="Arial" w:cs="Arial"/>
                <w:b/>
                <w:iCs/>
                <w:sz w:val="18"/>
              </w:rPr>
              <w:t>GST incl.</w:t>
            </w:r>
          </w:p>
        </w:tc>
      </w:tr>
      <w:tr w:rsidR="00732ADB" w14:paraId="55344873" w14:textId="77777777">
        <w:trPr>
          <w:cantSplit/>
        </w:trPr>
        <w:tc>
          <w:tcPr>
            <w:tcW w:w="3402" w:type="dxa"/>
            <w:tcBorders>
              <w:left w:val="single" w:sz="6" w:space="0" w:color="auto"/>
              <w:bottom w:val="single" w:sz="6" w:space="0" w:color="auto"/>
              <w:right w:val="single" w:sz="6" w:space="0" w:color="auto"/>
            </w:tcBorders>
          </w:tcPr>
          <w:p w14:paraId="2F632EE4" w14:textId="77777777" w:rsidR="00732ADB" w:rsidRDefault="00732ADB">
            <w:pPr>
              <w:spacing w:before="120" w:after="120"/>
              <w:rPr>
                <w:rFonts w:ascii="Arial" w:hAnsi="Arial" w:cs="Arial"/>
                <w:iCs/>
                <w:sz w:val="18"/>
              </w:rPr>
            </w:pPr>
            <w:r>
              <w:rPr>
                <w:rFonts w:ascii="Arial" w:hAnsi="Arial" w:cs="Arial"/>
                <w:iCs/>
                <w:sz w:val="18"/>
              </w:rPr>
              <w:t>Connection Charge (per mobile)</w:t>
            </w:r>
          </w:p>
        </w:tc>
        <w:tc>
          <w:tcPr>
            <w:tcW w:w="1418" w:type="dxa"/>
            <w:tcBorders>
              <w:bottom w:val="single" w:sz="6" w:space="0" w:color="auto"/>
              <w:right w:val="single" w:sz="6" w:space="0" w:color="auto"/>
            </w:tcBorders>
          </w:tcPr>
          <w:p w14:paraId="0B0A9DAC" w14:textId="77777777" w:rsidR="00732ADB" w:rsidRDefault="00732ADB">
            <w:pPr>
              <w:spacing w:before="120" w:after="120"/>
              <w:jc w:val="right"/>
              <w:rPr>
                <w:rFonts w:ascii="Arial" w:hAnsi="Arial" w:cs="Arial"/>
                <w:iCs/>
                <w:sz w:val="18"/>
              </w:rPr>
            </w:pPr>
            <w:r>
              <w:rPr>
                <w:rFonts w:ascii="Arial" w:hAnsi="Arial" w:cs="Arial"/>
                <w:iCs/>
                <w:sz w:val="18"/>
              </w:rPr>
              <w:t>$11.00</w:t>
            </w:r>
          </w:p>
        </w:tc>
        <w:tc>
          <w:tcPr>
            <w:tcW w:w="1417" w:type="dxa"/>
            <w:tcBorders>
              <w:bottom w:val="single" w:sz="6" w:space="0" w:color="auto"/>
              <w:right w:val="single" w:sz="6" w:space="0" w:color="auto"/>
            </w:tcBorders>
          </w:tcPr>
          <w:p w14:paraId="314F95D8" w14:textId="77777777" w:rsidR="00732ADB" w:rsidRDefault="00732ADB">
            <w:pPr>
              <w:spacing w:before="120" w:after="120"/>
              <w:jc w:val="right"/>
              <w:rPr>
                <w:rFonts w:ascii="Arial" w:hAnsi="Arial" w:cs="Arial"/>
                <w:b/>
                <w:bCs/>
                <w:iCs/>
                <w:sz w:val="18"/>
              </w:rPr>
            </w:pPr>
            <w:r>
              <w:rPr>
                <w:rFonts w:ascii="Arial" w:hAnsi="Arial" w:cs="Arial"/>
                <w:b/>
                <w:bCs/>
                <w:iCs/>
                <w:sz w:val="18"/>
              </w:rPr>
              <w:t>$12.10</w:t>
            </w:r>
          </w:p>
        </w:tc>
      </w:tr>
    </w:tbl>
    <w:p w14:paraId="51CC3A78" w14:textId="77777777" w:rsidR="00732ADB" w:rsidRDefault="00732ADB">
      <w:pPr>
        <w:pStyle w:val="TableData"/>
      </w:pPr>
    </w:p>
    <w:p w14:paraId="22EBED81" w14:textId="77777777" w:rsidR="00732ADB" w:rsidRDefault="00732ADB" w:rsidP="00732ADB">
      <w:pPr>
        <w:pStyle w:val="Heading2"/>
      </w:pPr>
      <w:r>
        <w:t xml:space="preserve">If you are being migrated to the SMR Commercial Service from Telstra’s </w:t>
      </w:r>
      <w:proofErr w:type="spellStart"/>
      <w:r>
        <w:t>Fleetcoms</w:t>
      </w:r>
      <w:proofErr w:type="spellEnd"/>
      <w:r>
        <w:t xml:space="preserve"> Service, the connection charge will not apply to any existing mobiles used for the </w:t>
      </w:r>
      <w:proofErr w:type="spellStart"/>
      <w:r>
        <w:t>Fleetcoms</w:t>
      </w:r>
      <w:proofErr w:type="spellEnd"/>
      <w:r>
        <w:t xml:space="preserve"> Service that are being migrated to the SMR Commercial Service.</w:t>
      </w:r>
    </w:p>
    <w:p w14:paraId="50033485" w14:textId="77777777" w:rsidR="00732ADB" w:rsidRDefault="00732ADB">
      <w:pPr>
        <w:pStyle w:val="Indent1"/>
        <w:rPr>
          <w:iCs/>
        </w:rPr>
      </w:pPr>
      <w:bookmarkStart w:id="50" w:name="_Toc74821843"/>
      <w:bookmarkStart w:id="51" w:name="_Toc256000012"/>
      <w:bookmarkStart w:id="52" w:name="_Toc256000043"/>
      <w:bookmarkStart w:id="53" w:name="_Toc157514648"/>
      <w:r>
        <w:rPr>
          <w:iCs/>
        </w:rPr>
        <w:lastRenderedPageBreak/>
        <w:t>Monthly charges</w:t>
      </w:r>
      <w:bookmarkEnd w:id="50"/>
      <w:bookmarkEnd w:id="51"/>
      <w:bookmarkEnd w:id="52"/>
      <w:bookmarkEnd w:id="53"/>
    </w:p>
    <w:p w14:paraId="2602B72C" w14:textId="77777777" w:rsidR="00732ADB" w:rsidRDefault="00732ADB">
      <w:pPr>
        <w:pStyle w:val="Heading2"/>
      </w:pPr>
      <w:r>
        <w:rPr>
          <w:iCs/>
        </w:rPr>
        <w:t>For each mobile, you must choose to subscribe to:</w:t>
      </w:r>
    </w:p>
    <w:p w14:paraId="5139D931" w14:textId="77777777" w:rsidR="00732ADB" w:rsidRDefault="00732ADB" w:rsidP="00732ADB">
      <w:pPr>
        <w:pStyle w:val="Indent3"/>
        <w:numPr>
          <w:ilvl w:val="0"/>
          <w:numId w:val="7"/>
        </w:numPr>
        <w:tabs>
          <w:tab w:val="clear" w:pos="737"/>
          <w:tab w:val="num" w:pos="1474"/>
        </w:tabs>
        <w:ind w:left="1474"/>
        <w:rPr>
          <w:iCs/>
        </w:rPr>
      </w:pPr>
      <w:r>
        <w:rPr>
          <w:iCs/>
        </w:rPr>
        <w:t xml:space="preserve">SMR Commercial Voice and Data </w:t>
      </w:r>
      <w:proofErr w:type="gramStart"/>
      <w:r>
        <w:rPr>
          <w:iCs/>
        </w:rPr>
        <w:t>Rate;</w:t>
      </w:r>
      <w:proofErr w:type="gramEnd"/>
    </w:p>
    <w:p w14:paraId="334E0E35" w14:textId="77777777" w:rsidR="00732ADB" w:rsidRDefault="00732ADB" w:rsidP="00732ADB">
      <w:pPr>
        <w:pStyle w:val="Indent3"/>
        <w:numPr>
          <w:ilvl w:val="0"/>
          <w:numId w:val="7"/>
        </w:numPr>
        <w:tabs>
          <w:tab w:val="clear" w:pos="737"/>
          <w:tab w:val="num" w:pos="1474"/>
        </w:tabs>
        <w:ind w:left="1474"/>
        <w:rPr>
          <w:rFonts w:ascii="Symbol" w:hAnsi="Symbol"/>
          <w:iCs/>
          <w:lang w:val="en-US"/>
        </w:rPr>
      </w:pPr>
      <w:r>
        <w:rPr>
          <w:iCs/>
        </w:rPr>
        <w:t xml:space="preserve">SMR Commercial Smart Talk 80 </w:t>
      </w:r>
      <w:proofErr w:type="gramStart"/>
      <w:r>
        <w:rPr>
          <w:iCs/>
        </w:rPr>
        <w:t>Rate;</w:t>
      </w:r>
      <w:proofErr w:type="gramEnd"/>
    </w:p>
    <w:p w14:paraId="5483E630" w14:textId="77777777" w:rsidR="00732ADB" w:rsidRDefault="00732ADB" w:rsidP="00732ADB">
      <w:pPr>
        <w:pStyle w:val="Indent3"/>
        <w:numPr>
          <w:ilvl w:val="0"/>
          <w:numId w:val="7"/>
        </w:numPr>
        <w:tabs>
          <w:tab w:val="clear" w:pos="737"/>
          <w:tab w:val="num" w:pos="1474"/>
        </w:tabs>
        <w:ind w:left="1474"/>
        <w:rPr>
          <w:iCs/>
        </w:rPr>
      </w:pPr>
      <w:r>
        <w:rPr>
          <w:iCs/>
        </w:rPr>
        <w:t>SMR Commercial Control Channel Data Rate; or</w:t>
      </w:r>
    </w:p>
    <w:p w14:paraId="63229E98" w14:textId="77777777" w:rsidR="00732ADB" w:rsidRDefault="00732ADB" w:rsidP="00732ADB">
      <w:pPr>
        <w:pStyle w:val="Indent3"/>
        <w:numPr>
          <w:ilvl w:val="0"/>
          <w:numId w:val="7"/>
        </w:numPr>
        <w:tabs>
          <w:tab w:val="clear" w:pos="737"/>
          <w:tab w:val="num" w:pos="1474"/>
        </w:tabs>
        <w:ind w:left="1474"/>
        <w:rPr>
          <w:iCs/>
        </w:rPr>
      </w:pPr>
      <w:r>
        <w:rPr>
          <w:iCs/>
        </w:rPr>
        <w:t>SMR Commercial Security Rate.</w:t>
      </w:r>
    </w:p>
    <w:p w14:paraId="422B2148" w14:textId="77777777" w:rsidR="00732ADB" w:rsidRDefault="00732ADB">
      <w:pPr>
        <w:pStyle w:val="Heading2"/>
        <w:rPr>
          <w:iCs/>
          <w:lang w:val="en-US"/>
        </w:rPr>
      </w:pPr>
      <w:r>
        <w:rPr>
          <w:iCs/>
          <w:lang w:val="en-US"/>
        </w:rPr>
        <w:t xml:space="preserve">Each rate has separate monthly airtime allowance for airtime and control channel data units used during business hours </w:t>
      </w:r>
      <w:r>
        <w:rPr>
          <w:bCs w:val="0"/>
        </w:rPr>
        <w:t>(</w:t>
      </w:r>
      <w:r>
        <w:t>6.00am to 6.00pm Monday to Friday in the place where the site providing coverage to a mobile at the time of a call is located)</w:t>
      </w:r>
      <w:r>
        <w:rPr>
          <w:iCs/>
          <w:lang w:val="en-US"/>
        </w:rPr>
        <w:t xml:space="preserve">.  If you use airtime and control channel </w:t>
      </w:r>
      <w:r>
        <w:t>data</w:t>
      </w:r>
      <w:r>
        <w:rPr>
          <w:iCs/>
          <w:lang w:val="en-US"/>
        </w:rPr>
        <w:t xml:space="preserve"> units during business hours </w:t>
      </w:r>
      <w:proofErr w:type="gramStart"/>
      <w:r>
        <w:rPr>
          <w:iCs/>
          <w:lang w:val="en-US"/>
        </w:rPr>
        <w:t>in excess of</w:t>
      </w:r>
      <w:proofErr w:type="gramEnd"/>
      <w:r>
        <w:rPr>
          <w:iCs/>
          <w:lang w:val="en-US"/>
        </w:rPr>
        <w:t xml:space="preserve"> the monthly allowance, we charge you additional charges for exceeding your monthly airtime allowance.</w:t>
      </w:r>
    </w:p>
    <w:p w14:paraId="0BA8AEDC" w14:textId="77777777" w:rsidR="00732ADB" w:rsidRDefault="00732ADB">
      <w:pPr>
        <w:pStyle w:val="Heading2"/>
        <w:rPr>
          <w:lang w:val="en-US"/>
        </w:rPr>
      </w:pPr>
      <w:r>
        <w:rPr>
          <w:lang w:val="en-US"/>
        </w:rPr>
        <w:t>We will measure control channel data calls in the following way:</w:t>
      </w:r>
    </w:p>
    <w:p w14:paraId="6148F062" w14:textId="77777777" w:rsidR="00732ADB" w:rsidRPr="003A0ABC" w:rsidRDefault="00732ADB" w:rsidP="00732ADB">
      <w:pPr>
        <w:pStyle w:val="Indent3"/>
        <w:numPr>
          <w:ilvl w:val="0"/>
          <w:numId w:val="7"/>
        </w:numPr>
        <w:tabs>
          <w:tab w:val="clear" w:pos="737"/>
          <w:tab w:val="num" w:pos="1474"/>
        </w:tabs>
        <w:ind w:left="1474"/>
        <w:rPr>
          <w:iCs/>
        </w:rPr>
      </w:pPr>
      <w:r w:rsidRPr="003A0ABC">
        <w:rPr>
          <w:iCs/>
        </w:rPr>
        <w:t>Status message = 1 data unit</w:t>
      </w:r>
    </w:p>
    <w:p w14:paraId="463ABDDC" w14:textId="77777777" w:rsidR="00732ADB" w:rsidRPr="003A0ABC" w:rsidRDefault="00732ADB" w:rsidP="00732ADB">
      <w:pPr>
        <w:pStyle w:val="Indent3"/>
        <w:numPr>
          <w:ilvl w:val="0"/>
          <w:numId w:val="7"/>
        </w:numPr>
        <w:tabs>
          <w:tab w:val="clear" w:pos="737"/>
          <w:tab w:val="num" w:pos="1474"/>
        </w:tabs>
        <w:ind w:left="1474"/>
        <w:rPr>
          <w:iCs/>
        </w:rPr>
      </w:pPr>
      <w:r w:rsidRPr="003A0ABC">
        <w:rPr>
          <w:iCs/>
        </w:rPr>
        <w:t>Short data message (up to 25 bytes) = 2.5 data units</w:t>
      </w:r>
    </w:p>
    <w:p w14:paraId="56928E17" w14:textId="77777777" w:rsidR="00732ADB" w:rsidRPr="003A0ABC" w:rsidRDefault="00732ADB" w:rsidP="00732ADB">
      <w:pPr>
        <w:pStyle w:val="Indent3"/>
        <w:numPr>
          <w:ilvl w:val="0"/>
          <w:numId w:val="7"/>
        </w:numPr>
        <w:tabs>
          <w:tab w:val="clear" w:pos="737"/>
          <w:tab w:val="num" w:pos="1474"/>
        </w:tabs>
        <w:ind w:left="1474"/>
        <w:rPr>
          <w:iCs/>
        </w:rPr>
      </w:pPr>
      <w:r w:rsidRPr="003A0ABC">
        <w:rPr>
          <w:iCs/>
        </w:rPr>
        <w:t>Extended data message (26 to 100 bytes) = 10 data units</w:t>
      </w:r>
    </w:p>
    <w:p w14:paraId="4F61FB25" w14:textId="77777777" w:rsidR="00732ADB" w:rsidRDefault="00732ADB">
      <w:pPr>
        <w:pStyle w:val="Heading2"/>
        <w:rPr>
          <w:lang w:val="en-US"/>
        </w:rPr>
      </w:pPr>
      <w:r>
        <w:rPr>
          <w:lang w:val="en-US"/>
        </w:rPr>
        <w:t>When we measure airtime and data usage, we will:</w:t>
      </w:r>
    </w:p>
    <w:p w14:paraId="7CEC9EC4" w14:textId="77777777" w:rsidR="00732ADB" w:rsidRDefault="00732ADB" w:rsidP="00732ADB">
      <w:pPr>
        <w:pStyle w:val="Indent2"/>
        <w:numPr>
          <w:ilvl w:val="0"/>
          <w:numId w:val="11"/>
        </w:numPr>
        <w:tabs>
          <w:tab w:val="clear" w:pos="737"/>
          <w:tab w:val="num" w:pos="1474"/>
        </w:tabs>
        <w:ind w:left="1474"/>
        <w:rPr>
          <w:lang w:val="en-US"/>
        </w:rPr>
      </w:pPr>
      <w:r>
        <w:rPr>
          <w:lang w:val="en-US"/>
        </w:rPr>
        <w:t xml:space="preserve">aggregate airtime and data usage across all mobiles on your </w:t>
      </w:r>
      <w:proofErr w:type="gramStart"/>
      <w:r>
        <w:rPr>
          <w:lang w:val="en-US"/>
        </w:rPr>
        <w:t>account;</w:t>
      </w:r>
      <w:proofErr w:type="gramEnd"/>
    </w:p>
    <w:p w14:paraId="1C93CDBA" w14:textId="77777777" w:rsidR="00732ADB" w:rsidRDefault="00732ADB" w:rsidP="00732ADB">
      <w:pPr>
        <w:pStyle w:val="Indent2"/>
        <w:numPr>
          <w:ilvl w:val="0"/>
          <w:numId w:val="11"/>
        </w:numPr>
        <w:tabs>
          <w:tab w:val="clear" w:pos="737"/>
          <w:tab w:val="num" w:pos="1474"/>
        </w:tabs>
        <w:ind w:left="1474"/>
      </w:pPr>
      <w:r>
        <w:t>not include voice calls which are less than 6 seconds in airtime usage; and</w:t>
      </w:r>
    </w:p>
    <w:p w14:paraId="6D480A3F" w14:textId="77777777" w:rsidR="00732ADB" w:rsidRDefault="00732ADB" w:rsidP="00732ADB">
      <w:pPr>
        <w:pStyle w:val="Indent2"/>
        <w:numPr>
          <w:ilvl w:val="0"/>
          <w:numId w:val="11"/>
        </w:numPr>
        <w:tabs>
          <w:tab w:val="clear" w:pos="737"/>
          <w:tab w:val="num" w:pos="1474"/>
        </w:tabs>
        <w:ind w:left="1474"/>
      </w:pPr>
      <w:r>
        <w:t>measure non-prescribed modem data calls at a minimum of 7 seconds for airtime usage.</w:t>
      </w:r>
    </w:p>
    <w:p w14:paraId="7FBDFD22" w14:textId="77777777" w:rsidR="00732ADB" w:rsidRDefault="00732ADB">
      <w:pPr>
        <w:pStyle w:val="Indent1"/>
        <w:rPr>
          <w:iCs/>
        </w:rPr>
      </w:pPr>
      <w:bookmarkStart w:id="54" w:name="_Toc74821844"/>
      <w:bookmarkStart w:id="55" w:name="_Toc256000013"/>
      <w:bookmarkStart w:id="56" w:name="_Toc256000044"/>
      <w:bookmarkStart w:id="57" w:name="_Toc157514649"/>
      <w:r>
        <w:t>Monthly airtime allowance</w:t>
      </w:r>
      <w:bookmarkEnd w:id="54"/>
      <w:bookmarkEnd w:id="55"/>
      <w:bookmarkEnd w:id="56"/>
      <w:bookmarkEnd w:id="57"/>
      <w:r>
        <w:t xml:space="preserve"> </w:t>
      </w:r>
    </w:p>
    <w:p w14:paraId="36A4F112" w14:textId="77777777" w:rsidR="00732ADB" w:rsidRDefault="00732ADB">
      <w:pPr>
        <w:pStyle w:val="Heading2"/>
      </w:pPr>
      <w:r>
        <w:t>We will calculate your monthly airtime allowance as set out in the table below.</w:t>
      </w:r>
    </w:p>
    <w:tbl>
      <w:tblPr>
        <w:tblW w:w="595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5"/>
        <w:gridCol w:w="4309"/>
      </w:tblGrid>
      <w:tr w:rsidR="00732ADB" w14:paraId="39FA7B4B" w14:textId="77777777">
        <w:trPr>
          <w:trHeight w:val="450"/>
        </w:trPr>
        <w:tc>
          <w:tcPr>
            <w:tcW w:w="5954" w:type="dxa"/>
            <w:gridSpan w:val="2"/>
          </w:tcPr>
          <w:p w14:paraId="70C112C8" w14:textId="77777777" w:rsidR="00732ADB" w:rsidRDefault="00732ADB">
            <w:pPr>
              <w:pStyle w:val="Heading2"/>
              <w:keepNext/>
              <w:numPr>
                <w:ilvl w:val="0"/>
                <w:numId w:val="0"/>
              </w:numPr>
              <w:spacing w:before="120" w:after="120"/>
              <w:rPr>
                <w:rFonts w:ascii="Arial" w:hAnsi="Arial" w:cs="Arial"/>
                <w:b/>
                <w:bCs w:val="0"/>
                <w:sz w:val="18"/>
                <w:lang w:val="en-US"/>
              </w:rPr>
            </w:pPr>
            <w:r>
              <w:rPr>
                <w:rFonts w:ascii="Arial" w:hAnsi="Arial" w:cs="Arial"/>
                <w:b/>
                <w:bCs w:val="0"/>
                <w:sz w:val="18"/>
                <w:lang w:val="en-US"/>
              </w:rPr>
              <w:t>Monthly Airtime Allowance</w:t>
            </w:r>
          </w:p>
        </w:tc>
      </w:tr>
      <w:tr w:rsidR="00732ADB" w14:paraId="6912D932" w14:textId="77777777">
        <w:tc>
          <w:tcPr>
            <w:tcW w:w="1645" w:type="dxa"/>
          </w:tcPr>
          <w:p w14:paraId="5958B0CE" w14:textId="77777777" w:rsidR="00732ADB" w:rsidRDefault="00732ADB">
            <w:pPr>
              <w:spacing w:before="120" w:after="120"/>
              <w:rPr>
                <w:rFonts w:ascii="Arial" w:hAnsi="Arial" w:cs="Arial"/>
                <w:b/>
                <w:bCs/>
                <w:iCs/>
                <w:sz w:val="18"/>
              </w:rPr>
            </w:pPr>
            <w:r>
              <w:rPr>
                <w:rFonts w:ascii="Arial" w:hAnsi="Arial" w:cs="Arial"/>
                <w:b/>
                <w:bCs/>
                <w:iCs/>
                <w:sz w:val="18"/>
              </w:rPr>
              <w:t>Voice and Data</w:t>
            </w:r>
          </w:p>
        </w:tc>
        <w:tc>
          <w:tcPr>
            <w:tcW w:w="4309" w:type="dxa"/>
          </w:tcPr>
          <w:p w14:paraId="3A83B065" w14:textId="77777777" w:rsidR="00732ADB" w:rsidRDefault="00732ADB">
            <w:pPr>
              <w:pStyle w:val="Heading2"/>
              <w:numPr>
                <w:ilvl w:val="0"/>
                <w:numId w:val="0"/>
              </w:numPr>
              <w:spacing w:before="120" w:after="120"/>
              <w:rPr>
                <w:rFonts w:ascii="Arial" w:hAnsi="Arial" w:cs="Arial"/>
                <w:iCs/>
                <w:sz w:val="18"/>
                <w:lang w:val="en-US"/>
              </w:rPr>
            </w:pPr>
            <w:r>
              <w:rPr>
                <w:rFonts w:ascii="Arial" w:hAnsi="Arial" w:cs="Arial"/>
                <w:iCs/>
                <w:sz w:val="18"/>
                <w:lang w:val="en-US"/>
              </w:rPr>
              <w:t xml:space="preserve">This rate includes 140 minutes of airtime and 400 </w:t>
            </w:r>
            <w:r>
              <w:rPr>
                <w:rFonts w:ascii="Arial" w:hAnsi="Arial" w:cs="Arial"/>
                <w:sz w:val="18"/>
                <w:lang w:val="en-US"/>
              </w:rPr>
              <w:t>control</w:t>
            </w:r>
            <w:r>
              <w:rPr>
                <w:rFonts w:ascii="Arial" w:hAnsi="Arial" w:cs="Arial"/>
                <w:iCs/>
                <w:sz w:val="18"/>
                <w:lang w:val="en-US"/>
              </w:rPr>
              <w:t xml:space="preserve"> channel data units during business hours per mobile per month.</w:t>
            </w:r>
          </w:p>
        </w:tc>
      </w:tr>
      <w:tr w:rsidR="00732ADB" w14:paraId="2D8545F2" w14:textId="77777777">
        <w:tc>
          <w:tcPr>
            <w:tcW w:w="1645" w:type="dxa"/>
          </w:tcPr>
          <w:p w14:paraId="13235072" w14:textId="77777777" w:rsidR="00732ADB" w:rsidRDefault="00732ADB">
            <w:pPr>
              <w:spacing w:before="120" w:after="120"/>
              <w:rPr>
                <w:rFonts w:ascii="Arial" w:hAnsi="Arial" w:cs="Arial"/>
                <w:b/>
                <w:bCs/>
                <w:iCs/>
                <w:sz w:val="18"/>
              </w:rPr>
            </w:pPr>
            <w:r>
              <w:rPr>
                <w:rFonts w:ascii="Arial" w:hAnsi="Arial" w:cs="Arial"/>
                <w:b/>
                <w:bCs/>
                <w:iCs/>
                <w:sz w:val="18"/>
              </w:rPr>
              <w:t>Smart Talk 80</w:t>
            </w:r>
          </w:p>
        </w:tc>
        <w:tc>
          <w:tcPr>
            <w:tcW w:w="4309" w:type="dxa"/>
          </w:tcPr>
          <w:p w14:paraId="4CD1F3DD" w14:textId="77777777" w:rsidR="00732ADB" w:rsidRDefault="00732ADB">
            <w:pPr>
              <w:pStyle w:val="Heading2"/>
              <w:numPr>
                <w:ilvl w:val="0"/>
                <w:numId w:val="0"/>
              </w:numPr>
              <w:spacing w:before="120" w:after="120"/>
              <w:rPr>
                <w:rFonts w:ascii="Arial" w:hAnsi="Arial" w:cs="Arial"/>
                <w:iCs/>
                <w:sz w:val="18"/>
              </w:rPr>
            </w:pPr>
            <w:r>
              <w:rPr>
                <w:rFonts w:ascii="Arial" w:hAnsi="Arial" w:cs="Arial"/>
                <w:iCs/>
                <w:sz w:val="18"/>
                <w:lang w:val="en-US"/>
              </w:rPr>
              <w:t>This rate includes 80 minutes of airtime and 400 control channel data units during business hours per mobile per month.</w:t>
            </w:r>
            <w:r>
              <w:rPr>
                <w:rFonts w:ascii="Arial" w:hAnsi="Arial" w:cs="Arial"/>
                <w:iCs/>
                <w:sz w:val="18"/>
              </w:rPr>
              <w:t xml:space="preserve"> </w:t>
            </w:r>
          </w:p>
        </w:tc>
      </w:tr>
      <w:tr w:rsidR="00732ADB" w14:paraId="0698F9AE" w14:textId="77777777">
        <w:tc>
          <w:tcPr>
            <w:tcW w:w="1645" w:type="dxa"/>
          </w:tcPr>
          <w:p w14:paraId="6CD91487" w14:textId="77777777" w:rsidR="00732ADB" w:rsidRDefault="00732ADB">
            <w:pPr>
              <w:spacing w:before="120" w:after="120"/>
              <w:rPr>
                <w:rFonts w:ascii="Arial" w:hAnsi="Arial" w:cs="Arial"/>
                <w:b/>
                <w:bCs/>
                <w:iCs/>
                <w:sz w:val="18"/>
              </w:rPr>
            </w:pPr>
            <w:r>
              <w:rPr>
                <w:rFonts w:ascii="Arial" w:hAnsi="Arial" w:cs="Arial"/>
                <w:b/>
                <w:bCs/>
                <w:iCs/>
                <w:sz w:val="18"/>
              </w:rPr>
              <w:lastRenderedPageBreak/>
              <w:t>Control Channel Data</w:t>
            </w:r>
          </w:p>
        </w:tc>
        <w:tc>
          <w:tcPr>
            <w:tcW w:w="4309" w:type="dxa"/>
          </w:tcPr>
          <w:p w14:paraId="5EF5610C" w14:textId="77777777" w:rsidR="00732ADB" w:rsidRDefault="00732ADB">
            <w:pPr>
              <w:spacing w:before="120" w:after="120"/>
              <w:rPr>
                <w:rFonts w:ascii="Arial" w:hAnsi="Arial" w:cs="Arial"/>
                <w:sz w:val="18"/>
                <w:lang w:val="en-US"/>
              </w:rPr>
            </w:pPr>
            <w:r>
              <w:rPr>
                <w:rFonts w:ascii="Arial" w:hAnsi="Arial" w:cs="Arial"/>
                <w:sz w:val="18"/>
                <w:lang w:val="en-US"/>
              </w:rPr>
              <w:t>This rate includes 20 minutes of airtime during and 800 control channel data units during business hours per mobile per month.</w:t>
            </w:r>
          </w:p>
        </w:tc>
      </w:tr>
      <w:tr w:rsidR="00732ADB" w14:paraId="6D20806C" w14:textId="77777777">
        <w:tc>
          <w:tcPr>
            <w:tcW w:w="1645" w:type="dxa"/>
          </w:tcPr>
          <w:p w14:paraId="35AF4667" w14:textId="77777777" w:rsidR="00732ADB" w:rsidRDefault="00732ADB">
            <w:pPr>
              <w:spacing w:before="120" w:after="120"/>
              <w:rPr>
                <w:rFonts w:ascii="Arial" w:hAnsi="Arial" w:cs="Arial"/>
                <w:b/>
                <w:bCs/>
                <w:iCs/>
                <w:sz w:val="18"/>
              </w:rPr>
            </w:pPr>
            <w:r>
              <w:rPr>
                <w:rFonts w:ascii="Arial" w:hAnsi="Arial" w:cs="Arial"/>
                <w:b/>
                <w:bCs/>
                <w:iCs/>
                <w:sz w:val="18"/>
              </w:rPr>
              <w:t>Security</w:t>
            </w:r>
          </w:p>
        </w:tc>
        <w:tc>
          <w:tcPr>
            <w:tcW w:w="4309" w:type="dxa"/>
          </w:tcPr>
          <w:p w14:paraId="202CAE1E" w14:textId="77777777" w:rsidR="00732ADB" w:rsidRDefault="00732ADB">
            <w:pPr>
              <w:pStyle w:val="Heading2"/>
              <w:numPr>
                <w:ilvl w:val="0"/>
                <w:numId w:val="0"/>
              </w:numPr>
              <w:spacing w:before="120" w:after="120"/>
              <w:rPr>
                <w:rFonts w:ascii="Arial" w:hAnsi="Arial" w:cs="Arial"/>
                <w:iCs/>
                <w:sz w:val="18"/>
                <w:lang w:val="en-US"/>
              </w:rPr>
            </w:pPr>
            <w:r>
              <w:rPr>
                <w:rFonts w:ascii="Arial" w:hAnsi="Arial" w:cs="Arial"/>
                <w:iCs/>
                <w:sz w:val="18"/>
                <w:lang w:val="en-US"/>
              </w:rPr>
              <w:t>This rate includes 10 minutes of airtime during business hours per mobile per month.</w:t>
            </w:r>
          </w:p>
        </w:tc>
      </w:tr>
    </w:tbl>
    <w:p w14:paraId="12EBB309" w14:textId="77777777" w:rsidR="00732ADB" w:rsidRDefault="00732ADB">
      <w:pPr>
        <w:pStyle w:val="TableData"/>
      </w:pPr>
    </w:p>
    <w:p w14:paraId="77402739" w14:textId="77777777" w:rsidR="00732ADB" w:rsidRDefault="00732ADB" w:rsidP="00732ADB">
      <w:pPr>
        <w:pStyle w:val="Indent1"/>
      </w:pPr>
      <w:bookmarkStart w:id="58" w:name="_Toc74821845"/>
      <w:bookmarkStart w:id="59" w:name="_Toc256000014"/>
      <w:bookmarkStart w:id="60" w:name="_Toc256000045"/>
      <w:bookmarkStart w:id="61" w:name="_Toc157514650"/>
      <w:r>
        <w:t>Monthly access charges</w:t>
      </w:r>
      <w:bookmarkEnd w:id="58"/>
      <w:bookmarkEnd w:id="59"/>
      <w:bookmarkEnd w:id="60"/>
      <w:bookmarkEnd w:id="61"/>
    </w:p>
    <w:p w14:paraId="732DB66E" w14:textId="77777777" w:rsidR="00732ADB" w:rsidRDefault="00732ADB" w:rsidP="00732ADB">
      <w:pPr>
        <w:pStyle w:val="Heading2"/>
        <w:rPr>
          <w:iCs/>
        </w:rPr>
      </w:pPr>
      <w:r>
        <w:rPr>
          <w:iCs/>
        </w:rPr>
        <w:t>We will charge you the following monthly access charges for each mobile subscribed to the SMR Commercial Service (or such other access charges as agreed between us):</w:t>
      </w:r>
    </w:p>
    <w:tbl>
      <w:tblPr>
        <w:tblW w:w="9639" w:type="dxa"/>
        <w:tblLayout w:type="fixed"/>
        <w:tblCellMar>
          <w:left w:w="107" w:type="dxa"/>
          <w:right w:w="107" w:type="dxa"/>
        </w:tblCellMar>
        <w:tblLook w:val="0000" w:firstRow="0" w:lastRow="0" w:firstColumn="0" w:lastColumn="0" w:noHBand="0" w:noVBand="0"/>
      </w:tblPr>
      <w:tblGrid>
        <w:gridCol w:w="1702"/>
        <w:gridCol w:w="993"/>
        <w:gridCol w:w="992"/>
        <w:gridCol w:w="992"/>
        <w:gridCol w:w="992"/>
        <w:gridCol w:w="992"/>
        <w:gridCol w:w="992"/>
        <w:gridCol w:w="992"/>
        <w:gridCol w:w="992"/>
      </w:tblGrid>
      <w:tr w:rsidR="00732ADB" w14:paraId="3222BA44" w14:textId="77777777" w:rsidTr="00732ADB">
        <w:trPr>
          <w:cantSplit/>
          <w:tblHeader/>
        </w:trPr>
        <w:tc>
          <w:tcPr>
            <w:tcW w:w="1701" w:type="dxa"/>
            <w:tcBorders>
              <w:top w:val="single" w:sz="4" w:space="0" w:color="auto"/>
              <w:left w:val="single" w:sz="4" w:space="0" w:color="auto"/>
              <w:bottom w:val="single" w:sz="4" w:space="0" w:color="auto"/>
              <w:right w:val="single" w:sz="4" w:space="0" w:color="auto"/>
            </w:tcBorders>
          </w:tcPr>
          <w:p w14:paraId="3BBC9C90" w14:textId="77777777" w:rsidR="00732ADB" w:rsidRDefault="00732ADB" w:rsidP="00732ADB">
            <w:pPr>
              <w:keepNext/>
              <w:tabs>
                <w:tab w:val="left" w:pos="3402"/>
              </w:tabs>
              <w:spacing w:before="120" w:after="120"/>
              <w:ind w:right="-931"/>
              <w:rPr>
                <w:rFonts w:ascii="Arial" w:hAnsi="Arial" w:cs="Arial"/>
                <w:iCs/>
                <w:sz w:val="18"/>
              </w:rPr>
            </w:pPr>
          </w:p>
        </w:tc>
        <w:tc>
          <w:tcPr>
            <w:tcW w:w="992" w:type="dxa"/>
            <w:gridSpan w:val="2"/>
            <w:tcBorders>
              <w:top w:val="single" w:sz="4" w:space="0" w:color="auto"/>
              <w:left w:val="nil"/>
              <w:bottom w:val="single" w:sz="4" w:space="0" w:color="auto"/>
              <w:right w:val="single" w:sz="4" w:space="0" w:color="auto"/>
            </w:tcBorders>
          </w:tcPr>
          <w:p w14:paraId="4DCF0ADE" w14:textId="77777777" w:rsidR="00732ADB" w:rsidRDefault="00732ADB" w:rsidP="00732ADB">
            <w:pPr>
              <w:keepNext/>
              <w:tabs>
                <w:tab w:val="left" w:pos="3402"/>
              </w:tabs>
              <w:spacing w:before="120" w:after="120"/>
              <w:ind w:right="-931"/>
              <w:rPr>
                <w:rFonts w:ascii="Arial" w:hAnsi="Arial" w:cs="Arial"/>
                <w:iCs/>
                <w:sz w:val="18"/>
              </w:rPr>
            </w:pPr>
            <w:r>
              <w:rPr>
                <w:rFonts w:ascii="Arial" w:hAnsi="Arial" w:cs="Arial"/>
                <w:b/>
                <w:iCs/>
                <w:sz w:val="18"/>
              </w:rPr>
              <w:t>Voice and Data</w:t>
            </w:r>
          </w:p>
        </w:tc>
        <w:tc>
          <w:tcPr>
            <w:tcW w:w="992" w:type="dxa"/>
            <w:gridSpan w:val="2"/>
            <w:tcBorders>
              <w:top w:val="single" w:sz="4" w:space="0" w:color="auto"/>
              <w:left w:val="nil"/>
              <w:bottom w:val="single" w:sz="4" w:space="0" w:color="auto"/>
              <w:right w:val="single" w:sz="4" w:space="0" w:color="auto"/>
            </w:tcBorders>
          </w:tcPr>
          <w:p w14:paraId="1AE0B63A" w14:textId="77777777" w:rsidR="00732ADB" w:rsidRDefault="00732ADB" w:rsidP="00732ADB">
            <w:pPr>
              <w:keepNext/>
              <w:tabs>
                <w:tab w:val="left" w:pos="3402"/>
              </w:tabs>
              <w:spacing w:before="120" w:after="120"/>
              <w:ind w:right="-931"/>
              <w:rPr>
                <w:rFonts w:ascii="Arial" w:hAnsi="Arial" w:cs="Arial"/>
                <w:b/>
                <w:iCs/>
                <w:sz w:val="18"/>
              </w:rPr>
            </w:pPr>
            <w:proofErr w:type="spellStart"/>
            <w:r>
              <w:rPr>
                <w:rFonts w:ascii="Arial" w:hAnsi="Arial" w:cs="Arial"/>
                <w:b/>
                <w:iCs/>
                <w:sz w:val="18"/>
              </w:rPr>
              <w:t>SmartTalk</w:t>
            </w:r>
            <w:proofErr w:type="spellEnd"/>
            <w:r>
              <w:rPr>
                <w:rFonts w:ascii="Arial" w:hAnsi="Arial" w:cs="Arial"/>
                <w:b/>
                <w:iCs/>
                <w:sz w:val="18"/>
              </w:rPr>
              <w:t xml:space="preserve"> 80</w:t>
            </w:r>
          </w:p>
        </w:tc>
        <w:tc>
          <w:tcPr>
            <w:tcW w:w="992" w:type="dxa"/>
            <w:gridSpan w:val="2"/>
            <w:tcBorders>
              <w:top w:val="single" w:sz="4" w:space="0" w:color="auto"/>
              <w:left w:val="nil"/>
              <w:bottom w:val="single" w:sz="4" w:space="0" w:color="auto"/>
              <w:right w:val="single" w:sz="4" w:space="0" w:color="auto"/>
            </w:tcBorders>
          </w:tcPr>
          <w:p w14:paraId="39BB7ECD" w14:textId="77777777" w:rsidR="00732ADB" w:rsidRDefault="00732ADB" w:rsidP="00732ADB">
            <w:pPr>
              <w:pStyle w:val="TableHead"/>
              <w:keepNext/>
              <w:spacing w:before="120" w:after="120"/>
              <w:rPr>
                <w:rFonts w:cs="Arial"/>
                <w:iCs/>
              </w:rPr>
            </w:pPr>
            <w:r>
              <w:rPr>
                <w:rFonts w:cs="Arial"/>
                <w:iCs/>
              </w:rPr>
              <w:t>Control Channel Data</w:t>
            </w:r>
          </w:p>
        </w:tc>
        <w:tc>
          <w:tcPr>
            <w:tcW w:w="992" w:type="dxa"/>
            <w:gridSpan w:val="2"/>
            <w:tcBorders>
              <w:top w:val="single" w:sz="4" w:space="0" w:color="auto"/>
              <w:left w:val="nil"/>
              <w:bottom w:val="single" w:sz="4" w:space="0" w:color="auto"/>
              <w:right w:val="single" w:sz="4" w:space="0" w:color="auto"/>
            </w:tcBorders>
          </w:tcPr>
          <w:p w14:paraId="68FC4CFF" w14:textId="77777777" w:rsidR="00732ADB" w:rsidRDefault="00732ADB" w:rsidP="00732ADB">
            <w:pPr>
              <w:keepNext/>
              <w:tabs>
                <w:tab w:val="left" w:pos="3402"/>
              </w:tabs>
              <w:spacing w:before="120" w:after="120"/>
              <w:rPr>
                <w:rFonts w:ascii="Arial" w:hAnsi="Arial" w:cs="Arial"/>
                <w:b/>
                <w:iCs/>
                <w:sz w:val="18"/>
              </w:rPr>
            </w:pPr>
            <w:r>
              <w:rPr>
                <w:rFonts w:ascii="Arial" w:hAnsi="Arial" w:cs="Arial"/>
                <w:b/>
                <w:iCs/>
                <w:sz w:val="18"/>
              </w:rPr>
              <w:t>Security</w:t>
            </w:r>
          </w:p>
        </w:tc>
      </w:tr>
      <w:tr w:rsidR="00732ADB" w14:paraId="64CBFB61" w14:textId="77777777" w:rsidTr="00732ADB">
        <w:trPr>
          <w:cantSplit/>
          <w:tblHeader/>
        </w:trPr>
        <w:tc>
          <w:tcPr>
            <w:tcW w:w="1701" w:type="dxa"/>
            <w:tcBorders>
              <w:top w:val="single" w:sz="4" w:space="0" w:color="auto"/>
              <w:left w:val="single" w:sz="4" w:space="0" w:color="auto"/>
              <w:bottom w:val="single" w:sz="4" w:space="0" w:color="auto"/>
              <w:right w:val="single" w:sz="4" w:space="0" w:color="auto"/>
            </w:tcBorders>
          </w:tcPr>
          <w:p w14:paraId="79507E31" w14:textId="77777777" w:rsidR="00732ADB" w:rsidRDefault="00732ADB" w:rsidP="00732ADB">
            <w:pPr>
              <w:keepNext/>
              <w:tabs>
                <w:tab w:val="left" w:pos="3402"/>
              </w:tabs>
              <w:spacing w:before="120" w:after="120"/>
              <w:ind w:right="-931"/>
              <w:jc w:val="both"/>
              <w:rPr>
                <w:rFonts w:ascii="Arial" w:hAnsi="Arial" w:cs="Arial"/>
                <w:iCs/>
                <w:sz w:val="18"/>
              </w:rPr>
            </w:pPr>
          </w:p>
        </w:tc>
        <w:tc>
          <w:tcPr>
            <w:tcW w:w="992" w:type="dxa"/>
            <w:tcBorders>
              <w:top w:val="single" w:sz="4" w:space="0" w:color="auto"/>
              <w:left w:val="nil"/>
              <w:bottom w:val="single" w:sz="4" w:space="0" w:color="auto"/>
              <w:right w:val="single" w:sz="4" w:space="0" w:color="auto"/>
            </w:tcBorders>
          </w:tcPr>
          <w:p w14:paraId="2006268C" w14:textId="77777777" w:rsidR="00732ADB" w:rsidRDefault="00732ADB" w:rsidP="00732ADB">
            <w:pPr>
              <w:keepNext/>
              <w:tabs>
                <w:tab w:val="left" w:pos="602"/>
                <w:tab w:val="left" w:pos="3402"/>
              </w:tabs>
              <w:spacing w:before="120" w:after="120"/>
              <w:ind w:right="-214"/>
              <w:rPr>
                <w:rFonts w:ascii="Arial" w:hAnsi="Arial" w:cs="Arial"/>
                <w:b/>
                <w:iCs/>
                <w:sz w:val="18"/>
              </w:rPr>
            </w:pPr>
            <w:r>
              <w:rPr>
                <w:rFonts w:ascii="Arial" w:hAnsi="Arial" w:cs="Arial"/>
                <w:b/>
                <w:iCs/>
                <w:sz w:val="18"/>
              </w:rPr>
              <w:t>GST excl.</w:t>
            </w:r>
          </w:p>
        </w:tc>
        <w:tc>
          <w:tcPr>
            <w:tcW w:w="992" w:type="dxa"/>
            <w:tcBorders>
              <w:top w:val="single" w:sz="4" w:space="0" w:color="auto"/>
              <w:left w:val="nil"/>
              <w:bottom w:val="single" w:sz="4" w:space="0" w:color="auto"/>
              <w:right w:val="single" w:sz="4" w:space="0" w:color="auto"/>
            </w:tcBorders>
          </w:tcPr>
          <w:p w14:paraId="27018F5E" w14:textId="77777777" w:rsidR="00732ADB" w:rsidRDefault="00732ADB" w:rsidP="00732ADB">
            <w:pPr>
              <w:keepNext/>
              <w:tabs>
                <w:tab w:val="left" w:pos="3402"/>
              </w:tabs>
              <w:spacing w:before="120" w:after="120"/>
              <w:ind w:right="-931"/>
              <w:rPr>
                <w:rFonts w:ascii="Arial" w:hAnsi="Arial" w:cs="Arial"/>
                <w:b/>
                <w:iCs/>
                <w:snapToGrid w:val="0"/>
                <w:color w:val="000000"/>
                <w:sz w:val="18"/>
              </w:rPr>
            </w:pPr>
            <w:r>
              <w:rPr>
                <w:rFonts w:ascii="Arial" w:hAnsi="Arial" w:cs="Arial"/>
                <w:b/>
                <w:iCs/>
                <w:snapToGrid w:val="0"/>
                <w:color w:val="000000"/>
                <w:sz w:val="18"/>
              </w:rPr>
              <w:t>GST incl.</w:t>
            </w:r>
          </w:p>
        </w:tc>
        <w:tc>
          <w:tcPr>
            <w:tcW w:w="992" w:type="dxa"/>
            <w:tcBorders>
              <w:top w:val="single" w:sz="4" w:space="0" w:color="auto"/>
              <w:left w:val="nil"/>
              <w:bottom w:val="single" w:sz="4" w:space="0" w:color="auto"/>
              <w:right w:val="single" w:sz="4" w:space="0" w:color="auto"/>
            </w:tcBorders>
          </w:tcPr>
          <w:p w14:paraId="01E5E012" w14:textId="77777777" w:rsidR="00732ADB" w:rsidRDefault="00732ADB" w:rsidP="00732ADB">
            <w:pPr>
              <w:keepNext/>
              <w:tabs>
                <w:tab w:val="left" w:pos="3402"/>
              </w:tabs>
              <w:spacing w:before="120" w:after="120"/>
              <w:ind w:right="-931"/>
              <w:rPr>
                <w:rFonts w:ascii="Arial" w:hAnsi="Arial" w:cs="Arial"/>
                <w:b/>
                <w:iCs/>
                <w:sz w:val="18"/>
              </w:rPr>
            </w:pPr>
            <w:r>
              <w:rPr>
                <w:rFonts w:ascii="Arial" w:hAnsi="Arial" w:cs="Arial"/>
                <w:b/>
                <w:iCs/>
                <w:sz w:val="18"/>
              </w:rPr>
              <w:t>GST excl.</w:t>
            </w:r>
          </w:p>
        </w:tc>
        <w:tc>
          <w:tcPr>
            <w:tcW w:w="992" w:type="dxa"/>
            <w:tcBorders>
              <w:top w:val="single" w:sz="4" w:space="0" w:color="auto"/>
              <w:left w:val="nil"/>
              <w:bottom w:val="single" w:sz="4" w:space="0" w:color="auto"/>
              <w:right w:val="single" w:sz="4" w:space="0" w:color="auto"/>
            </w:tcBorders>
          </w:tcPr>
          <w:p w14:paraId="6AD1BAA0" w14:textId="77777777" w:rsidR="00732ADB" w:rsidRDefault="00732ADB" w:rsidP="00732ADB">
            <w:pPr>
              <w:keepNext/>
              <w:tabs>
                <w:tab w:val="left" w:pos="3402"/>
              </w:tabs>
              <w:spacing w:before="120" w:after="120"/>
              <w:ind w:right="-931"/>
              <w:rPr>
                <w:rFonts w:ascii="Arial" w:hAnsi="Arial" w:cs="Arial"/>
                <w:b/>
                <w:iCs/>
                <w:snapToGrid w:val="0"/>
                <w:color w:val="000000"/>
                <w:sz w:val="18"/>
              </w:rPr>
            </w:pPr>
            <w:r>
              <w:rPr>
                <w:rFonts w:ascii="Arial" w:hAnsi="Arial" w:cs="Arial"/>
                <w:b/>
                <w:iCs/>
                <w:snapToGrid w:val="0"/>
                <w:color w:val="000000"/>
                <w:sz w:val="18"/>
              </w:rPr>
              <w:t>GST incl.</w:t>
            </w:r>
          </w:p>
        </w:tc>
        <w:tc>
          <w:tcPr>
            <w:tcW w:w="992" w:type="dxa"/>
            <w:tcBorders>
              <w:top w:val="single" w:sz="4" w:space="0" w:color="auto"/>
              <w:left w:val="nil"/>
              <w:bottom w:val="single" w:sz="4" w:space="0" w:color="auto"/>
              <w:right w:val="single" w:sz="4" w:space="0" w:color="auto"/>
            </w:tcBorders>
          </w:tcPr>
          <w:p w14:paraId="0AF16CCA" w14:textId="77777777" w:rsidR="00732ADB" w:rsidRDefault="00732ADB" w:rsidP="00732ADB">
            <w:pPr>
              <w:keepNext/>
              <w:tabs>
                <w:tab w:val="left" w:pos="3402"/>
              </w:tabs>
              <w:spacing w:before="120" w:after="120"/>
              <w:ind w:right="-931"/>
              <w:rPr>
                <w:rFonts w:ascii="Arial" w:hAnsi="Arial" w:cs="Arial"/>
                <w:b/>
                <w:iCs/>
                <w:sz w:val="18"/>
              </w:rPr>
            </w:pPr>
            <w:r>
              <w:rPr>
                <w:rFonts w:ascii="Arial" w:hAnsi="Arial" w:cs="Arial"/>
                <w:b/>
                <w:iCs/>
                <w:sz w:val="18"/>
              </w:rPr>
              <w:t>GST excl.</w:t>
            </w:r>
          </w:p>
        </w:tc>
        <w:tc>
          <w:tcPr>
            <w:tcW w:w="992" w:type="dxa"/>
            <w:tcBorders>
              <w:top w:val="single" w:sz="4" w:space="0" w:color="auto"/>
              <w:left w:val="nil"/>
              <w:bottom w:val="single" w:sz="4" w:space="0" w:color="auto"/>
              <w:right w:val="single" w:sz="4" w:space="0" w:color="auto"/>
            </w:tcBorders>
          </w:tcPr>
          <w:p w14:paraId="6AE731B6" w14:textId="77777777" w:rsidR="00732ADB" w:rsidRDefault="00732ADB" w:rsidP="00732ADB">
            <w:pPr>
              <w:keepNext/>
              <w:tabs>
                <w:tab w:val="left" w:pos="3402"/>
              </w:tabs>
              <w:spacing w:before="120" w:after="120"/>
              <w:ind w:right="-931"/>
              <w:rPr>
                <w:rFonts w:ascii="Arial" w:hAnsi="Arial" w:cs="Arial"/>
                <w:b/>
                <w:iCs/>
                <w:snapToGrid w:val="0"/>
                <w:color w:val="000000"/>
                <w:sz w:val="18"/>
              </w:rPr>
            </w:pPr>
            <w:r>
              <w:rPr>
                <w:rFonts w:ascii="Arial" w:hAnsi="Arial" w:cs="Arial"/>
                <w:b/>
                <w:iCs/>
                <w:snapToGrid w:val="0"/>
                <w:color w:val="000000"/>
                <w:sz w:val="18"/>
              </w:rPr>
              <w:t>GST incl.</w:t>
            </w:r>
          </w:p>
        </w:tc>
        <w:tc>
          <w:tcPr>
            <w:tcW w:w="992" w:type="dxa"/>
            <w:tcBorders>
              <w:top w:val="single" w:sz="4" w:space="0" w:color="auto"/>
              <w:left w:val="nil"/>
              <w:bottom w:val="single" w:sz="4" w:space="0" w:color="auto"/>
              <w:right w:val="single" w:sz="4" w:space="0" w:color="auto"/>
            </w:tcBorders>
          </w:tcPr>
          <w:p w14:paraId="426AF307" w14:textId="77777777" w:rsidR="00732ADB" w:rsidRDefault="00732ADB" w:rsidP="00732ADB">
            <w:pPr>
              <w:keepNext/>
              <w:tabs>
                <w:tab w:val="left" w:pos="3402"/>
              </w:tabs>
              <w:spacing w:before="120" w:after="120"/>
              <w:ind w:right="-931"/>
              <w:rPr>
                <w:rFonts w:ascii="Arial" w:hAnsi="Arial" w:cs="Arial"/>
                <w:b/>
                <w:iCs/>
                <w:sz w:val="18"/>
              </w:rPr>
            </w:pPr>
            <w:r>
              <w:rPr>
                <w:rFonts w:ascii="Arial" w:hAnsi="Arial" w:cs="Arial"/>
                <w:b/>
                <w:iCs/>
                <w:sz w:val="18"/>
              </w:rPr>
              <w:t>GST excl.</w:t>
            </w:r>
          </w:p>
        </w:tc>
        <w:tc>
          <w:tcPr>
            <w:tcW w:w="992" w:type="dxa"/>
            <w:tcBorders>
              <w:top w:val="single" w:sz="4" w:space="0" w:color="auto"/>
              <w:bottom w:val="single" w:sz="4" w:space="0" w:color="auto"/>
              <w:right w:val="single" w:sz="4" w:space="0" w:color="auto"/>
            </w:tcBorders>
          </w:tcPr>
          <w:p w14:paraId="1BFA1A34" w14:textId="77777777" w:rsidR="00732ADB" w:rsidRDefault="00732ADB" w:rsidP="00732ADB">
            <w:pPr>
              <w:keepNext/>
              <w:tabs>
                <w:tab w:val="left" w:pos="3402"/>
              </w:tabs>
              <w:spacing w:before="120" w:after="120"/>
              <w:ind w:right="-931"/>
              <w:rPr>
                <w:rFonts w:ascii="Arial" w:hAnsi="Arial" w:cs="Arial"/>
                <w:b/>
                <w:iCs/>
                <w:snapToGrid w:val="0"/>
                <w:color w:val="000000"/>
                <w:sz w:val="18"/>
              </w:rPr>
            </w:pPr>
            <w:r>
              <w:rPr>
                <w:rFonts w:ascii="Arial" w:hAnsi="Arial" w:cs="Arial"/>
                <w:b/>
                <w:iCs/>
                <w:snapToGrid w:val="0"/>
                <w:color w:val="000000"/>
                <w:sz w:val="18"/>
              </w:rPr>
              <w:t>GST incl.</w:t>
            </w:r>
          </w:p>
        </w:tc>
      </w:tr>
      <w:tr w:rsidR="00732ADB" w14:paraId="05FFDAB1" w14:textId="77777777" w:rsidTr="00732ADB">
        <w:trPr>
          <w:cantSplit/>
        </w:trPr>
        <w:tc>
          <w:tcPr>
            <w:tcW w:w="1701" w:type="dxa"/>
            <w:tcBorders>
              <w:top w:val="single" w:sz="4" w:space="0" w:color="auto"/>
              <w:left w:val="single" w:sz="4" w:space="0" w:color="auto"/>
              <w:bottom w:val="single" w:sz="4" w:space="0" w:color="auto"/>
              <w:right w:val="single" w:sz="4" w:space="0" w:color="auto"/>
            </w:tcBorders>
          </w:tcPr>
          <w:p w14:paraId="0077A4D0" w14:textId="77777777" w:rsidR="00732ADB" w:rsidRDefault="00732ADB" w:rsidP="00732ADB">
            <w:pPr>
              <w:tabs>
                <w:tab w:val="left" w:pos="3402"/>
              </w:tabs>
              <w:spacing w:before="120" w:after="120"/>
              <w:ind w:right="-931"/>
              <w:rPr>
                <w:rFonts w:ascii="Arial" w:hAnsi="Arial" w:cs="Arial"/>
                <w:iCs/>
                <w:sz w:val="18"/>
              </w:rPr>
            </w:pPr>
            <w:r>
              <w:rPr>
                <w:rFonts w:ascii="Arial" w:hAnsi="Arial" w:cs="Arial"/>
                <w:iCs/>
                <w:sz w:val="18"/>
              </w:rPr>
              <w:t>Single Site</w:t>
            </w:r>
          </w:p>
        </w:tc>
        <w:tc>
          <w:tcPr>
            <w:tcW w:w="992" w:type="dxa"/>
            <w:tcBorders>
              <w:top w:val="single" w:sz="4" w:space="0" w:color="auto"/>
              <w:left w:val="nil"/>
              <w:bottom w:val="single" w:sz="4" w:space="0" w:color="auto"/>
              <w:right w:val="single" w:sz="4" w:space="0" w:color="auto"/>
            </w:tcBorders>
          </w:tcPr>
          <w:p w14:paraId="08FA7A9C" w14:textId="77777777" w:rsidR="00732ADB" w:rsidRDefault="00732ADB" w:rsidP="00732ADB">
            <w:pPr>
              <w:spacing w:before="120" w:after="120"/>
              <w:jc w:val="right"/>
              <w:rPr>
                <w:rFonts w:ascii="Arial" w:hAnsi="Arial" w:cs="Arial"/>
                <w:iCs/>
                <w:sz w:val="18"/>
              </w:rPr>
            </w:pPr>
            <w:r>
              <w:rPr>
                <w:rFonts w:ascii="Arial" w:hAnsi="Arial" w:cs="Arial"/>
                <w:iCs/>
                <w:sz w:val="18"/>
              </w:rPr>
              <w:t>$21.00</w:t>
            </w:r>
          </w:p>
        </w:tc>
        <w:tc>
          <w:tcPr>
            <w:tcW w:w="992" w:type="dxa"/>
            <w:tcBorders>
              <w:top w:val="single" w:sz="4" w:space="0" w:color="auto"/>
              <w:left w:val="nil"/>
              <w:bottom w:val="single" w:sz="4" w:space="0" w:color="auto"/>
              <w:right w:val="single" w:sz="4" w:space="0" w:color="auto"/>
            </w:tcBorders>
          </w:tcPr>
          <w:p w14:paraId="0C3E6B3F"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$23.10</w:t>
            </w:r>
          </w:p>
        </w:tc>
        <w:tc>
          <w:tcPr>
            <w:tcW w:w="992" w:type="dxa"/>
            <w:tcBorders>
              <w:top w:val="single" w:sz="4" w:space="0" w:color="auto"/>
              <w:left w:val="nil"/>
              <w:bottom w:val="single" w:sz="4" w:space="0" w:color="auto"/>
              <w:right w:val="single" w:sz="4" w:space="0" w:color="auto"/>
            </w:tcBorders>
          </w:tcPr>
          <w:p w14:paraId="51A5142F" w14:textId="77777777" w:rsidR="00732ADB" w:rsidRDefault="00732ADB" w:rsidP="00732ADB">
            <w:pPr>
              <w:spacing w:before="120" w:after="120"/>
              <w:jc w:val="right"/>
              <w:rPr>
                <w:rFonts w:ascii="Arial" w:hAnsi="Arial" w:cs="Arial"/>
                <w:iCs/>
                <w:sz w:val="18"/>
              </w:rPr>
            </w:pPr>
            <w:r>
              <w:rPr>
                <w:rFonts w:ascii="Arial" w:hAnsi="Arial" w:cs="Arial"/>
                <w:iCs/>
                <w:sz w:val="18"/>
              </w:rPr>
              <w:t>$18.50</w:t>
            </w:r>
          </w:p>
        </w:tc>
        <w:tc>
          <w:tcPr>
            <w:tcW w:w="992" w:type="dxa"/>
            <w:tcBorders>
              <w:top w:val="single" w:sz="4" w:space="0" w:color="auto"/>
              <w:left w:val="nil"/>
              <w:bottom w:val="single" w:sz="4" w:space="0" w:color="auto"/>
              <w:right w:val="single" w:sz="4" w:space="0" w:color="auto"/>
            </w:tcBorders>
          </w:tcPr>
          <w:p w14:paraId="45042B6C"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$20.35</w:t>
            </w:r>
          </w:p>
        </w:tc>
        <w:tc>
          <w:tcPr>
            <w:tcW w:w="992" w:type="dxa"/>
            <w:tcBorders>
              <w:top w:val="single" w:sz="4" w:space="0" w:color="auto"/>
              <w:left w:val="nil"/>
              <w:bottom w:val="single" w:sz="4" w:space="0" w:color="auto"/>
              <w:right w:val="single" w:sz="4" w:space="0" w:color="auto"/>
            </w:tcBorders>
          </w:tcPr>
          <w:p w14:paraId="4C02B662" w14:textId="77777777" w:rsidR="00732ADB" w:rsidRDefault="00732ADB" w:rsidP="00732ADB">
            <w:pPr>
              <w:spacing w:before="120" w:after="120"/>
              <w:jc w:val="right"/>
              <w:rPr>
                <w:rFonts w:ascii="Arial" w:hAnsi="Arial" w:cs="Arial"/>
                <w:iCs/>
                <w:sz w:val="18"/>
              </w:rPr>
            </w:pPr>
            <w:r>
              <w:rPr>
                <w:rFonts w:ascii="Arial" w:hAnsi="Arial" w:cs="Arial"/>
                <w:iCs/>
                <w:sz w:val="18"/>
              </w:rPr>
              <w:t>$14.00</w:t>
            </w:r>
          </w:p>
        </w:tc>
        <w:tc>
          <w:tcPr>
            <w:tcW w:w="992" w:type="dxa"/>
            <w:tcBorders>
              <w:top w:val="single" w:sz="4" w:space="0" w:color="auto"/>
              <w:left w:val="nil"/>
              <w:bottom w:val="single" w:sz="4" w:space="0" w:color="auto"/>
              <w:right w:val="single" w:sz="4" w:space="0" w:color="auto"/>
            </w:tcBorders>
          </w:tcPr>
          <w:p w14:paraId="1F1BB9E0"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$15.40</w:t>
            </w:r>
          </w:p>
        </w:tc>
        <w:tc>
          <w:tcPr>
            <w:tcW w:w="992" w:type="dxa"/>
            <w:tcBorders>
              <w:top w:val="single" w:sz="4" w:space="0" w:color="auto"/>
              <w:left w:val="nil"/>
              <w:bottom w:val="single" w:sz="4" w:space="0" w:color="auto"/>
              <w:right w:val="single" w:sz="4" w:space="0" w:color="auto"/>
            </w:tcBorders>
          </w:tcPr>
          <w:p w14:paraId="05B68BEA" w14:textId="77777777" w:rsidR="00732ADB" w:rsidRDefault="00732ADB" w:rsidP="00732ADB">
            <w:pPr>
              <w:spacing w:before="120" w:after="120"/>
              <w:jc w:val="right"/>
              <w:rPr>
                <w:rFonts w:ascii="Arial" w:hAnsi="Arial" w:cs="Arial"/>
                <w:iCs/>
                <w:sz w:val="18"/>
              </w:rPr>
            </w:pPr>
            <w:r>
              <w:rPr>
                <w:rFonts w:ascii="Arial" w:hAnsi="Arial" w:cs="Arial"/>
                <w:iCs/>
                <w:sz w:val="18"/>
              </w:rPr>
              <w:t>$5.50</w:t>
            </w:r>
          </w:p>
        </w:tc>
        <w:tc>
          <w:tcPr>
            <w:tcW w:w="992" w:type="dxa"/>
            <w:tcBorders>
              <w:top w:val="single" w:sz="4" w:space="0" w:color="auto"/>
              <w:bottom w:val="single" w:sz="4" w:space="0" w:color="auto"/>
              <w:right w:val="single" w:sz="4" w:space="0" w:color="auto"/>
            </w:tcBorders>
          </w:tcPr>
          <w:p w14:paraId="472232B3"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$6.05</w:t>
            </w:r>
          </w:p>
        </w:tc>
      </w:tr>
      <w:tr w:rsidR="00732ADB" w14:paraId="515E6704" w14:textId="77777777" w:rsidTr="00732ADB">
        <w:trPr>
          <w:cantSplit/>
        </w:trPr>
        <w:tc>
          <w:tcPr>
            <w:tcW w:w="1701" w:type="dxa"/>
            <w:tcBorders>
              <w:top w:val="single" w:sz="4" w:space="0" w:color="auto"/>
              <w:left w:val="single" w:sz="4" w:space="0" w:color="auto"/>
              <w:bottom w:val="single" w:sz="4" w:space="0" w:color="auto"/>
              <w:right w:val="single" w:sz="4" w:space="0" w:color="auto"/>
            </w:tcBorders>
          </w:tcPr>
          <w:p w14:paraId="43756DBA" w14:textId="77777777" w:rsidR="00732ADB" w:rsidRDefault="00732ADB" w:rsidP="00732ADB">
            <w:pPr>
              <w:tabs>
                <w:tab w:val="left" w:pos="3402"/>
              </w:tabs>
              <w:spacing w:before="120" w:after="120"/>
              <w:ind w:right="-931"/>
              <w:rPr>
                <w:rFonts w:ascii="Arial" w:hAnsi="Arial" w:cs="Arial"/>
                <w:iCs/>
                <w:sz w:val="18"/>
              </w:rPr>
            </w:pPr>
            <w:r>
              <w:rPr>
                <w:rFonts w:ascii="Arial" w:hAnsi="Arial" w:cs="Arial"/>
                <w:iCs/>
                <w:sz w:val="18"/>
              </w:rPr>
              <w:t>Additional Site</w:t>
            </w:r>
          </w:p>
        </w:tc>
        <w:tc>
          <w:tcPr>
            <w:tcW w:w="992" w:type="dxa"/>
            <w:tcBorders>
              <w:top w:val="single" w:sz="4" w:space="0" w:color="auto"/>
              <w:left w:val="nil"/>
              <w:bottom w:val="single" w:sz="4" w:space="0" w:color="auto"/>
              <w:right w:val="single" w:sz="4" w:space="0" w:color="auto"/>
            </w:tcBorders>
          </w:tcPr>
          <w:p w14:paraId="0AFF3F9B" w14:textId="77777777" w:rsidR="00732ADB" w:rsidRDefault="00732ADB" w:rsidP="00732ADB">
            <w:pPr>
              <w:spacing w:before="120" w:after="120"/>
              <w:jc w:val="right"/>
              <w:rPr>
                <w:rFonts w:ascii="Arial" w:hAnsi="Arial" w:cs="Arial"/>
                <w:iCs/>
                <w:sz w:val="18"/>
              </w:rPr>
            </w:pPr>
            <w:r>
              <w:rPr>
                <w:rFonts w:ascii="Arial" w:hAnsi="Arial" w:cs="Arial"/>
                <w:iCs/>
                <w:sz w:val="18"/>
              </w:rPr>
              <w:t>$5.50</w:t>
            </w:r>
          </w:p>
        </w:tc>
        <w:tc>
          <w:tcPr>
            <w:tcW w:w="992" w:type="dxa"/>
            <w:tcBorders>
              <w:top w:val="single" w:sz="4" w:space="0" w:color="auto"/>
              <w:left w:val="nil"/>
              <w:bottom w:val="single" w:sz="4" w:space="0" w:color="auto"/>
              <w:right w:val="single" w:sz="4" w:space="0" w:color="auto"/>
            </w:tcBorders>
          </w:tcPr>
          <w:p w14:paraId="7D37D846"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$6.05</w:t>
            </w:r>
          </w:p>
        </w:tc>
        <w:tc>
          <w:tcPr>
            <w:tcW w:w="992" w:type="dxa"/>
            <w:tcBorders>
              <w:top w:val="single" w:sz="4" w:space="0" w:color="auto"/>
              <w:left w:val="nil"/>
              <w:bottom w:val="single" w:sz="4" w:space="0" w:color="auto"/>
              <w:right w:val="single" w:sz="4" w:space="0" w:color="auto"/>
            </w:tcBorders>
          </w:tcPr>
          <w:p w14:paraId="6270F3C2" w14:textId="77777777" w:rsidR="00732ADB" w:rsidRDefault="00732ADB" w:rsidP="00732ADB">
            <w:pPr>
              <w:spacing w:before="120" w:after="120"/>
              <w:jc w:val="right"/>
              <w:rPr>
                <w:rFonts w:ascii="Arial" w:hAnsi="Arial" w:cs="Arial"/>
                <w:iCs/>
                <w:sz w:val="18"/>
              </w:rPr>
            </w:pPr>
            <w:r>
              <w:rPr>
                <w:rFonts w:ascii="Arial" w:hAnsi="Arial" w:cs="Arial"/>
                <w:iCs/>
                <w:sz w:val="18"/>
              </w:rPr>
              <w:t>$5.00</w:t>
            </w:r>
          </w:p>
        </w:tc>
        <w:tc>
          <w:tcPr>
            <w:tcW w:w="992" w:type="dxa"/>
            <w:tcBorders>
              <w:top w:val="single" w:sz="4" w:space="0" w:color="auto"/>
              <w:left w:val="nil"/>
              <w:bottom w:val="single" w:sz="4" w:space="0" w:color="auto"/>
              <w:right w:val="single" w:sz="4" w:space="0" w:color="auto"/>
            </w:tcBorders>
          </w:tcPr>
          <w:p w14:paraId="22443CE9"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$5.50</w:t>
            </w:r>
          </w:p>
        </w:tc>
        <w:tc>
          <w:tcPr>
            <w:tcW w:w="992" w:type="dxa"/>
            <w:tcBorders>
              <w:top w:val="single" w:sz="4" w:space="0" w:color="auto"/>
              <w:left w:val="nil"/>
              <w:bottom w:val="single" w:sz="4" w:space="0" w:color="auto"/>
              <w:right w:val="single" w:sz="4" w:space="0" w:color="auto"/>
            </w:tcBorders>
          </w:tcPr>
          <w:p w14:paraId="2EE16B8C" w14:textId="77777777" w:rsidR="00732ADB" w:rsidRDefault="00732ADB" w:rsidP="00732ADB">
            <w:pPr>
              <w:spacing w:before="120" w:after="120"/>
              <w:jc w:val="right"/>
              <w:rPr>
                <w:rFonts w:ascii="Arial" w:hAnsi="Arial" w:cs="Arial"/>
                <w:iCs/>
                <w:sz w:val="18"/>
              </w:rPr>
            </w:pPr>
            <w:r>
              <w:rPr>
                <w:rFonts w:ascii="Arial" w:hAnsi="Arial" w:cs="Arial"/>
                <w:iCs/>
                <w:sz w:val="18"/>
              </w:rPr>
              <w:t>$4.00</w:t>
            </w:r>
          </w:p>
        </w:tc>
        <w:tc>
          <w:tcPr>
            <w:tcW w:w="992" w:type="dxa"/>
            <w:tcBorders>
              <w:top w:val="single" w:sz="4" w:space="0" w:color="auto"/>
              <w:left w:val="nil"/>
              <w:bottom w:val="single" w:sz="4" w:space="0" w:color="auto"/>
              <w:right w:val="single" w:sz="4" w:space="0" w:color="auto"/>
            </w:tcBorders>
          </w:tcPr>
          <w:p w14:paraId="18E7967B"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$4.40</w:t>
            </w:r>
          </w:p>
        </w:tc>
        <w:tc>
          <w:tcPr>
            <w:tcW w:w="992" w:type="dxa"/>
            <w:tcBorders>
              <w:top w:val="single" w:sz="4" w:space="0" w:color="auto"/>
              <w:left w:val="nil"/>
              <w:bottom w:val="single" w:sz="4" w:space="0" w:color="auto"/>
              <w:right w:val="single" w:sz="4" w:space="0" w:color="auto"/>
            </w:tcBorders>
          </w:tcPr>
          <w:p w14:paraId="07849E24" w14:textId="77777777" w:rsidR="00732ADB" w:rsidRDefault="00732ADB" w:rsidP="00732ADB">
            <w:pPr>
              <w:spacing w:before="120" w:after="120"/>
              <w:jc w:val="right"/>
              <w:rPr>
                <w:rFonts w:ascii="Arial" w:hAnsi="Arial" w:cs="Arial"/>
                <w:iCs/>
                <w:sz w:val="18"/>
              </w:rPr>
            </w:pPr>
            <w:r>
              <w:rPr>
                <w:rFonts w:ascii="Arial" w:hAnsi="Arial" w:cs="Arial"/>
                <w:iCs/>
                <w:sz w:val="18"/>
              </w:rPr>
              <w:t>$1.50</w:t>
            </w:r>
          </w:p>
        </w:tc>
        <w:tc>
          <w:tcPr>
            <w:tcW w:w="992" w:type="dxa"/>
            <w:tcBorders>
              <w:top w:val="single" w:sz="4" w:space="0" w:color="auto"/>
              <w:bottom w:val="single" w:sz="4" w:space="0" w:color="auto"/>
              <w:right w:val="single" w:sz="4" w:space="0" w:color="auto"/>
            </w:tcBorders>
          </w:tcPr>
          <w:p w14:paraId="05B37A10"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$1.65</w:t>
            </w:r>
          </w:p>
        </w:tc>
      </w:tr>
      <w:tr w:rsidR="00732ADB" w14:paraId="3BBB7894" w14:textId="77777777" w:rsidTr="00732ADB">
        <w:trPr>
          <w:cantSplit/>
        </w:trPr>
        <w:tc>
          <w:tcPr>
            <w:tcW w:w="1701" w:type="dxa"/>
            <w:tcBorders>
              <w:top w:val="single" w:sz="4" w:space="0" w:color="auto"/>
              <w:left w:val="single" w:sz="4" w:space="0" w:color="auto"/>
              <w:bottom w:val="single" w:sz="4" w:space="0" w:color="auto"/>
              <w:right w:val="single" w:sz="4" w:space="0" w:color="auto"/>
            </w:tcBorders>
          </w:tcPr>
          <w:p w14:paraId="2DA2EEED" w14:textId="77777777" w:rsidR="00732ADB" w:rsidRDefault="00732ADB" w:rsidP="00732ADB">
            <w:pPr>
              <w:pStyle w:val="Index1"/>
              <w:spacing w:before="120" w:after="120"/>
              <w:rPr>
                <w:iCs/>
              </w:rPr>
            </w:pPr>
            <w:r>
              <w:rPr>
                <w:iCs/>
              </w:rPr>
              <w:t>Zone (5 or more sites)</w:t>
            </w:r>
          </w:p>
        </w:tc>
        <w:tc>
          <w:tcPr>
            <w:tcW w:w="992" w:type="dxa"/>
            <w:tcBorders>
              <w:top w:val="single" w:sz="4" w:space="0" w:color="auto"/>
              <w:left w:val="nil"/>
              <w:bottom w:val="single" w:sz="4" w:space="0" w:color="auto"/>
              <w:right w:val="single" w:sz="4" w:space="0" w:color="auto"/>
            </w:tcBorders>
          </w:tcPr>
          <w:p w14:paraId="5EB4D835" w14:textId="77777777" w:rsidR="00732ADB" w:rsidRDefault="00732ADB" w:rsidP="00732ADB">
            <w:pPr>
              <w:spacing w:before="120" w:after="120"/>
              <w:jc w:val="right"/>
              <w:rPr>
                <w:rFonts w:ascii="Arial" w:hAnsi="Arial" w:cs="Arial"/>
                <w:iCs/>
                <w:sz w:val="18"/>
              </w:rPr>
            </w:pPr>
            <w:r>
              <w:rPr>
                <w:rFonts w:ascii="Arial" w:hAnsi="Arial" w:cs="Arial"/>
                <w:iCs/>
                <w:sz w:val="18"/>
              </w:rPr>
              <w:t>$39.50</w:t>
            </w:r>
          </w:p>
        </w:tc>
        <w:tc>
          <w:tcPr>
            <w:tcW w:w="992" w:type="dxa"/>
            <w:tcBorders>
              <w:top w:val="single" w:sz="4" w:space="0" w:color="auto"/>
              <w:left w:val="nil"/>
              <w:bottom w:val="single" w:sz="4" w:space="0" w:color="auto"/>
              <w:right w:val="single" w:sz="4" w:space="0" w:color="auto"/>
            </w:tcBorders>
          </w:tcPr>
          <w:p w14:paraId="5AD7487D"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$43.45</w:t>
            </w:r>
          </w:p>
        </w:tc>
        <w:tc>
          <w:tcPr>
            <w:tcW w:w="992" w:type="dxa"/>
            <w:tcBorders>
              <w:top w:val="single" w:sz="4" w:space="0" w:color="auto"/>
              <w:left w:val="nil"/>
              <w:bottom w:val="single" w:sz="4" w:space="0" w:color="auto"/>
              <w:right w:val="single" w:sz="4" w:space="0" w:color="auto"/>
            </w:tcBorders>
          </w:tcPr>
          <w:p w14:paraId="1004B815" w14:textId="77777777" w:rsidR="00732ADB" w:rsidRDefault="00732ADB" w:rsidP="00732ADB">
            <w:pPr>
              <w:spacing w:before="120" w:after="120"/>
              <w:jc w:val="right"/>
              <w:rPr>
                <w:rFonts w:ascii="Arial" w:hAnsi="Arial" w:cs="Arial"/>
                <w:iCs/>
                <w:sz w:val="18"/>
              </w:rPr>
            </w:pPr>
            <w:r>
              <w:rPr>
                <w:rFonts w:ascii="Arial" w:hAnsi="Arial" w:cs="Arial"/>
                <w:iCs/>
                <w:sz w:val="18"/>
              </w:rPr>
              <w:t>$35.00</w:t>
            </w:r>
          </w:p>
        </w:tc>
        <w:tc>
          <w:tcPr>
            <w:tcW w:w="992" w:type="dxa"/>
            <w:tcBorders>
              <w:top w:val="single" w:sz="4" w:space="0" w:color="auto"/>
              <w:left w:val="nil"/>
              <w:bottom w:val="single" w:sz="4" w:space="0" w:color="auto"/>
              <w:right w:val="single" w:sz="4" w:space="0" w:color="auto"/>
            </w:tcBorders>
          </w:tcPr>
          <w:p w14:paraId="2016BAD9"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$38.50</w:t>
            </w:r>
          </w:p>
        </w:tc>
        <w:tc>
          <w:tcPr>
            <w:tcW w:w="992" w:type="dxa"/>
            <w:tcBorders>
              <w:top w:val="single" w:sz="4" w:space="0" w:color="auto"/>
              <w:left w:val="nil"/>
              <w:bottom w:val="single" w:sz="4" w:space="0" w:color="auto"/>
              <w:right w:val="single" w:sz="4" w:space="0" w:color="auto"/>
            </w:tcBorders>
          </w:tcPr>
          <w:p w14:paraId="230AD9AC" w14:textId="77777777" w:rsidR="00732ADB" w:rsidRDefault="00732ADB" w:rsidP="00732ADB">
            <w:pPr>
              <w:spacing w:before="120" w:after="120"/>
              <w:jc w:val="right"/>
              <w:rPr>
                <w:rFonts w:ascii="Arial" w:hAnsi="Arial" w:cs="Arial"/>
                <w:iCs/>
                <w:sz w:val="18"/>
              </w:rPr>
            </w:pPr>
            <w:r>
              <w:rPr>
                <w:rFonts w:ascii="Arial" w:hAnsi="Arial" w:cs="Arial"/>
                <w:iCs/>
                <w:sz w:val="18"/>
              </w:rPr>
              <w:t>$26.00</w:t>
            </w:r>
          </w:p>
        </w:tc>
        <w:tc>
          <w:tcPr>
            <w:tcW w:w="992" w:type="dxa"/>
            <w:tcBorders>
              <w:top w:val="single" w:sz="4" w:space="0" w:color="auto"/>
              <w:left w:val="nil"/>
              <w:bottom w:val="single" w:sz="4" w:space="0" w:color="auto"/>
              <w:right w:val="single" w:sz="4" w:space="0" w:color="auto"/>
            </w:tcBorders>
          </w:tcPr>
          <w:p w14:paraId="724D4FDB"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$28.60</w:t>
            </w:r>
          </w:p>
        </w:tc>
        <w:tc>
          <w:tcPr>
            <w:tcW w:w="992" w:type="dxa"/>
            <w:tcBorders>
              <w:top w:val="single" w:sz="4" w:space="0" w:color="auto"/>
              <w:left w:val="nil"/>
              <w:bottom w:val="single" w:sz="4" w:space="0" w:color="auto"/>
              <w:right w:val="single" w:sz="4" w:space="0" w:color="auto"/>
            </w:tcBorders>
          </w:tcPr>
          <w:p w14:paraId="1AFD837D" w14:textId="77777777" w:rsidR="00732ADB" w:rsidRDefault="00732ADB" w:rsidP="00732ADB">
            <w:pPr>
              <w:spacing w:before="120" w:after="120"/>
              <w:jc w:val="right"/>
              <w:rPr>
                <w:rFonts w:ascii="Arial" w:hAnsi="Arial" w:cs="Arial"/>
                <w:iCs/>
                <w:sz w:val="18"/>
              </w:rPr>
            </w:pPr>
            <w:r>
              <w:rPr>
                <w:rFonts w:ascii="Arial" w:hAnsi="Arial" w:cs="Arial"/>
                <w:iCs/>
                <w:sz w:val="18"/>
              </w:rPr>
              <w:t>$9.00</w:t>
            </w:r>
          </w:p>
        </w:tc>
        <w:tc>
          <w:tcPr>
            <w:tcW w:w="992" w:type="dxa"/>
            <w:tcBorders>
              <w:top w:val="single" w:sz="4" w:space="0" w:color="auto"/>
              <w:bottom w:val="single" w:sz="4" w:space="0" w:color="auto"/>
              <w:right w:val="single" w:sz="4" w:space="0" w:color="auto"/>
            </w:tcBorders>
          </w:tcPr>
          <w:p w14:paraId="0AAA20DD"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$9.90</w:t>
            </w:r>
          </w:p>
        </w:tc>
      </w:tr>
      <w:tr w:rsidR="00732ADB" w14:paraId="0F946BB8" w14:textId="77777777" w:rsidTr="00732ADB">
        <w:trPr>
          <w:cantSplit/>
        </w:trPr>
        <w:tc>
          <w:tcPr>
            <w:tcW w:w="1701" w:type="dxa"/>
            <w:tcBorders>
              <w:top w:val="single" w:sz="4" w:space="0" w:color="auto"/>
              <w:left w:val="single" w:sz="4" w:space="0" w:color="auto"/>
              <w:bottom w:val="single" w:sz="4" w:space="0" w:color="auto"/>
              <w:right w:val="single" w:sz="4" w:space="0" w:color="auto"/>
            </w:tcBorders>
          </w:tcPr>
          <w:p w14:paraId="220DABBF" w14:textId="77777777" w:rsidR="00732ADB" w:rsidRDefault="00732ADB" w:rsidP="00732ADB">
            <w:pPr>
              <w:spacing w:before="120" w:after="120"/>
              <w:rPr>
                <w:rFonts w:ascii="Arial" w:hAnsi="Arial" w:cs="Arial"/>
                <w:iCs/>
                <w:sz w:val="18"/>
              </w:rPr>
            </w:pPr>
            <w:r>
              <w:rPr>
                <w:rFonts w:ascii="Arial" w:hAnsi="Arial" w:cs="Arial"/>
                <w:iCs/>
                <w:sz w:val="18"/>
              </w:rPr>
              <w:t>Additional Zone</w:t>
            </w:r>
          </w:p>
        </w:tc>
        <w:tc>
          <w:tcPr>
            <w:tcW w:w="992" w:type="dxa"/>
            <w:tcBorders>
              <w:top w:val="single" w:sz="4" w:space="0" w:color="auto"/>
              <w:left w:val="nil"/>
              <w:bottom w:val="single" w:sz="4" w:space="0" w:color="auto"/>
              <w:right w:val="single" w:sz="4" w:space="0" w:color="auto"/>
            </w:tcBorders>
          </w:tcPr>
          <w:p w14:paraId="01827A09" w14:textId="77777777" w:rsidR="00732ADB" w:rsidRDefault="00732ADB" w:rsidP="00732ADB">
            <w:pPr>
              <w:spacing w:before="120" w:after="120"/>
              <w:jc w:val="right"/>
              <w:rPr>
                <w:rFonts w:ascii="Arial" w:hAnsi="Arial" w:cs="Arial"/>
                <w:iCs/>
                <w:sz w:val="18"/>
              </w:rPr>
            </w:pPr>
            <w:r>
              <w:rPr>
                <w:rFonts w:ascii="Arial" w:hAnsi="Arial" w:cs="Arial"/>
                <w:iCs/>
                <w:sz w:val="18"/>
              </w:rPr>
              <w:t>$7.50</w:t>
            </w:r>
          </w:p>
        </w:tc>
        <w:tc>
          <w:tcPr>
            <w:tcW w:w="992" w:type="dxa"/>
            <w:tcBorders>
              <w:top w:val="single" w:sz="4" w:space="0" w:color="auto"/>
              <w:left w:val="nil"/>
              <w:bottom w:val="single" w:sz="4" w:space="0" w:color="auto"/>
              <w:right w:val="single" w:sz="4" w:space="0" w:color="auto"/>
            </w:tcBorders>
          </w:tcPr>
          <w:p w14:paraId="05904EDD"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$8.25</w:t>
            </w:r>
          </w:p>
        </w:tc>
        <w:tc>
          <w:tcPr>
            <w:tcW w:w="992" w:type="dxa"/>
            <w:tcBorders>
              <w:top w:val="single" w:sz="4" w:space="0" w:color="auto"/>
              <w:left w:val="nil"/>
              <w:bottom w:val="single" w:sz="4" w:space="0" w:color="auto"/>
              <w:right w:val="single" w:sz="4" w:space="0" w:color="auto"/>
            </w:tcBorders>
          </w:tcPr>
          <w:p w14:paraId="0C2E327B" w14:textId="77777777" w:rsidR="00732ADB" w:rsidRDefault="00732ADB" w:rsidP="00732ADB">
            <w:pPr>
              <w:spacing w:before="120" w:after="120"/>
              <w:jc w:val="right"/>
              <w:rPr>
                <w:rFonts w:ascii="Arial" w:hAnsi="Arial" w:cs="Arial"/>
                <w:iCs/>
                <w:sz w:val="18"/>
              </w:rPr>
            </w:pPr>
            <w:r>
              <w:rPr>
                <w:rFonts w:ascii="Arial" w:hAnsi="Arial" w:cs="Arial"/>
                <w:iCs/>
                <w:sz w:val="18"/>
              </w:rPr>
              <w:t>$6.50</w:t>
            </w:r>
          </w:p>
        </w:tc>
        <w:tc>
          <w:tcPr>
            <w:tcW w:w="992" w:type="dxa"/>
            <w:tcBorders>
              <w:top w:val="single" w:sz="4" w:space="0" w:color="auto"/>
              <w:left w:val="nil"/>
              <w:bottom w:val="single" w:sz="4" w:space="0" w:color="auto"/>
              <w:right w:val="single" w:sz="4" w:space="0" w:color="auto"/>
            </w:tcBorders>
          </w:tcPr>
          <w:p w14:paraId="63534E83"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$7.15</w:t>
            </w:r>
          </w:p>
        </w:tc>
        <w:tc>
          <w:tcPr>
            <w:tcW w:w="992" w:type="dxa"/>
            <w:tcBorders>
              <w:top w:val="single" w:sz="4" w:space="0" w:color="auto"/>
              <w:left w:val="nil"/>
              <w:bottom w:val="single" w:sz="4" w:space="0" w:color="auto"/>
              <w:right w:val="single" w:sz="4" w:space="0" w:color="auto"/>
            </w:tcBorders>
          </w:tcPr>
          <w:p w14:paraId="0DF7F082" w14:textId="77777777" w:rsidR="00732ADB" w:rsidRDefault="00732ADB" w:rsidP="00732ADB">
            <w:pPr>
              <w:spacing w:before="120" w:after="120"/>
              <w:jc w:val="right"/>
              <w:rPr>
                <w:rFonts w:ascii="Arial" w:hAnsi="Arial" w:cs="Arial"/>
                <w:iCs/>
                <w:sz w:val="18"/>
              </w:rPr>
            </w:pPr>
            <w:r>
              <w:rPr>
                <w:rFonts w:ascii="Arial" w:hAnsi="Arial" w:cs="Arial"/>
                <w:iCs/>
                <w:sz w:val="18"/>
              </w:rPr>
              <w:t>$5.00</w:t>
            </w:r>
          </w:p>
        </w:tc>
        <w:tc>
          <w:tcPr>
            <w:tcW w:w="992" w:type="dxa"/>
            <w:tcBorders>
              <w:top w:val="single" w:sz="4" w:space="0" w:color="auto"/>
              <w:left w:val="nil"/>
              <w:bottom w:val="single" w:sz="4" w:space="0" w:color="auto"/>
              <w:right w:val="single" w:sz="4" w:space="0" w:color="auto"/>
            </w:tcBorders>
          </w:tcPr>
          <w:p w14:paraId="7BD26D03"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$5.50</w:t>
            </w:r>
          </w:p>
        </w:tc>
        <w:tc>
          <w:tcPr>
            <w:tcW w:w="992" w:type="dxa"/>
            <w:tcBorders>
              <w:top w:val="single" w:sz="4" w:space="0" w:color="auto"/>
              <w:left w:val="nil"/>
              <w:bottom w:val="single" w:sz="4" w:space="0" w:color="auto"/>
              <w:right w:val="single" w:sz="4" w:space="0" w:color="auto"/>
            </w:tcBorders>
          </w:tcPr>
          <w:p w14:paraId="52ACF85C" w14:textId="77777777" w:rsidR="00732ADB" w:rsidRDefault="00732ADB" w:rsidP="00732ADB">
            <w:pPr>
              <w:spacing w:before="120" w:after="120"/>
              <w:jc w:val="right"/>
              <w:rPr>
                <w:rFonts w:ascii="Arial" w:hAnsi="Arial" w:cs="Arial"/>
                <w:iCs/>
                <w:sz w:val="18"/>
              </w:rPr>
            </w:pPr>
          </w:p>
        </w:tc>
        <w:tc>
          <w:tcPr>
            <w:tcW w:w="992" w:type="dxa"/>
            <w:tcBorders>
              <w:top w:val="single" w:sz="4" w:space="0" w:color="auto"/>
              <w:bottom w:val="single" w:sz="4" w:space="0" w:color="auto"/>
              <w:right w:val="single" w:sz="4" w:space="0" w:color="auto"/>
            </w:tcBorders>
          </w:tcPr>
          <w:p w14:paraId="50C0CD65" w14:textId="77777777" w:rsidR="00732ADB" w:rsidRDefault="00732ADB" w:rsidP="00732ADB">
            <w:pPr>
              <w:spacing w:before="120" w:after="120"/>
              <w:jc w:val="right"/>
              <w:rPr>
                <w:rFonts w:ascii="Arial" w:hAnsi="Arial" w:cs="Arial"/>
                <w:b/>
                <w:bCs/>
                <w:iCs/>
                <w:sz w:val="18"/>
              </w:rPr>
            </w:pPr>
          </w:p>
        </w:tc>
      </w:tr>
      <w:tr w:rsidR="00732ADB" w14:paraId="1D910BD1" w14:textId="77777777" w:rsidTr="00732ADB">
        <w:trPr>
          <w:cantSplit/>
        </w:trPr>
        <w:tc>
          <w:tcPr>
            <w:tcW w:w="1701" w:type="dxa"/>
            <w:tcBorders>
              <w:top w:val="single" w:sz="4" w:space="0" w:color="auto"/>
              <w:left w:val="single" w:sz="4" w:space="0" w:color="auto"/>
              <w:bottom w:val="single" w:sz="4" w:space="0" w:color="auto"/>
              <w:right w:val="single" w:sz="4" w:space="0" w:color="auto"/>
            </w:tcBorders>
          </w:tcPr>
          <w:p w14:paraId="4BF52505" w14:textId="77777777" w:rsidR="00732ADB" w:rsidRDefault="00732ADB" w:rsidP="00732ADB">
            <w:pPr>
              <w:spacing w:before="120" w:after="120"/>
              <w:rPr>
                <w:rFonts w:ascii="Arial" w:hAnsi="Arial" w:cs="Arial"/>
                <w:iCs/>
                <w:sz w:val="18"/>
              </w:rPr>
            </w:pPr>
            <w:r>
              <w:rPr>
                <w:rFonts w:ascii="Arial" w:hAnsi="Arial" w:cs="Arial"/>
                <w:iCs/>
                <w:sz w:val="18"/>
              </w:rPr>
              <w:t>Region (any 3 zones)</w:t>
            </w:r>
          </w:p>
        </w:tc>
        <w:tc>
          <w:tcPr>
            <w:tcW w:w="992" w:type="dxa"/>
            <w:tcBorders>
              <w:top w:val="single" w:sz="4" w:space="0" w:color="auto"/>
              <w:left w:val="nil"/>
              <w:bottom w:val="single" w:sz="4" w:space="0" w:color="auto"/>
              <w:right w:val="single" w:sz="4" w:space="0" w:color="auto"/>
            </w:tcBorders>
          </w:tcPr>
          <w:p w14:paraId="169A0CFB" w14:textId="77777777" w:rsidR="00732ADB" w:rsidRDefault="00732ADB" w:rsidP="00732ADB">
            <w:pPr>
              <w:spacing w:before="120" w:after="120"/>
              <w:jc w:val="right"/>
              <w:rPr>
                <w:rFonts w:ascii="Arial" w:hAnsi="Arial" w:cs="Arial"/>
                <w:iCs/>
                <w:sz w:val="18"/>
              </w:rPr>
            </w:pPr>
            <w:r>
              <w:rPr>
                <w:rFonts w:ascii="Arial" w:hAnsi="Arial" w:cs="Arial"/>
                <w:iCs/>
                <w:sz w:val="18"/>
              </w:rPr>
              <w:t>$55.00</w:t>
            </w:r>
          </w:p>
        </w:tc>
        <w:tc>
          <w:tcPr>
            <w:tcW w:w="992" w:type="dxa"/>
            <w:tcBorders>
              <w:top w:val="single" w:sz="4" w:space="0" w:color="auto"/>
              <w:left w:val="nil"/>
              <w:bottom w:val="single" w:sz="4" w:space="0" w:color="auto"/>
              <w:right w:val="single" w:sz="4" w:space="0" w:color="auto"/>
            </w:tcBorders>
          </w:tcPr>
          <w:p w14:paraId="2EF0BCB2"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$60.50</w:t>
            </w:r>
          </w:p>
        </w:tc>
        <w:tc>
          <w:tcPr>
            <w:tcW w:w="992" w:type="dxa"/>
            <w:tcBorders>
              <w:top w:val="single" w:sz="4" w:space="0" w:color="auto"/>
              <w:left w:val="nil"/>
              <w:bottom w:val="single" w:sz="4" w:space="0" w:color="auto"/>
              <w:right w:val="single" w:sz="4" w:space="0" w:color="auto"/>
            </w:tcBorders>
          </w:tcPr>
          <w:p w14:paraId="6483C564" w14:textId="77777777" w:rsidR="00732ADB" w:rsidRDefault="00732ADB" w:rsidP="00732ADB">
            <w:pPr>
              <w:spacing w:before="120" w:after="120"/>
              <w:jc w:val="right"/>
              <w:rPr>
                <w:rFonts w:ascii="Arial" w:hAnsi="Arial" w:cs="Arial"/>
                <w:iCs/>
                <w:sz w:val="18"/>
              </w:rPr>
            </w:pPr>
            <w:r>
              <w:rPr>
                <w:rFonts w:ascii="Arial" w:hAnsi="Arial" w:cs="Arial"/>
                <w:iCs/>
                <w:sz w:val="18"/>
              </w:rPr>
              <w:t>$48.00</w:t>
            </w:r>
          </w:p>
        </w:tc>
        <w:tc>
          <w:tcPr>
            <w:tcW w:w="992" w:type="dxa"/>
            <w:tcBorders>
              <w:top w:val="single" w:sz="4" w:space="0" w:color="auto"/>
              <w:left w:val="nil"/>
              <w:bottom w:val="single" w:sz="4" w:space="0" w:color="auto"/>
              <w:right w:val="single" w:sz="4" w:space="0" w:color="auto"/>
            </w:tcBorders>
          </w:tcPr>
          <w:p w14:paraId="2E38672B"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$52.80</w:t>
            </w:r>
          </w:p>
        </w:tc>
        <w:tc>
          <w:tcPr>
            <w:tcW w:w="992" w:type="dxa"/>
            <w:tcBorders>
              <w:top w:val="single" w:sz="4" w:space="0" w:color="auto"/>
              <w:left w:val="nil"/>
              <w:bottom w:val="single" w:sz="4" w:space="0" w:color="auto"/>
              <w:right w:val="single" w:sz="4" w:space="0" w:color="auto"/>
            </w:tcBorders>
          </w:tcPr>
          <w:p w14:paraId="44DAAE4B" w14:textId="77777777" w:rsidR="00732ADB" w:rsidRDefault="00732ADB" w:rsidP="00732ADB">
            <w:pPr>
              <w:spacing w:before="120" w:after="120"/>
              <w:jc w:val="right"/>
              <w:rPr>
                <w:rFonts w:ascii="Arial" w:hAnsi="Arial" w:cs="Arial"/>
                <w:iCs/>
                <w:sz w:val="18"/>
              </w:rPr>
            </w:pPr>
            <w:r>
              <w:rPr>
                <w:rFonts w:ascii="Arial" w:hAnsi="Arial" w:cs="Arial"/>
                <w:iCs/>
                <w:sz w:val="18"/>
              </w:rPr>
              <w:t>$36.00</w:t>
            </w:r>
          </w:p>
        </w:tc>
        <w:tc>
          <w:tcPr>
            <w:tcW w:w="992" w:type="dxa"/>
            <w:tcBorders>
              <w:top w:val="single" w:sz="4" w:space="0" w:color="auto"/>
              <w:left w:val="nil"/>
              <w:bottom w:val="single" w:sz="4" w:space="0" w:color="auto"/>
              <w:right w:val="single" w:sz="4" w:space="0" w:color="auto"/>
            </w:tcBorders>
          </w:tcPr>
          <w:p w14:paraId="145D4CA3"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$39.60</w:t>
            </w:r>
          </w:p>
        </w:tc>
        <w:tc>
          <w:tcPr>
            <w:tcW w:w="992" w:type="dxa"/>
            <w:tcBorders>
              <w:top w:val="single" w:sz="4" w:space="0" w:color="auto"/>
              <w:left w:val="nil"/>
              <w:bottom w:val="single" w:sz="4" w:space="0" w:color="auto"/>
              <w:right w:val="single" w:sz="4" w:space="0" w:color="auto"/>
            </w:tcBorders>
          </w:tcPr>
          <w:p w14:paraId="5A51D770" w14:textId="77777777" w:rsidR="00732ADB" w:rsidRDefault="00732ADB" w:rsidP="00732ADB">
            <w:pPr>
              <w:spacing w:before="120" w:after="120"/>
              <w:jc w:val="right"/>
              <w:rPr>
                <w:rFonts w:ascii="Arial" w:hAnsi="Arial" w:cs="Arial"/>
                <w:iCs/>
                <w:sz w:val="18"/>
              </w:rPr>
            </w:pPr>
            <w:r>
              <w:rPr>
                <w:rFonts w:ascii="Arial" w:hAnsi="Arial" w:cs="Arial"/>
                <w:iCs/>
                <w:sz w:val="18"/>
              </w:rPr>
              <w:t>$13.00</w:t>
            </w:r>
          </w:p>
        </w:tc>
        <w:tc>
          <w:tcPr>
            <w:tcW w:w="992" w:type="dxa"/>
            <w:tcBorders>
              <w:top w:val="single" w:sz="4" w:space="0" w:color="auto"/>
              <w:bottom w:val="single" w:sz="4" w:space="0" w:color="auto"/>
              <w:right w:val="single" w:sz="4" w:space="0" w:color="auto"/>
            </w:tcBorders>
          </w:tcPr>
          <w:p w14:paraId="10C2D5CE"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$14.30</w:t>
            </w:r>
          </w:p>
        </w:tc>
      </w:tr>
      <w:tr w:rsidR="00732ADB" w14:paraId="4E22B7A8" w14:textId="77777777" w:rsidTr="00732ADB">
        <w:trPr>
          <w:cantSplit/>
        </w:trPr>
        <w:tc>
          <w:tcPr>
            <w:tcW w:w="1701" w:type="dxa"/>
            <w:tcBorders>
              <w:top w:val="single" w:sz="4" w:space="0" w:color="auto"/>
              <w:left w:val="single" w:sz="4" w:space="0" w:color="auto"/>
              <w:bottom w:val="single" w:sz="4" w:space="0" w:color="auto"/>
              <w:right w:val="single" w:sz="4" w:space="0" w:color="auto"/>
            </w:tcBorders>
          </w:tcPr>
          <w:p w14:paraId="607F0B71" w14:textId="77777777" w:rsidR="00732ADB" w:rsidRDefault="00732ADB" w:rsidP="00732ADB">
            <w:pPr>
              <w:spacing w:before="120" w:after="120"/>
              <w:rPr>
                <w:rFonts w:ascii="Arial" w:hAnsi="Arial" w:cs="Arial"/>
                <w:iCs/>
                <w:sz w:val="18"/>
              </w:rPr>
            </w:pPr>
            <w:r>
              <w:rPr>
                <w:rFonts w:ascii="Arial" w:hAnsi="Arial" w:cs="Arial"/>
                <w:iCs/>
                <w:sz w:val="18"/>
              </w:rPr>
              <w:t>Additional Region</w:t>
            </w:r>
          </w:p>
        </w:tc>
        <w:tc>
          <w:tcPr>
            <w:tcW w:w="992" w:type="dxa"/>
            <w:tcBorders>
              <w:top w:val="single" w:sz="4" w:space="0" w:color="auto"/>
              <w:left w:val="nil"/>
              <w:bottom w:val="single" w:sz="4" w:space="0" w:color="auto"/>
              <w:right w:val="single" w:sz="4" w:space="0" w:color="auto"/>
            </w:tcBorders>
          </w:tcPr>
          <w:p w14:paraId="04E6E8F0" w14:textId="77777777" w:rsidR="00732ADB" w:rsidRDefault="00732ADB" w:rsidP="00732ADB">
            <w:pPr>
              <w:spacing w:before="120" w:after="120"/>
              <w:jc w:val="right"/>
              <w:rPr>
                <w:rFonts w:ascii="Arial" w:hAnsi="Arial" w:cs="Arial"/>
                <w:iCs/>
                <w:sz w:val="18"/>
              </w:rPr>
            </w:pPr>
            <w:r>
              <w:rPr>
                <w:rFonts w:ascii="Arial" w:hAnsi="Arial" w:cs="Arial"/>
                <w:iCs/>
                <w:sz w:val="18"/>
              </w:rPr>
              <w:t>$16.50</w:t>
            </w:r>
          </w:p>
        </w:tc>
        <w:tc>
          <w:tcPr>
            <w:tcW w:w="992" w:type="dxa"/>
            <w:tcBorders>
              <w:top w:val="single" w:sz="4" w:space="0" w:color="auto"/>
              <w:left w:val="nil"/>
              <w:bottom w:val="single" w:sz="4" w:space="0" w:color="auto"/>
              <w:right w:val="single" w:sz="4" w:space="0" w:color="auto"/>
            </w:tcBorders>
          </w:tcPr>
          <w:p w14:paraId="2982EE78"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$18.15</w:t>
            </w:r>
          </w:p>
        </w:tc>
        <w:tc>
          <w:tcPr>
            <w:tcW w:w="992" w:type="dxa"/>
            <w:tcBorders>
              <w:top w:val="single" w:sz="4" w:space="0" w:color="auto"/>
              <w:left w:val="nil"/>
              <w:bottom w:val="single" w:sz="4" w:space="0" w:color="auto"/>
              <w:right w:val="single" w:sz="4" w:space="0" w:color="auto"/>
            </w:tcBorders>
          </w:tcPr>
          <w:p w14:paraId="1F033CAD" w14:textId="77777777" w:rsidR="00732ADB" w:rsidRDefault="00732ADB" w:rsidP="00732ADB">
            <w:pPr>
              <w:spacing w:before="120" w:after="120"/>
              <w:jc w:val="right"/>
              <w:rPr>
                <w:rFonts w:ascii="Arial" w:hAnsi="Arial" w:cs="Arial"/>
                <w:iCs/>
                <w:sz w:val="18"/>
              </w:rPr>
            </w:pPr>
            <w:r>
              <w:rPr>
                <w:rFonts w:ascii="Arial" w:hAnsi="Arial" w:cs="Arial"/>
                <w:iCs/>
                <w:sz w:val="18"/>
              </w:rPr>
              <w:t>$14.00</w:t>
            </w:r>
          </w:p>
        </w:tc>
        <w:tc>
          <w:tcPr>
            <w:tcW w:w="992" w:type="dxa"/>
            <w:tcBorders>
              <w:top w:val="single" w:sz="4" w:space="0" w:color="auto"/>
              <w:left w:val="nil"/>
              <w:bottom w:val="single" w:sz="4" w:space="0" w:color="auto"/>
              <w:right w:val="single" w:sz="4" w:space="0" w:color="auto"/>
            </w:tcBorders>
          </w:tcPr>
          <w:p w14:paraId="5A3B6C79"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$15.40</w:t>
            </w:r>
          </w:p>
        </w:tc>
        <w:tc>
          <w:tcPr>
            <w:tcW w:w="992" w:type="dxa"/>
            <w:tcBorders>
              <w:top w:val="single" w:sz="4" w:space="0" w:color="auto"/>
              <w:left w:val="nil"/>
              <w:bottom w:val="single" w:sz="4" w:space="0" w:color="auto"/>
              <w:right w:val="single" w:sz="4" w:space="0" w:color="auto"/>
            </w:tcBorders>
          </w:tcPr>
          <w:p w14:paraId="34BD3D91" w14:textId="77777777" w:rsidR="00732ADB" w:rsidRDefault="00732ADB" w:rsidP="00732ADB">
            <w:pPr>
              <w:spacing w:before="120" w:after="120"/>
              <w:jc w:val="right"/>
              <w:rPr>
                <w:rFonts w:ascii="Arial" w:hAnsi="Arial" w:cs="Arial"/>
                <w:iCs/>
                <w:sz w:val="18"/>
              </w:rPr>
            </w:pPr>
            <w:r>
              <w:rPr>
                <w:rFonts w:ascii="Arial" w:hAnsi="Arial" w:cs="Arial"/>
                <w:iCs/>
                <w:sz w:val="18"/>
              </w:rPr>
              <w:t>$11.00</w:t>
            </w:r>
          </w:p>
        </w:tc>
        <w:tc>
          <w:tcPr>
            <w:tcW w:w="992" w:type="dxa"/>
            <w:tcBorders>
              <w:top w:val="single" w:sz="4" w:space="0" w:color="auto"/>
              <w:left w:val="nil"/>
              <w:bottom w:val="single" w:sz="4" w:space="0" w:color="auto"/>
              <w:right w:val="single" w:sz="4" w:space="0" w:color="auto"/>
            </w:tcBorders>
          </w:tcPr>
          <w:p w14:paraId="5AEFB4D2"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$12.10</w:t>
            </w:r>
          </w:p>
        </w:tc>
        <w:tc>
          <w:tcPr>
            <w:tcW w:w="992" w:type="dxa"/>
            <w:tcBorders>
              <w:top w:val="single" w:sz="4" w:space="0" w:color="auto"/>
              <w:left w:val="nil"/>
              <w:bottom w:val="single" w:sz="4" w:space="0" w:color="auto"/>
              <w:right w:val="single" w:sz="4" w:space="0" w:color="auto"/>
            </w:tcBorders>
          </w:tcPr>
          <w:p w14:paraId="38F8D1A1" w14:textId="77777777" w:rsidR="00732ADB" w:rsidRDefault="00732ADB" w:rsidP="00732ADB">
            <w:pPr>
              <w:spacing w:before="120" w:after="120"/>
              <w:jc w:val="right"/>
              <w:rPr>
                <w:rFonts w:ascii="Arial" w:hAnsi="Arial" w:cs="Arial"/>
                <w:iCs/>
                <w:sz w:val="18"/>
              </w:rPr>
            </w:pPr>
            <w:r>
              <w:rPr>
                <w:rFonts w:ascii="Arial" w:hAnsi="Arial" w:cs="Arial"/>
                <w:iCs/>
                <w:sz w:val="18"/>
              </w:rPr>
              <w:t>$4.00</w:t>
            </w:r>
          </w:p>
        </w:tc>
        <w:tc>
          <w:tcPr>
            <w:tcW w:w="992" w:type="dxa"/>
            <w:tcBorders>
              <w:top w:val="single" w:sz="4" w:space="0" w:color="auto"/>
              <w:bottom w:val="single" w:sz="4" w:space="0" w:color="auto"/>
              <w:right w:val="single" w:sz="4" w:space="0" w:color="auto"/>
            </w:tcBorders>
          </w:tcPr>
          <w:p w14:paraId="3C8ED233"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$4.40</w:t>
            </w:r>
          </w:p>
        </w:tc>
      </w:tr>
      <w:tr w:rsidR="00732ADB" w14:paraId="712E2B05" w14:textId="77777777" w:rsidTr="00732ADB">
        <w:trPr>
          <w:cantSplit/>
        </w:trPr>
        <w:tc>
          <w:tcPr>
            <w:tcW w:w="1701" w:type="dxa"/>
            <w:tcBorders>
              <w:top w:val="single" w:sz="4" w:space="0" w:color="auto"/>
              <w:left w:val="single" w:sz="4" w:space="0" w:color="auto"/>
              <w:bottom w:val="single" w:sz="4" w:space="0" w:color="auto"/>
              <w:right w:val="single" w:sz="4" w:space="0" w:color="auto"/>
            </w:tcBorders>
          </w:tcPr>
          <w:p w14:paraId="24EC8CA9" w14:textId="77777777" w:rsidR="00732ADB" w:rsidRDefault="00732ADB" w:rsidP="00732ADB">
            <w:pPr>
              <w:spacing w:before="120" w:after="120"/>
              <w:rPr>
                <w:rFonts w:ascii="Arial" w:hAnsi="Arial" w:cs="Arial"/>
                <w:iCs/>
                <w:sz w:val="18"/>
              </w:rPr>
            </w:pPr>
            <w:r>
              <w:rPr>
                <w:rFonts w:ascii="Arial" w:hAnsi="Arial" w:cs="Arial"/>
                <w:iCs/>
                <w:sz w:val="18"/>
              </w:rPr>
              <w:t>Statewide</w:t>
            </w:r>
          </w:p>
        </w:tc>
        <w:tc>
          <w:tcPr>
            <w:tcW w:w="992" w:type="dxa"/>
            <w:tcBorders>
              <w:top w:val="single" w:sz="4" w:space="0" w:color="auto"/>
              <w:left w:val="nil"/>
              <w:bottom w:val="single" w:sz="4" w:space="0" w:color="auto"/>
              <w:right w:val="single" w:sz="4" w:space="0" w:color="auto"/>
            </w:tcBorders>
          </w:tcPr>
          <w:p w14:paraId="21DD0710" w14:textId="77777777" w:rsidR="00732ADB" w:rsidRDefault="00732ADB" w:rsidP="00732ADB">
            <w:pPr>
              <w:spacing w:before="120" w:after="120"/>
              <w:jc w:val="right"/>
              <w:rPr>
                <w:rFonts w:ascii="Arial" w:hAnsi="Arial" w:cs="Arial"/>
                <w:iCs/>
                <w:sz w:val="18"/>
              </w:rPr>
            </w:pPr>
            <w:r>
              <w:rPr>
                <w:rFonts w:ascii="Arial" w:hAnsi="Arial" w:cs="Arial"/>
                <w:iCs/>
                <w:sz w:val="18"/>
              </w:rPr>
              <w:t>$110.00</w:t>
            </w:r>
          </w:p>
        </w:tc>
        <w:tc>
          <w:tcPr>
            <w:tcW w:w="992" w:type="dxa"/>
            <w:tcBorders>
              <w:top w:val="single" w:sz="4" w:space="0" w:color="auto"/>
              <w:left w:val="nil"/>
              <w:bottom w:val="single" w:sz="4" w:space="0" w:color="auto"/>
              <w:right w:val="single" w:sz="4" w:space="0" w:color="auto"/>
            </w:tcBorders>
          </w:tcPr>
          <w:p w14:paraId="3764B838"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$121.00</w:t>
            </w:r>
          </w:p>
        </w:tc>
        <w:tc>
          <w:tcPr>
            <w:tcW w:w="992" w:type="dxa"/>
            <w:tcBorders>
              <w:top w:val="single" w:sz="4" w:space="0" w:color="auto"/>
              <w:left w:val="nil"/>
              <w:bottom w:val="single" w:sz="4" w:space="0" w:color="auto"/>
              <w:right w:val="single" w:sz="4" w:space="0" w:color="auto"/>
            </w:tcBorders>
          </w:tcPr>
          <w:p w14:paraId="2DFC1A28" w14:textId="77777777" w:rsidR="00732ADB" w:rsidRDefault="00732ADB" w:rsidP="00732ADB">
            <w:pPr>
              <w:spacing w:before="120" w:after="120"/>
              <w:jc w:val="right"/>
              <w:rPr>
                <w:rFonts w:ascii="Arial" w:hAnsi="Arial" w:cs="Arial"/>
                <w:iCs/>
                <w:sz w:val="18"/>
              </w:rPr>
            </w:pPr>
            <w:r>
              <w:rPr>
                <w:rFonts w:ascii="Arial" w:hAnsi="Arial" w:cs="Arial"/>
                <w:iCs/>
                <w:sz w:val="18"/>
              </w:rPr>
              <w:t>$99.00</w:t>
            </w:r>
          </w:p>
        </w:tc>
        <w:tc>
          <w:tcPr>
            <w:tcW w:w="992" w:type="dxa"/>
            <w:tcBorders>
              <w:top w:val="single" w:sz="4" w:space="0" w:color="auto"/>
              <w:left w:val="nil"/>
              <w:bottom w:val="single" w:sz="4" w:space="0" w:color="auto"/>
              <w:right w:val="single" w:sz="4" w:space="0" w:color="auto"/>
            </w:tcBorders>
          </w:tcPr>
          <w:p w14:paraId="3B8433E4"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$108.90</w:t>
            </w:r>
          </w:p>
        </w:tc>
        <w:tc>
          <w:tcPr>
            <w:tcW w:w="992" w:type="dxa"/>
            <w:tcBorders>
              <w:top w:val="single" w:sz="4" w:space="0" w:color="auto"/>
              <w:left w:val="nil"/>
              <w:bottom w:val="single" w:sz="4" w:space="0" w:color="auto"/>
              <w:right w:val="single" w:sz="4" w:space="0" w:color="auto"/>
            </w:tcBorders>
          </w:tcPr>
          <w:p w14:paraId="59C796FB" w14:textId="77777777" w:rsidR="00732ADB" w:rsidRDefault="00732ADB" w:rsidP="00732ADB">
            <w:pPr>
              <w:spacing w:before="120" w:after="120"/>
              <w:jc w:val="right"/>
              <w:rPr>
                <w:rFonts w:ascii="Arial" w:hAnsi="Arial" w:cs="Arial"/>
                <w:iCs/>
                <w:sz w:val="18"/>
              </w:rPr>
            </w:pPr>
            <w:r>
              <w:rPr>
                <w:rFonts w:ascii="Arial" w:hAnsi="Arial" w:cs="Arial"/>
                <w:iCs/>
                <w:sz w:val="18"/>
              </w:rPr>
              <w:t>$74.00</w:t>
            </w:r>
          </w:p>
        </w:tc>
        <w:tc>
          <w:tcPr>
            <w:tcW w:w="992" w:type="dxa"/>
            <w:tcBorders>
              <w:top w:val="single" w:sz="4" w:space="0" w:color="auto"/>
              <w:left w:val="nil"/>
              <w:bottom w:val="single" w:sz="4" w:space="0" w:color="auto"/>
              <w:right w:val="single" w:sz="4" w:space="0" w:color="auto"/>
            </w:tcBorders>
          </w:tcPr>
          <w:p w14:paraId="58F7FD43"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$81.40</w:t>
            </w:r>
          </w:p>
        </w:tc>
        <w:tc>
          <w:tcPr>
            <w:tcW w:w="992" w:type="dxa"/>
            <w:tcBorders>
              <w:top w:val="single" w:sz="4" w:space="0" w:color="auto"/>
              <w:left w:val="nil"/>
              <w:bottom w:val="single" w:sz="4" w:space="0" w:color="auto"/>
              <w:right w:val="single" w:sz="4" w:space="0" w:color="auto"/>
            </w:tcBorders>
          </w:tcPr>
          <w:p w14:paraId="3CBBEAA0" w14:textId="77777777" w:rsidR="00732ADB" w:rsidRDefault="00732ADB" w:rsidP="00732ADB">
            <w:pPr>
              <w:spacing w:before="120" w:after="120"/>
              <w:jc w:val="right"/>
              <w:rPr>
                <w:rFonts w:ascii="Arial" w:hAnsi="Arial" w:cs="Arial"/>
                <w:iCs/>
                <w:sz w:val="18"/>
              </w:rPr>
            </w:pPr>
            <w:r>
              <w:rPr>
                <w:rFonts w:ascii="Arial" w:hAnsi="Arial" w:cs="Arial"/>
                <w:iCs/>
                <w:sz w:val="18"/>
              </w:rPr>
              <w:t>$27.50</w:t>
            </w:r>
          </w:p>
        </w:tc>
        <w:tc>
          <w:tcPr>
            <w:tcW w:w="992" w:type="dxa"/>
            <w:tcBorders>
              <w:top w:val="single" w:sz="4" w:space="0" w:color="auto"/>
              <w:bottom w:val="single" w:sz="4" w:space="0" w:color="auto"/>
              <w:right w:val="single" w:sz="4" w:space="0" w:color="auto"/>
            </w:tcBorders>
          </w:tcPr>
          <w:p w14:paraId="1024DC90" w14:textId="77777777" w:rsidR="00732ADB" w:rsidRDefault="00732ADB" w:rsidP="00732ADB">
            <w:pPr>
              <w:spacing w:before="120" w:after="120"/>
              <w:jc w:val="right"/>
              <w:rPr>
                <w:rFonts w:ascii="Arial" w:hAnsi="Arial" w:cs="Arial"/>
                <w:b/>
                <w:bCs/>
                <w:iCs/>
                <w:sz w:val="18"/>
              </w:rPr>
            </w:pPr>
            <w:r>
              <w:rPr>
                <w:rFonts w:ascii="Arial" w:hAnsi="Arial" w:cs="Arial"/>
                <w:b/>
                <w:bCs/>
                <w:iCs/>
                <w:sz w:val="18"/>
              </w:rPr>
              <w:t>$30.25</w:t>
            </w:r>
          </w:p>
        </w:tc>
      </w:tr>
    </w:tbl>
    <w:p w14:paraId="13354D30" w14:textId="77777777" w:rsidR="00732ADB" w:rsidRDefault="00732ADB">
      <w:pPr>
        <w:pStyle w:val="TableData"/>
      </w:pPr>
    </w:p>
    <w:p w14:paraId="7EDEF357" w14:textId="77777777" w:rsidR="00732ADB" w:rsidRDefault="00732ADB">
      <w:pPr>
        <w:pStyle w:val="Indent1"/>
        <w:rPr>
          <w:iCs/>
        </w:rPr>
      </w:pPr>
      <w:bookmarkStart w:id="62" w:name="_Toc74821846"/>
      <w:bookmarkStart w:id="63" w:name="_Toc256000015"/>
      <w:bookmarkStart w:id="64" w:name="_Toc256000046"/>
      <w:bookmarkStart w:id="65" w:name="_Toc157514651"/>
      <w:r>
        <w:t>Additional charges for exceeding monthly airtime allowance</w:t>
      </w:r>
      <w:bookmarkEnd w:id="62"/>
      <w:bookmarkEnd w:id="63"/>
      <w:bookmarkEnd w:id="64"/>
      <w:bookmarkEnd w:id="65"/>
    </w:p>
    <w:p w14:paraId="4A2A46B1" w14:textId="77777777" w:rsidR="00732ADB" w:rsidRDefault="00732ADB">
      <w:pPr>
        <w:pStyle w:val="Heading2"/>
      </w:pPr>
      <w:r>
        <w:t xml:space="preserve">If you exceed your monthly airtime allowance, we charge you the following additional charges (or </w:t>
      </w:r>
      <w:r>
        <w:rPr>
          <w:iCs/>
        </w:rPr>
        <w:t>such other additional charges as agreed between us)</w:t>
      </w:r>
      <w:r>
        <w:t xml:space="preserve">: </w:t>
      </w:r>
    </w:p>
    <w:tbl>
      <w:tblPr>
        <w:tblW w:w="79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3401"/>
        <w:gridCol w:w="1418"/>
        <w:gridCol w:w="1418"/>
      </w:tblGrid>
      <w:tr w:rsidR="00732ADB" w14:paraId="67A86024" w14:textId="77777777">
        <w:trPr>
          <w:tblHeader/>
        </w:trPr>
        <w:tc>
          <w:tcPr>
            <w:tcW w:w="1701" w:type="dxa"/>
          </w:tcPr>
          <w:p w14:paraId="52E6D854" w14:textId="77777777" w:rsidR="00732ADB" w:rsidRDefault="00732ADB">
            <w:pPr>
              <w:keepNext/>
              <w:spacing w:before="120" w:after="120"/>
              <w:rPr>
                <w:rFonts w:ascii="Arial" w:hAnsi="Arial" w:cs="Arial"/>
                <w:b/>
                <w:bCs/>
                <w:iCs/>
                <w:sz w:val="18"/>
              </w:rPr>
            </w:pPr>
            <w:r>
              <w:rPr>
                <w:rFonts w:ascii="Arial" w:hAnsi="Arial" w:cs="Arial"/>
                <w:b/>
                <w:bCs/>
                <w:iCs/>
                <w:sz w:val="18"/>
              </w:rPr>
              <w:t>Monthly Airtime Allowance</w:t>
            </w:r>
          </w:p>
        </w:tc>
        <w:tc>
          <w:tcPr>
            <w:tcW w:w="3402" w:type="dxa"/>
          </w:tcPr>
          <w:p w14:paraId="7D05FB29" w14:textId="77777777" w:rsidR="00732ADB" w:rsidRDefault="00732ADB">
            <w:pPr>
              <w:keepNext/>
              <w:spacing w:before="120" w:after="120"/>
              <w:rPr>
                <w:rFonts w:ascii="Arial" w:hAnsi="Arial" w:cs="Arial"/>
                <w:b/>
                <w:bCs/>
                <w:iCs/>
                <w:sz w:val="18"/>
              </w:rPr>
            </w:pPr>
            <w:r>
              <w:rPr>
                <w:rFonts w:ascii="Arial" w:hAnsi="Arial" w:cs="Arial"/>
                <w:b/>
                <w:bCs/>
                <w:iCs/>
                <w:sz w:val="18"/>
              </w:rPr>
              <w:t>Additional charges for extra time</w:t>
            </w:r>
          </w:p>
        </w:tc>
        <w:tc>
          <w:tcPr>
            <w:tcW w:w="1418" w:type="dxa"/>
          </w:tcPr>
          <w:p w14:paraId="69813C44" w14:textId="77777777" w:rsidR="00732ADB" w:rsidRDefault="00732ADB">
            <w:pPr>
              <w:keepNext/>
              <w:spacing w:before="120" w:after="120"/>
              <w:rPr>
                <w:rFonts w:ascii="Arial" w:hAnsi="Arial" w:cs="Arial"/>
                <w:b/>
                <w:bCs/>
                <w:iCs/>
                <w:sz w:val="18"/>
              </w:rPr>
            </w:pPr>
            <w:r>
              <w:rPr>
                <w:rFonts w:ascii="Arial" w:hAnsi="Arial" w:cs="Arial"/>
                <w:b/>
                <w:bCs/>
                <w:iCs/>
                <w:sz w:val="18"/>
              </w:rPr>
              <w:t>GST excl.</w:t>
            </w:r>
          </w:p>
        </w:tc>
        <w:tc>
          <w:tcPr>
            <w:tcW w:w="1418" w:type="dxa"/>
          </w:tcPr>
          <w:p w14:paraId="1DF1FDF5" w14:textId="77777777" w:rsidR="00732ADB" w:rsidRDefault="00732ADB">
            <w:pPr>
              <w:keepNext/>
              <w:spacing w:before="120" w:after="120"/>
              <w:rPr>
                <w:rFonts w:ascii="Arial" w:hAnsi="Arial" w:cs="Arial"/>
                <w:b/>
                <w:bCs/>
                <w:iCs/>
                <w:sz w:val="18"/>
              </w:rPr>
            </w:pPr>
            <w:r>
              <w:rPr>
                <w:rFonts w:ascii="Arial" w:hAnsi="Arial" w:cs="Arial"/>
                <w:b/>
                <w:bCs/>
                <w:iCs/>
                <w:sz w:val="18"/>
              </w:rPr>
              <w:t>GST incl.</w:t>
            </w:r>
          </w:p>
        </w:tc>
      </w:tr>
      <w:tr w:rsidR="00732ADB" w14:paraId="20F76341" w14:textId="77777777">
        <w:tc>
          <w:tcPr>
            <w:tcW w:w="1701" w:type="dxa"/>
            <w:tcBorders>
              <w:bottom w:val="nil"/>
            </w:tcBorders>
          </w:tcPr>
          <w:p w14:paraId="417D3180" w14:textId="77777777" w:rsidR="00732ADB" w:rsidRDefault="00732ADB">
            <w:pPr>
              <w:keepNext/>
              <w:spacing w:before="120" w:after="120"/>
              <w:rPr>
                <w:rFonts w:ascii="Arial" w:hAnsi="Arial" w:cs="Arial"/>
                <w:b/>
                <w:bCs/>
                <w:iCs/>
                <w:sz w:val="18"/>
              </w:rPr>
            </w:pPr>
            <w:r>
              <w:rPr>
                <w:rFonts w:ascii="Arial" w:hAnsi="Arial" w:cs="Arial"/>
                <w:b/>
                <w:bCs/>
                <w:iCs/>
                <w:sz w:val="18"/>
              </w:rPr>
              <w:t>Voice and Data</w:t>
            </w:r>
          </w:p>
          <w:p w14:paraId="7AE0CEF8" w14:textId="77777777" w:rsidR="00732ADB" w:rsidRDefault="00732ADB">
            <w:pPr>
              <w:keepNext/>
              <w:spacing w:before="120" w:after="120"/>
              <w:rPr>
                <w:rFonts w:ascii="Arial" w:hAnsi="Arial" w:cs="Arial"/>
                <w:b/>
                <w:bCs/>
                <w:iCs/>
                <w:sz w:val="18"/>
              </w:rPr>
            </w:pPr>
          </w:p>
        </w:tc>
        <w:tc>
          <w:tcPr>
            <w:tcW w:w="3402" w:type="dxa"/>
            <w:tcBorders>
              <w:bottom w:val="nil"/>
            </w:tcBorders>
          </w:tcPr>
          <w:p w14:paraId="1D70E746" w14:textId="77777777" w:rsidR="00732ADB" w:rsidRDefault="00732ADB">
            <w:pPr>
              <w:pStyle w:val="Heading2"/>
              <w:keepNext/>
              <w:numPr>
                <w:ilvl w:val="0"/>
                <w:numId w:val="0"/>
              </w:numPr>
              <w:spacing w:before="120" w:after="120"/>
            </w:pPr>
            <w:r>
              <w:rPr>
                <w:rFonts w:ascii="Arial" w:hAnsi="Arial" w:cs="Arial"/>
                <w:iCs/>
                <w:sz w:val="18"/>
                <w:lang w:val="en-US"/>
              </w:rPr>
              <w:t xml:space="preserve">Airtime during business hours </w:t>
            </w:r>
            <w:proofErr w:type="gramStart"/>
            <w:r>
              <w:rPr>
                <w:rFonts w:ascii="Arial" w:hAnsi="Arial" w:cs="Arial"/>
                <w:iCs/>
                <w:sz w:val="18"/>
                <w:lang w:val="en-US"/>
              </w:rPr>
              <w:t>in excess of</w:t>
            </w:r>
            <w:proofErr w:type="gramEnd"/>
            <w:r>
              <w:rPr>
                <w:rFonts w:ascii="Arial" w:hAnsi="Arial" w:cs="Arial"/>
                <w:iCs/>
                <w:sz w:val="18"/>
                <w:lang w:val="en-US"/>
              </w:rPr>
              <w:t xml:space="preserve"> monthly allowance </w:t>
            </w:r>
            <w:r>
              <w:rPr>
                <w:rFonts w:ascii="Arial" w:hAnsi="Arial" w:cs="Arial"/>
                <w:iCs/>
                <w:sz w:val="18"/>
              </w:rPr>
              <w:t>per minute from 140 minutes to 300 minutes</w:t>
            </w:r>
            <w:r>
              <w:rPr>
                <w:rFonts w:ascii="Arial" w:hAnsi="Arial" w:cs="Arial"/>
                <w:iCs/>
                <w:sz w:val="18"/>
                <w:lang w:val="en-US"/>
              </w:rPr>
              <w:t>.</w:t>
            </w:r>
          </w:p>
        </w:tc>
        <w:tc>
          <w:tcPr>
            <w:tcW w:w="1418" w:type="dxa"/>
            <w:tcBorders>
              <w:bottom w:val="nil"/>
            </w:tcBorders>
          </w:tcPr>
          <w:p w14:paraId="0F65208E" w14:textId="77777777" w:rsidR="00732ADB" w:rsidRDefault="00732ADB">
            <w:pPr>
              <w:pStyle w:val="Heading2"/>
              <w:keepNext/>
              <w:numPr>
                <w:ilvl w:val="0"/>
                <w:numId w:val="0"/>
              </w:numPr>
              <w:spacing w:before="120" w:after="120"/>
              <w:jc w:val="right"/>
              <w:rPr>
                <w:rFonts w:ascii="Arial" w:hAnsi="Arial" w:cs="Arial"/>
                <w:iCs/>
                <w:sz w:val="18"/>
                <w:lang w:val="en-US"/>
              </w:rPr>
            </w:pPr>
            <w:r>
              <w:rPr>
                <w:rFonts w:ascii="Arial" w:hAnsi="Arial" w:cs="Arial"/>
                <w:iCs/>
                <w:sz w:val="18"/>
                <w:lang w:val="en-US"/>
              </w:rPr>
              <w:t>11</w:t>
            </w:r>
            <w:r>
              <w:rPr>
                <w:rFonts w:ascii="Arial" w:hAnsi="Arial" w:cs="Arial"/>
                <w:sz w:val="18"/>
              </w:rPr>
              <w:t>¢</w:t>
            </w:r>
          </w:p>
        </w:tc>
        <w:tc>
          <w:tcPr>
            <w:tcW w:w="1418" w:type="dxa"/>
            <w:tcBorders>
              <w:bottom w:val="nil"/>
            </w:tcBorders>
          </w:tcPr>
          <w:p w14:paraId="359E9CF0" w14:textId="77777777" w:rsidR="00732ADB" w:rsidRDefault="00732ADB">
            <w:pPr>
              <w:pStyle w:val="Heading2"/>
              <w:keepNext/>
              <w:numPr>
                <w:ilvl w:val="0"/>
                <w:numId w:val="0"/>
              </w:numPr>
              <w:spacing w:before="120" w:after="120"/>
              <w:jc w:val="right"/>
              <w:rPr>
                <w:rFonts w:ascii="Arial" w:hAnsi="Arial" w:cs="Arial"/>
                <w:b/>
                <w:bCs w:val="0"/>
                <w:iCs/>
                <w:sz w:val="18"/>
                <w:lang w:val="en-US"/>
              </w:rPr>
            </w:pPr>
            <w:r>
              <w:rPr>
                <w:rFonts w:ascii="Arial" w:hAnsi="Arial" w:cs="Arial"/>
                <w:b/>
                <w:bCs w:val="0"/>
                <w:iCs/>
                <w:sz w:val="18"/>
                <w:lang w:val="en-US"/>
              </w:rPr>
              <w:t>12.1</w:t>
            </w:r>
            <w:r>
              <w:rPr>
                <w:rFonts w:ascii="Arial" w:hAnsi="Arial" w:cs="Arial"/>
                <w:b/>
                <w:bCs w:val="0"/>
                <w:sz w:val="18"/>
              </w:rPr>
              <w:t>¢</w:t>
            </w:r>
          </w:p>
        </w:tc>
      </w:tr>
      <w:tr w:rsidR="00732ADB" w14:paraId="1AA3F0AC" w14:textId="77777777">
        <w:tc>
          <w:tcPr>
            <w:tcW w:w="1701" w:type="dxa"/>
            <w:tcBorders>
              <w:top w:val="nil"/>
            </w:tcBorders>
          </w:tcPr>
          <w:p w14:paraId="4DA773B4" w14:textId="77777777" w:rsidR="00732ADB" w:rsidRDefault="00732ADB">
            <w:pPr>
              <w:spacing w:before="120" w:after="120"/>
              <w:rPr>
                <w:rFonts w:ascii="Arial" w:hAnsi="Arial" w:cs="Arial"/>
                <w:b/>
                <w:bCs/>
                <w:iCs/>
                <w:sz w:val="18"/>
              </w:rPr>
            </w:pPr>
          </w:p>
        </w:tc>
        <w:tc>
          <w:tcPr>
            <w:tcW w:w="3402" w:type="dxa"/>
            <w:tcBorders>
              <w:top w:val="nil"/>
            </w:tcBorders>
          </w:tcPr>
          <w:p w14:paraId="2C0E97FC" w14:textId="77777777" w:rsidR="00732ADB" w:rsidRDefault="00732ADB">
            <w:pPr>
              <w:pStyle w:val="Heading2"/>
              <w:numPr>
                <w:ilvl w:val="0"/>
                <w:numId w:val="0"/>
              </w:numPr>
              <w:spacing w:before="120" w:after="120"/>
              <w:rPr>
                <w:rFonts w:ascii="Arial" w:hAnsi="Arial" w:cs="Arial"/>
                <w:iCs/>
                <w:sz w:val="18"/>
                <w:lang w:val="en-US"/>
              </w:rPr>
            </w:pPr>
            <w:r>
              <w:rPr>
                <w:rFonts w:ascii="Arial" w:hAnsi="Arial" w:cs="Arial"/>
                <w:iCs/>
                <w:sz w:val="18"/>
                <w:lang w:val="en-US"/>
              </w:rPr>
              <w:t>Excess data during business hours per data unit.</w:t>
            </w:r>
          </w:p>
        </w:tc>
        <w:tc>
          <w:tcPr>
            <w:tcW w:w="1418" w:type="dxa"/>
            <w:tcBorders>
              <w:top w:val="nil"/>
            </w:tcBorders>
          </w:tcPr>
          <w:p w14:paraId="46E95EFC" w14:textId="77777777" w:rsidR="00732ADB" w:rsidRDefault="00732ADB">
            <w:pPr>
              <w:pStyle w:val="Heading2"/>
              <w:numPr>
                <w:ilvl w:val="0"/>
                <w:numId w:val="0"/>
              </w:numPr>
              <w:spacing w:before="120" w:after="120"/>
              <w:jc w:val="right"/>
              <w:rPr>
                <w:rFonts w:ascii="Arial" w:hAnsi="Arial" w:cs="Arial"/>
                <w:iCs/>
                <w:sz w:val="18"/>
                <w:lang w:val="en-US"/>
              </w:rPr>
            </w:pPr>
            <w:r>
              <w:rPr>
                <w:rFonts w:ascii="Arial" w:hAnsi="Arial" w:cs="Arial"/>
                <w:iCs/>
                <w:sz w:val="18"/>
                <w:lang w:val="en-US"/>
              </w:rPr>
              <w:t>1</w:t>
            </w:r>
            <w:r>
              <w:rPr>
                <w:rFonts w:ascii="Arial" w:hAnsi="Arial" w:cs="Arial"/>
                <w:sz w:val="18"/>
              </w:rPr>
              <w:t>¢</w:t>
            </w:r>
          </w:p>
        </w:tc>
        <w:tc>
          <w:tcPr>
            <w:tcW w:w="1418" w:type="dxa"/>
            <w:tcBorders>
              <w:top w:val="nil"/>
            </w:tcBorders>
          </w:tcPr>
          <w:p w14:paraId="01EDCB7B" w14:textId="77777777" w:rsidR="00732ADB" w:rsidRDefault="00732ADB">
            <w:pPr>
              <w:pStyle w:val="Heading2"/>
              <w:numPr>
                <w:ilvl w:val="0"/>
                <w:numId w:val="0"/>
              </w:numPr>
              <w:spacing w:before="120" w:after="120"/>
              <w:jc w:val="right"/>
              <w:rPr>
                <w:rFonts w:ascii="Arial" w:hAnsi="Arial" w:cs="Arial"/>
                <w:b/>
                <w:bCs w:val="0"/>
                <w:iCs/>
                <w:sz w:val="18"/>
                <w:lang w:val="en-US"/>
              </w:rPr>
            </w:pPr>
            <w:r>
              <w:rPr>
                <w:rFonts w:ascii="Arial" w:hAnsi="Arial" w:cs="Arial"/>
                <w:b/>
                <w:bCs w:val="0"/>
                <w:iCs/>
                <w:sz w:val="18"/>
                <w:lang w:val="en-US"/>
              </w:rPr>
              <w:t>1.1</w:t>
            </w:r>
            <w:r>
              <w:rPr>
                <w:rFonts w:ascii="Arial" w:hAnsi="Arial" w:cs="Arial"/>
                <w:b/>
                <w:bCs w:val="0"/>
                <w:sz w:val="18"/>
              </w:rPr>
              <w:t>¢</w:t>
            </w:r>
          </w:p>
        </w:tc>
      </w:tr>
      <w:tr w:rsidR="00732ADB" w14:paraId="0BBBFB82" w14:textId="77777777">
        <w:tc>
          <w:tcPr>
            <w:tcW w:w="1701" w:type="dxa"/>
            <w:tcBorders>
              <w:bottom w:val="nil"/>
            </w:tcBorders>
          </w:tcPr>
          <w:p w14:paraId="1E54B8CD" w14:textId="77777777" w:rsidR="00732ADB" w:rsidRDefault="00732ADB">
            <w:pPr>
              <w:keepNext/>
              <w:spacing w:before="120" w:after="120"/>
              <w:rPr>
                <w:rFonts w:ascii="Arial" w:hAnsi="Arial" w:cs="Arial"/>
                <w:b/>
                <w:bCs/>
                <w:iCs/>
                <w:sz w:val="18"/>
              </w:rPr>
            </w:pPr>
            <w:r>
              <w:rPr>
                <w:rFonts w:ascii="Arial" w:hAnsi="Arial" w:cs="Arial"/>
                <w:b/>
                <w:bCs/>
                <w:iCs/>
                <w:sz w:val="18"/>
              </w:rPr>
              <w:lastRenderedPageBreak/>
              <w:t>Smart Talk 80</w:t>
            </w:r>
          </w:p>
          <w:p w14:paraId="33425170" w14:textId="77777777" w:rsidR="00732ADB" w:rsidRDefault="00732ADB">
            <w:pPr>
              <w:keepNext/>
              <w:spacing w:before="120" w:after="120"/>
              <w:rPr>
                <w:rFonts w:ascii="Arial" w:hAnsi="Arial" w:cs="Arial"/>
                <w:b/>
                <w:bCs/>
                <w:iCs/>
                <w:sz w:val="18"/>
              </w:rPr>
            </w:pPr>
          </w:p>
        </w:tc>
        <w:tc>
          <w:tcPr>
            <w:tcW w:w="3402" w:type="dxa"/>
            <w:tcBorders>
              <w:bottom w:val="nil"/>
            </w:tcBorders>
          </w:tcPr>
          <w:p w14:paraId="123AFBAC" w14:textId="77777777" w:rsidR="00732ADB" w:rsidRDefault="00732ADB">
            <w:pPr>
              <w:pStyle w:val="Heading2"/>
              <w:keepNext/>
              <w:numPr>
                <w:ilvl w:val="0"/>
                <w:numId w:val="0"/>
              </w:numPr>
              <w:spacing w:before="120" w:after="120"/>
            </w:pPr>
            <w:r>
              <w:rPr>
                <w:rFonts w:ascii="Arial" w:hAnsi="Arial" w:cs="Arial"/>
                <w:iCs/>
                <w:sz w:val="18"/>
              </w:rPr>
              <w:t xml:space="preserve">Airtime during business hours </w:t>
            </w:r>
            <w:proofErr w:type="gramStart"/>
            <w:r>
              <w:rPr>
                <w:rFonts w:ascii="Arial" w:hAnsi="Arial" w:cs="Arial"/>
                <w:iCs/>
                <w:sz w:val="18"/>
              </w:rPr>
              <w:t>in excess of</w:t>
            </w:r>
            <w:proofErr w:type="gramEnd"/>
            <w:r>
              <w:rPr>
                <w:rFonts w:ascii="Arial" w:hAnsi="Arial" w:cs="Arial"/>
                <w:iCs/>
                <w:sz w:val="18"/>
              </w:rPr>
              <w:t xml:space="preserve"> </w:t>
            </w:r>
            <w:r>
              <w:rPr>
                <w:rFonts w:ascii="Arial" w:hAnsi="Arial" w:cs="Arial"/>
                <w:iCs/>
                <w:sz w:val="18"/>
                <w:lang w:val="en-US"/>
              </w:rPr>
              <w:t>monthly allowance per minute.</w:t>
            </w:r>
          </w:p>
        </w:tc>
        <w:tc>
          <w:tcPr>
            <w:tcW w:w="1418" w:type="dxa"/>
            <w:tcBorders>
              <w:bottom w:val="nil"/>
            </w:tcBorders>
          </w:tcPr>
          <w:p w14:paraId="7BD5C1FC" w14:textId="77777777" w:rsidR="00732ADB" w:rsidRDefault="00732ADB">
            <w:pPr>
              <w:pStyle w:val="Heading2"/>
              <w:keepNext/>
              <w:numPr>
                <w:ilvl w:val="0"/>
                <w:numId w:val="0"/>
              </w:numPr>
              <w:spacing w:before="120" w:after="120"/>
              <w:jc w:val="right"/>
              <w:rPr>
                <w:rFonts w:ascii="Arial" w:hAnsi="Arial" w:cs="Arial"/>
                <w:iCs/>
                <w:sz w:val="18"/>
              </w:rPr>
            </w:pPr>
            <w:r>
              <w:rPr>
                <w:rFonts w:ascii="Arial" w:hAnsi="Arial" w:cs="Arial"/>
                <w:iCs/>
                <w:sz w:val="18"/>
                <w:lang w:val="en-US"/>
              </w:rPr>
              <w:t>22</w:t>
            </w:r>
            <w:r>
              <w:rPr>
                <w:rFonts w:ascii="Arial" w:hAnsi="Arial" w:cs="Arial"/>
                <w:sz w:val="18"/>
              </w:rPr>
              <w:t>¢</w:t>
            </w:r>
          </w:p>
        </w:tc>
        <w:tc>
          <w:tcPr>
            <w:tcW w:w="1418" w:type="dxa"/>
            <w:tcBorders>
              <w:bottom w:val="nil"/>
            </w:tcBorders>
          </w:tcPr>
          <w:p w14:paraId="527FCBD8" w14:textId="77777777" w:rsidR="00732ADB" w:rsidRDefault="00732ADB">
            <w:pPr>
              <w:pStyle w:val="Heading2"/>
              <w:keepNext/>
              <w:numPr>
                <w:ilvl w:val="0"/>
                <w:numId w:val="0"/>
              </w:numPr>
              <w:spacing w:before="120" w:after="120"/>
              <w:jc w:val="right"/>
              <w:rPr>
                <w:rFonts w:ascii="Arial" w:hAnsi="Arial" w:cs="Arial"/>
                <w:b/>
                <w:bCs w:val="0"/>
                <w:iCs/>
                <w:sz w:val="18"/>
              </w:rPr>
            </w:pPr>
            <w:r>
              <w:rPr>
                <w:rFonts w:ascii="Arial" w:hAnsi="Arial" w:cs="Arial"/>
                <w:b/>
                <w:bCs w:val="0"/>
                <w:iCs/>
                <w:sz w:val="18"/>
                <w:lang w:val="en-US"/>
              </w:rPr>
              <w:t>24.2</w:t>
            </w:r>
            <w:r>
              <w:rPr>
                <w:rFonts w:ascii="Arial" w:hAnsi="Arial" w:cs="Arial"/>
                <w:b/>
                <w:bCs w:val="0"/>
                <w:sz w:val="18"/>
              </w:rPr>
              <w:t>¢</w:t>
            </w:r>
          </w:p>
        </w:tc>
      </w:tr>
      <w:tr w:rsidR="00732ADB" w14:paraId="410E9E4A" w14:textId="77777777">
        <w:tc>
          <w:tcPr>
            <w:tcW w:w="1701" w:type="dxa"/>
            <w:tcBorders>
              <w:top w:val="nil"/>
            </w:tcBorders>
          </w:tcPr>
          <w:p w14:paraId="45AC5C21" w14:textId="77777777" w:rsidR="00732ADB" w:rsidRDefault="00732ADB">
            <w:pPr>
              <w:spacing w:before="120" w:after="120"/>
              <w:rPr>
                <w:rFonts w:ascii="Arial" w:hAnsi="Arial" w:cs="Arial"/>
                <w:b/>
                <w:bCs/>
                <w:iCs/>
                <w:sz w:val="18"/>
              </w:rPr>
            </w:pPr>
          </w:p>
        </w:tc>
        <w:tc>
          <w:tcPr>
            <w:tcW w:w="3402" w:type="dxa"/>
            <w:tcBorders>
              <w:top w:val="nil"/>
            </w:tcBorders>
          </w:tcPr>
          <w:p w14:paraId="005736C8" w14:textId="77777777" w:rsidR="00732ADB" w:rsidRDefault="00732ADB">
            <w:pPr>
              <w:pStyle w:val="Heading2"/>
              <w:numPr>
                <w:ilvl w:val="0"/>
                <w:numId w:val="0"/>
              </w:numPr>
              <w:spacing w:before="120" w:after="120"/>
              <w:rPr>
                <w:rFonts w:ascii="Arial" w:hAnsi="Arial" w:cs="Arial"/>
                <w:iCs/>
                <w:sz w:val="18"/>
                <w:lang w:val="en-US"/>
              </w:rPr>
            </w:pPr>
            <w:r>
              <w:rPr>
                <w:rFonts w:ascii="Arial" w:hAnsi="Arial" w:cs="Arial"/>
                <w:iCs/>
                <w:sz w:val="18"/>
                <w:lang w:val="en-US"/>
              </w:rPr>
              <w:t>Excess data during business hours per data unit.</w:t>
            </w:r>
          </w:p>
        </w:tc>
        <w:tc>
          <w:tcPr>
            <w:tcW w:w="1418" w:type="dxa"/>
            <w:tcBorders>
              <w:top w:val="nil"/>
            </w:tcBorders>
          </w:tcPr>
          <w:p w14:paraId="2CDD5380" w14:textId="77777777" w:rsidR="00732ADB" w:rsidRDefault="00732ADB">
            <w:pPr>
              <w:pStyle w:val="Heading2"/>
              <w:numPr>
                <w:ilvl w:val="0"/>
                <w:numId w:val="0"/>
              </w:numPr>
              <w:spacing w:before="120" w:after="120"/>
              <w:jc w:val="right"/>
              <w:rPr>
                <w:rFonts w:ascii="Arial" w:hAnsi="Arial" w:cs="Arial"/>
                <w:iCs/>
                <w:sz w:val="18"/>
                <w:lang w:val="en-US"/>
              </w:rPr>
            </w:pPr>
            <w:r>
              <w:rPr>
                <w:rFonts w:ascii="Arial" w:hAnsi="Arial" w:cs="Arial"/>
                <w:iCs/>
                <w:sz w:val="18"/>
                <w:lang w:val="en-US"/>
              </w:rPr>
              <w:t>1</w:t>
            </w:r>
            <w:r>
              <w:rPr>
                <w:rFonts w:ascii="Arial" w:hAnsi="Arial" w:cs="Arial"/>
                <w:sz w:val="18"/>
              </w:rPr>
              <w:t>¢</w:t>
            </w:r>
          </w:p>
        </w:tc>
        <w:tc>
          <w:tcPr>
            <w:tcW w:w="1418" w:type="dxa"/>
            <w:tcBorders>
              <w:top w:val="nil"/>
            </w:tcBorders>
          </w:tcPr>
          <w:p w14:paraId="41D91BDC" w14:textId="77777777" w:rsidR="00732ADB" w:rsidRDefault="00732ADB">
            <w:pPr>
              <w:pStyle w:val="Heading2"/>
              <w:numPr>
                <w:ilvl w:val="0"/>
                <w:numId w:val="0"/>
              </w:numPr>
              <w:spacing w:before="120" w:after="120"/>
              <w:jc w:val="right"/>
              <w:rPr>
                <w:rFonts w:ascii="Arial" w:hAnsi="Arial" w:cs="Arial"/>
                <w:b/>
                <w:bCs w:val="0"/>
                <w:iCs/>
                <w:sz w:val="18"/>
                <w:lang w:val="en-US"/>
              </w:rPr>
            </w:pPr>
            <w:r>
              <w:rPr>
                <w:rFonts w:ascii="Arial" w:hAnsi="Arial" w:cs="Arial"/>
                <w:b/>
                <w:bCs w:val="0"/>
                <w:iCs/>
                <w:sz w:val="18"/>
                <w:lang w:val="en-US"/>
              </w:rPr>
              <w:t>1.1</w:t>
            </w:r>
            <w:r>
              <w:rPr>
                <w:rFonts w:ascii="Arial" w:hAnsi="Arial" w:cs="Arial"/>
                <w:b/>
                <w:bCs w:val="0"/>
                <w:sz w:val="18"/>
              </w:rPr>
              <w:t>¢</w:t>
            </w:r>
          </w:p>
        </w:tc>
      </w:tr>
      <w:tr w:rsidR="00732ADB" w14:paraId="233A3FF1" w14:textId="77777777">
        <w:tc>
          <w:tcPr>
            <w:tcW w:w="1701" w:type="dxa"/>
            <w:tcBorders>
              <w:bottom w:val="nil"/>
            </w:tcBorders>
          </w:tcPr>
          <w:p w14:paraId="68DB4EC7" w14:textId="77777777" w:rsidR="00732ADB" w:rsidRDefault="00732ADB">
            <w:pPr>
              <w:pStyle w:val="TableHead"/>
              <w:keepNext/>
              <w:spacing w:before="120" w:after="120"/>
              <w:rPr>
                <w:rFonts w:cs="Arial"/>
                <w:bCs/>
                <w:iCs/>
              </w:rPr>
            </w:pPr>
            <w:r>
              <w:rPr>
                <w:rFonts w:cs="Arial"/>
                <w:bCs/>
                <w:iCs/>
              </w:rPr>
              <w:t>Control Channel Data</w:t>
            </w:r>
          </w:p>
          <w:p w14:paraId="406A1696" w14:textId="77777777" w:rsidR="00732ADB" w:rsidRDefault="00732ADB">
            <w:pPr>
              <w:keepNext/>
              <w:spacing w:before="120" w:after="120"/>
              <w:rPr>
                <w:rFonts w:ascii="Arial" w:hAnsi="Arial" w:cs="Arial"/>
                <w:b/>
                <w:bCs/>
                <w:iCs/>
                <w:sz w:val="18"/>
              </w:rPr>
            </w:pPr>
          </w:p>
        </w:tc>
        <w:tc>
          <w:tcPr>
            <w:tcW w:w="3402" w:type="dxa"/>
            <w:tcBorders>
              <w:bottom w:val="nil"/>
            </w:tcBorders>
          </w:tcPr>
          <w:p w14:paraId="40F160B8" w14:textId="77777777" w:rsidR="00732ADB" w:rsidRDefault="00732ADB">
            <w:pPr>
              <w:pStyle w:val="Heading2"/>
              <w:keepNext/>
              <w:numPr>
                <w:ilvl w:val="0"/>
                <w:numId w:val="0"/>
              </w:numPr>
              <w:spacing w:before="120" w:after="120"/>
            </w:pPr>
            <w:r>
              <w:rPr>
                <w:rFonts w:ascii="Arial" w:hAnsi="Arial" w:cs="Arial"/>
                <w:iCs/>
                <w:sz w:val="18"/>
                <w:lang w:val="en-US"/>
              </w:rPr>
              <w:t xml:space="preserve">Airtime during business hours </w:t>
            </w:r>
            <w:proofErr w:type="gramStart"/>
            <w:r>
              <w:rPr>
                <w:rFonts w:ascii="Arial" w:hAnsi="Arial" w:cs="Arial"/>
                <w:iCs/>
                <w:sz w:val="18"/>
                <w:lang w:val="en-US"/>
              </w:rPr>
              <w:t>in excess of</w:t>
            </w:r>
            <w:proofErr w:type="gramEnd"/>
            <w:r>
              <w:rPr>
                <w:rFonts w:ascii="Arial" w:hAnsi="Arial" w:cs="Arial"/>
                <w:iCs/>
                <w:sz w:val="18"/>
                <w:lang w:val="en-US"/>
              </w:rPr>
              <w:t xml:space="preserve"> monthly allowance per minute.</w:t>
            </w:r>
          </w:p>
        </w:tc>
        <w:tc>
          <w:tcPr>
            <w:tcW w:w="1418" w:type="dxa"/>
            <w:tcBorders>
              <w:bottom w:val="nil"/>
            </w:tcBorders>
          </w:tcPr>
          <w:p w14:paraId="07183FB9" w14:textId="77777777" w:rsidR="00732ADB" w:rsidRDefault="00732ADB">
            <w:pPr>
              <w:pStyle w:val="Heading2"/>
              <w:keepNext/>
              <w:numPr>
                <w:ilvl w:val="0"/>
                <w:numId w:val="0"/>
              </w:numPr>
              <w:spacing w:before="120" w:after="120"/>
              <w:jc w:val="right"/>
              <w:rPr>
                <w:rFonts w:ascii="Arial" w:hAnsi="Arial" w:cs="Arial"/>
                <w:iCs/>
                <w:sz w:val="18"/>
                <w:lang w:val="en-US"/>
              </w:rPr>
            </w:pPr>
            <w:r>
              <w:rPr>
                <w:rFonts w:ascii="Arial" w:hAnsi="Arial" w:cs="Arial"/>
                <w:iCs/>
                <w:sz w:val="18"/>
                <w:lang w:val="en-US"/>
              </w:rPr>
              <w:t>45</w:t>
            </w:r>
            <w:r>
              <w:rPr>
                <w:rFonts w:ascii="Arial" w:hAnsi="Arial" w:cs="Arial"/>
                <w:sz w:val="18"/>
              </w:rPr>
              <w:t>¢</w:t>
            </w:r>
          </w:p>
        </w:tc>
        <w:tc>
          <w:tcPr>
            <w:tcW w:w="1418" w:type="dxa"/>
            <w:tcBorders>
              <w:bottom w:val="nil"/>
            </w:tcBorders>
          </w:tcPr>
          <w:p w14:paraId="48515D9F" w14:textId="77777777" w:rsidR="00732ADB" w:rsidRDefault="00732ADB">
            <w:pPr>
              <w:pStyle w:val="Heading2"/>
              <w:keepNext/>
              <w:numPr>
                <w:ilvl w:val="0"/>
                <w:numId w:val="0"/>
              </w:numPr>
              <w:spacing w:before="120" w:after="120"/>
              <w:jc w:val="right"/>
              <w:rPr>
                <w:rFonts w:ascii="Arial" w:hAnsi="Arial" w:cs="Arial"/>
                <w:b/>
                <w:bCs w:val="0"/>
                <w:iCs/>
                <w:sz w:val="18"/>
                <w:lang w:val="en-US"/>
              </w:rPr>
            </w:pPr>
            <w:r>
              <w:rPr>
                <w:rFonts w:ascii="Arial" w:hAnsi="Arial" w:cs="Arial"/>
                <w:b/>
                <w:bCs w:val="0"/>
                <w:iCs/>
                <w:sz w:val="18"/>
                <w:lang w:val="en-US"/>
              </w:rPr>
              <w:t>49.5</w:t>
            </w:r>
            <w:r>
              <w:rPr>
                <w:rFonts w:ascii="Arial" w:hAnsi="Arial" w:cs="Arial"/>
                <w:b/>
                <w:bCs w:val="0"/>
                <w:sz w:val="18"/>
              </w:rPr>
              <w:t>¢</w:t>
            </w:r>
            <w:r>
              <w:rPr>
                <w:rFonts w:ascii="Arial" w:hAnsi="Arial" w:cs="Arial"/>
                <w:b/>
                <w:bCs w:val="0"/>
                <w:iCs/>
                <w:sz w:val="18"/>
                <w:lang w:val="en-US"/>
              </w:rPr>
              <w:br/>
            </w:r>
          </w:p>
          <w:p w14:paraId="74816630" w14:textId="77777777" w:rsidR="00732ADB" w:rsidRDefault="00732ADB">
            <w:pPr>
              <w:pStyle w:val="Heading2"/>
              <w:keepNext/>
              <w:numPr>
                <w:ilvl w:val="0"/>
                <w:numId w:val="0"/>
              </w:numPr>
              <w:spacing w:before="120" w:after="120"/>
              <w:jc w:val="right"/>
              <w:rPr>
                <w:rFonts w:ascii="Arial" w:hAnsi="Arial" w:cs="Arial"/>
                <w:b/>
                <w:bCs w:val="0"/>
                <w:iCs/>
                <w:sz w:val="18"/>
                <w:lang w:val="en-US"/>
              </w:rPr>
            </w:pPr>
          </w:p>
        </w:tc>
      </w:tr>
      <w:tr w:rsidR="00732ADB" w14:paraId="4EB732D4" w14:textId="77777777">
        <w:tc>
          <w:tcPr>
            <w:tcW w:w="1701" w:type="dxa"/>
            <w:tcBorders>
              <w:top w:val="nil"/>
            </w:tcBorders>
          </w:tcPr>
          <w:p w14:paraId="0CB3C7D0" w14:textId="77777777" w:rsidR="00732ADB" w:rsidRDefault="00732ADB">
            <w:pPr>
              <w:spacing w:before="120" w:after="120"/>
              <w:rPr>
                <w:rFonts w:ascii="Arial" w:hAnsi="Arial" w:cs="Arial"/>
                <w:b/>
                <w:bCs/>
                <w:iCs/>
                <w:sz w:val="18"/>
              </w:rPr>
            </w:pPr>
          </w:p>
        </w:tc>
        <w:tc>
          <w:tcPr>
            <w:tcW w:w="3402" w:type="dxa"/>
            <w:tcBorders>
              <w:top w:val="nil"/>
            </w:tcBorders>
          </w:tcPr>
          <w:p w14:paraId="68052012" w14:textId="77777777" w:rsidR="00732ADB" w:rsidRDefault="00732ADB">
            <w:pPr>
              <w:pStyle w:val="Heading2"/>
              <w:numPr>
                <w:ilvl w:val="0"/>
                <w:numId w:val="0"/>
              </w:numPr>
              <w:spacing w:before="120" w:after="120"/>
              <w:rPr>
                <w:rFonts w:ascii="Arial" w:hAnsi="Arial" w:cs="Arial"/>
                <w:iCs/>
                <w:sz w:val="18"/>
                <w:lang w:val="en-US"/>
              </w:rPr>
            </w:pPr>
            <w:r>
              <w:rPr>
                <w:rFonts w:ascii="Arial" w:hAnsi="Arial" w:cs="Arial"/>
                <w:iCs/>
                <w:sz w:val="18"/>
                <w:lang w:val="en-US"/>
              </w:rPr>
              <w:t>Excess data during business hours per data unit.</w:t>
            </w:r>
          </w:p>
        </w:tc>
        <w:tc>
          <w:tcPr>
            <w:tcW w:w="1418" w:type="dxa"/>
            <w:tcBorders>
              <w:top w:val="nil"/>
            </w:tcBorders>
          </w:tcPr>
          <w:p w14:paraId="27AC4482" w14:textId="77777777" w:rsidR="00732ADB" w:rsidRDefault="00732ADB">
            <w:pPr>
              <w:pStyle w:val="Heading2"/>
              <w:numPr>
                <w:ilvl w:val="0"/>
                <w:numId w:val="0"/>
              </w:numPr>
              <w:spacing w:before="120" w:after="120"/>
              <w:jc w:val="right"/>
              <w:rPr>
                <w:rFonts w:ascii="Arial" w:hAnsi="Arial" w:cs="Arial"/>
                <w:iCs/>
                <w:sz w:val="18"/>
                <w:lang w:val="en-US"/>
              </w:rPr>
            </w:pPr>
            <w:r>
              <w:rPr>
                <w:rFonts w:ascii="Arial" w:hAnsi="Arial" w:cs="Arial"/>
                <w:iCs/>
                <w:sz w:val="18"/>
                <w:lang w:val="en-US"/>
              </w:rPr>
              <w:t>1</w:t>
            </w:r>
            <w:r>
              <w:rPr>
                <w:rFonts w:ascii="Arial" w:hAnsi="Arial" w:cs="Arial"/>
                <w:sz w:val="18"/>
              </w:rPr>
              <w:t>¢</w:t>
            </w:r>
          </w:p>
        </w:tc>
        <w:tc>
          <w:tcPr>
            <w:tcW w:w="1418" w:type="dxa"/>
            <w:tcBorders>
              <w:top w:val="nil"/>
            </w:tcBorders>
          </w:tcPr>
          <w:p w14:paraId="16CCED45" w14:textId="77777777" w:rsidR="00732ADB" w:rsidRDefault="00732ADB">
            <w:pPr>
              <w:pStyle w:val="Heading2"/>
              <w:numPr>
                <w:ilvl w:val="0"/>
                <w:numId w:val="0"/>
              </w:numPr>
              <w:spacing w:before="120" w:after="120"/>
              <w:jc w:val="right"/>
              <w:rPr>
                <w:rFonts w:ascii="Arial" w:hAnsi="Arial" w:cs="Arial"/>
                <w:b/>
                <w:bCs w:val="0"/>
                <w:iCs/>
                <w:sz w:val="18"/>
                <w:lang w:val="en-US"/>
              </w:rPr>
            </w:pPr>
            <w:r>
              <w:rPr>
                <w:rFonts w:ascii="Arial" w:hAnsi="Arial" w:cs="Arial"/>
                <w:b/>
                <w:bCs w:val="0"/>
                <w:iCs/>
                <w:sz w:val="18"/>
                <w:lang w:val="en-US"/>
              </w:rPr>
              <w:t>1.1</w:t>
            </w:r>
            <w:r>
              <w:rPr>
                <w:rFonts w:ascii="Arial" w:hAnsi="Arial" w:cs="Arial"/>
                <w:b/>
                <w:bCs w:val="0"/>
                <w:sz w:val="18"/>
              </w:rPr>
              <w:t>¢</w:t>
            </w:r>
          </w:p>
        </w:tc>
      </w:tr>
      <w:tr w:rsidR="00732ADB" w14:paraId="78569053" w14:textId="77777777">
        <w:tc>
          <w:tcPr>
            <w:tcW w:w="1701" w:type="dxa"/>
            <w:tcBorders>
              <w:bottom w:val="nil"/>
            </w:tcBorders>
          </w:tcPr>
          <w:p w14:paraId="6525C2C9" w14:textId="77777777" w:rsidR="00732ADB" w:rsidRDefault="00732ADB">
            <w:pPr>
              <w:keepNext/>
              <w:spacing w:before="120" w:after="120"/>
              <w:rPr>
                <w:rFonts w:ascii="Arial" w:hAnsi="Arial" w:cs="Arial"/>
                <w:b/>
                <w:bCs/>
                <w:iCs/>
                <w:sz w:val="18"/>
              </w:rPr>
            </w:pPr>
            <w:r>
              <w:rPr>
                <w:rFonts w:ascii="Arial" w:hAnsi="Arial" w:cs="Arial"/>
                <w:b/>
                <w:bCs/>
                <w:iCs/>
                <w:sz w:val="18"/>
              </w:rPr>
              <w:t>Security</w:t>
            </w:r>
          </w:p>
          <w:p w14:paraId="74AE75B4" w14:textId="77777777" w:rsidR="00732ADB" w:rsidRDefault="00732ADB">
            <w:pPr>
              <w:keepNext/>
              <w:spacing w:before="120" w:after="120"/>
              <w:rPr>
                <w:rFonts w:ascii="Arial" w:hAnsi="Arial" w:cs="Arial"/>
                <w:b/>
                <w:bCs/>
                <w:iCs/>
                <w:sz w:val="18"/>
              </w:rPr>
            </w:pPr>
          </w:p>
        </w:tc>
        <w:tc>
          <w:tcPr>
            <w:tcW w:w="3402" w:type="dxa"/>
            <w:tcBorders>
              <w:bottom w:val="nil"/>
            </w:tcBorders>
          </w:tcPr>
          <w:p w14:paraId="63E66EAD" w14:textId="77777777" w:rsidR="00732ADB" w:rsidRDefault="00732ADB">
            <w:pPr>
              <w:pStyle w:val="Heading2"/>
              <w:keepNext/>
              <w:numPr>
                <w:ilvl w:val="0"/>
                <w:numId w:val="0"/>
              </w:numPr>
              <w:spacing w:before="120" w:after="120"/>
            </w:pPr>
            <w:r>
              <w:rPr>
                <w:rFonts w:ascii="Arial" w:hAnsi="Arial" w:cs="Arial"/>
                <w:iCs/>
                <w:sz w:val="18"/>
                <w:lang w:val="en-US"/>
              </w:rPr>
              <w:t xml:space="preserve">Airtime during business hours </w:t>
            </w:r>
            <w:proofErr w:type="gramStart"/>
            <w:r>
              <w:rPr>
                <w:rFonts w:ascii="Arial" w:hAnsi="Arial" w:cs="Arial"/>
                <w:iCs/>
                <w:sz w:val="18"/>
                <w:lang w:val="en-US"/>
              </w:rPr>
              <w:t>in excess of</w:t>
            </w:r>
            <w:proofErr w:type="gramEnd"/>
            <w:r>
              <w:rPr>
                <w:rFonts w:ascii="Arial" w:hAnsi="Arial" w:cs="Arial"/>
                <w:iCs/>
                <w:sz w:val="18"/>
                <w:lang w:val="en-US"/>
              </w:rPr>
              <w:t xml:space="preserve"> monthly allowance per minute.</w:t>
            </w:r>
          </w:p>
        </w:tc>
        <w:tc>
          <w:tcPr>
            <w:tcW w:w="1418" w:type="dxa"/>
            <w:tcBorders>
              <w:bottom w:val="nil"/>
            </w:tcBorders>
          </w:tcPr>
          <w:p w14:paraId="1A30DF75" w14:textId="77777777" w:rsidR="00732ADB" w:rsidRDefault="00732ADB">
            <w:pPr>
              <w:pStyle w:val="Heading2"/>
              <w:keepNext/>
              <w:numPr>
                <w:ilvl w:val="0"/>
                <w:numId w:val="0"/>
              </w:numPr>
              <w:spacing w:before="120" w:after="120"/>
              <w:jc w:val="right"/>
              <w:rPr>
                <w:rFonts w:ascii="Arial" w:hAnsi="Arial" w:cs="Arial"/>
                <w:iCs/>
                <w:sz w:val="18"/>
                <w:lang w:val="en-US"/>
              </w:rPr>
            </w:pPr>
            <w:r>
              <w:rPr>
                <w:rFonts w:ascii="Arial" w:hAnsi="Arial" w:cs="Arial"/>
                <w:iCs/>
                <w:sz w:val="18"/>
                <w:lang w:val="en-US"/>
              </w:rPr>
              <w:t>90</w:t>
            </w:r>
            <w:r>
              <w:rPr>
                <w:rFonts w:ascii="Arial" w:hAnsi="Arial" w:cs="Arial"/>
                <w:sz w:val="18"/>
              </w:rPr>
              <w:t>¢</w:t>
            </w:r>
          </w:p>
        </w:tc>
        <w:tc>
          <w:tcPr>
            <w:tcW w:w="1418" w:type="dxa"/>
            <w:tcBorders>
              <w:bottom w:val="nil"/>
            </w:tcBorders>
          </w:tcPr>
          <w:p w14:paraId="5FF9419A" w14:textId="77777777" w:rsidR="00732ADB" w:rsidRDefault="00732ADB">
            <w:pPr>
              <w:pStyle w:val="Heading2"/>
              <w:keepNext/>
              <w:numPr>
                <w:ilvl w:val="0"/>
                <w:numId w:val="0"/>
              </w:numPr>
              <w:spacing w:before="120" w:after="120"/>
              <w:jc w:val="right"/>
              <w:rPr>
                <w:rFonts w:ascii="Arial" w:hAnsi="Arial" w:cs="Arial"/>
                <w:b/>
                <w:bCs w:val="0"/>
                <w:iCs/>
                <w:sz w:val="18"/>
                <w:lang w:val="en-US"/>
              </w:rPr>
            </w:pPr>
            <w:r>
              <w:rPr>
                <w:rFonts w:ascii="Arial" w:hAnsi="Arial" w:cs="Arial"/>
                <w:b/>
                <w:bCs w:val="0"/>
                <w:iCs/>
                <w:sz w:val="18"/>
                <w:lang w:val="en-US"/>
              </w:rPr>
              <w:t>99</w:t>
            </w:r>
            <w:r>
              <w:rPr>
                <w:rFonts w:ascii="Arial" w:hAnsi="Arial" w:cs="Arial"/>
                <w:b/>
                <w:bCs w:val="0"/>
                <w:sz w:val="18"/>
              </w:rPr>
              <w:t>¢</w:t>
            </w:r>
          </w:p>
        </w:tc>
      </w:tr>
      <w:tr w:rsidR="00732ADB" w14:paraId="1E93642A" w14:textId="77777777">
        <w:tc>
          <w:tcPr>
            <w:tcW w:w="1701" w:type="dxa"/>
            <w:tcBorders>
              <w:top w:val="nil"/>
            </w:tcBorders>
          </w:tcPr>
          <w:p w14:paraId="2BEBC91F" w14:textId="77777777" w:rsidR="00732ADB" w:rsidRDefault="00732ADB">
            <w:pPr>
              <w:spacing w:before="120" w:after="120"/>
              <w:rPr>
                <w:rFonts w:ascii="Arial" w:hAnsi="Arial" w:cs="Arial"/>
                <w:b/>
                <w:bCs/>
                <w:iCs/>
                <w:sz w:val="18"/>
              </w:rPr>
            </w:pPr>
          </w:p>
        </w:tc>
        <w:tc>
          <w:tcPr>
            <w:tcW w:w="3402" w:type="dxa"/>
            <w:tcBorders>
              <w:top w:val="nil"/>
            </w:tcBorders>
          </w:tcPr>
          <w:p w14:paraId="0F8F859A" w14:textId="77777777" w:rsidR="00732ADB" w:rsidRDefault="00732ADB">
            <w:pPr>
              <w:pStyle w:val="Heading2"/>
              <w:numPr>
                <w:ilvl w:val="0"/>
                <w:numId w:val="0"/>
              </w:numPr>
              <w:spacing w:before="120" w:after="120"/>
              <w:rPr>
                <w:rFonts w:ascii="Arial" w:hAnsi="Arial" w:cs="Arial"/>
                <w:iCs/>
                <w:sz w:val="18"/>
                <w:lang w:val="en-US"/>
              </w:rPr>
            </w:pPr>
            <w:r>
              <w:rPr>
                <w:rFonts w:ascii="Arial" w:hAnsi="Arial" w:cs="Arial"/>
                <w:iCs/>
                <w:sz w:val="18"/>
                <w:lang w:val="en-US"/>
              </w:rPr>
              <w:t>Control channel data during business hours per data unit.</w:t>
            </w:r>
          </w:p>
        </w:tc>
        <w:tc>
          <w:tcPr>
            <w:tcW w:w="1418" w:type="dxa"/>
            <w:tcBorders>
              <w:top w:val="nil"/>
            </w:tcBorders>
          </w:tcPr>
          <w:p w14:paraId="10052889" w14:textId="77777777" w:rsidR="00732ADB" w:rsidRDefault="00732ADB">
            <w:pPr>
              <w:pStyle w:val="Heading2"/>
              <w:numPr>
                <w:ilvl w:val="0"/>
                <w:numId w:val="0"/>
              </w:numPr>
              <w:spacing w:before="120" w:after="120"/>
              <w:jc w:val="right"/>
              <w:rPr>
                <w:rFonts w:ascii="Arial" w:hAnsi="Arial" w:cs="Arial"/>
                <w:iCs/>
                <w:sz w:val="18"/>
                <w:lang w:val="en-US"/>
              </w:rPr>
            </w:pPr>
            <w:r>
              <w:rPr>
                <w:rFonts w:ascii="Arial" w:hAnsi="Arial" w:cs="Arial"/>
                <w:iCs/>
                <w:sz w:val="18"/>
                <w:lang w:val="en-US"/>
              </w:rPr>
              <w:t>1</w:t>
            </w:r>
            <w:r>
              <w:rPr>
                <w:rFonts w:ascii="Arial" w:hAnsi="Arial" w:cs="Arial"/>
                <w:sz w:val="18"/>
              </w:rPr>
              <w:t>¢</w:t>
            </w:r>
          </w:p>
        </w:tc>
        <w:tc>
          <w:tcPr>
            <w:tcW w:w="1418" w:type="dxa"/>
            <w:tcBorders>
              <w:top w:val="nil"/>
            </w:tcBorders>
          </w:tcPr>
          <w:p w14:paraId="30F0BD1A" w14:textId="77777777" w:rsidR="00732ADB" w:rsidRDefault="00732ADB">
            <w:pPr>
              <w:pStyle w:val="Heading2"/>
              <w:numPr>
                <w:ilvl w:val="0"/>
                <w:numId w:val="0"/>
              </w:numPr>
              <w:spacing w:before="120" w:after="120"/>
              <w:jc w:val="right"/>
              <w:rPr>
                <w:rFonts w:ascii="Arial" w:hAnsi="Arial" w:cs="Arial"/>
                <w:b/>
                <w:bCs w:val="0"/>
                <w:iCs/>
                <w:sz w:val="18"/>
                <w:lang w:val="en-US"/>
              </w:rPr>
            </w:pPr>
            <w:r>
              <w:rPr>
                <w:rFonts w:ascii="Arial" w:hAnsi="Arial" w:cs="Arial"/>
                <w:iCs/>
                <w:sz w:val="18"/>
                <w:lang w:val="en-US"/>
              </w:rPr>
              <w:t>1.1</w:t>
            </w:r>
            <w:r>
              <w:rPr>
                <w:rFonts w:ascii="Arial" w:hAnsi="Arial" w:cs="Arial"/>
                <w:sz w:val="18"/>
              </w:rPr>
              <w:t>¢</w:t>
            </w:r>
          </w:p>
        </w:tc>
      </w:tr>
    </w:tbl>
    <w:p w14:paraId="1776714F" w14:textId="77777777" w:rsidR="00732ADB" w:rsidRDefault="00732ADB">
      <w:pPr>
        <w:pStyle w:val="TableData"/>
      </w:pPr>
    </w:p>
    <w:p w14:paraId="35E59334" w14:textId="77777777" w:rsidR="00732ADB" w:rsidRDefault="00732ADB">
      <w:pPr>
        <w:pStyle w:val="Indent1"/>
      </w:pPr>
      <w:bookmarkStart w:id="66" w:name="_Toc74821847"/>
      <w:bookmarkStart w:id="67" w:name="_Toc256000016"/>
      <w:bookmarkStart w:id="68" w:name="_Toc256000047"/>
      <w:bookmarkStart w:id="69" w:name="_Toc157514652"/>
      <w:r>
        <w:t>Temporary suspension or disconnection</w:t>
      </w:r>
      <w:bookmarkEnd w:id="66"/>
      <w:bookmarkEnd w:id="67"/>
      <w:bookmarkEnd w:id="68"/>
      <w:bookmarkEnd w:id="69"/>
    </w:p>
    <w:p w14:paraId="434D11E0" w14:textId="77777777" w:rsidR="00732ADB" w:rsidRDefault="00732ADB">
      <w:pPr>
        <w:pStyle w:val="Heading2"/>
      </w:pPr>
      <w:r>
        <w:t>You will not have to pay the monthly access charges payable for a particular mobile, where the service relating to that mobile:</w:t>
      </w:r>
    </w:p>
    <w:p w14:paraId="7EB38BFF" w14:textId="77777777" w:rsidR="00732ADB" w:rsidRDefault="00732ADB" w:rsidP="00732ADB">
      <w:pPr>
        <w:pStyle w:val="Heading2"/>
        <w:numPr>
          <w:ilvl w:val="0"/>
          <w:numId w:val="9"/>
        </w:numPr>
        <w:tabs>
          <w:tab w:val="clear" w:pos="737"/>
          <w:tab w:val="num" w:pos="1457"/>
        </w:tabs>
        <w:ind w:left="1457"/>
        <w:rPr>
          <w:iCs/>
        </w:rPr>
      </w:pPr>
      <w:r>
        <w:t xml:space="preserve">is temporarily suspended because you have asked us to suspend the </w:t>
      </w:r>
      <w:proofErr w:type="gramStart"/>
      <w:r>
        <w:t>service</w:t>
      </w:r>
      <w:proofErr w:type="gramEnd"/>
      <w:r>
        <w:t xml:space="preserve"> or </w:t>
      </w:r>
      <w:r>
        <w:rPr>
          <w:iCs/>
        </w:rPr>
        <w:t>you have told us that the mobile has been stolen; or</w:t>
      </w:r>
    </w:p>
    <w:p w14:paraId="490EBCBB" w14:textId="77777777" w:rsidR="00732ADB" w:rsidRDefault="00732ADB" w:rsidP="00732ADB">
      <w:pPr>
        <w:pStyle w:val="Heading2"/>
        <w:numPr>
          <w:ilvl w:val="0"/>
          <w:numId w:val="9"/>
        </w:numPr>
        <w:tabs>
          <w:tab w:val="clear" w:pos="737"/>
          <w:tab w:val="num" w:pos="1457"/>
        </w:tabs>
        <w:ind w:left="1457"/>
        <w:rPr>
          <w:iCs/>
        </w:rPr>
      </w:pPr>
      <w:r>
        <w:rPr>
          <w:iCs/>
        </w:rPr>
        <w:t>is temporarily disconnected because you have not paid your bill.</w:t>
      </w:r>
    </w:p>
    <w:p w14:paraId="556B3EF4" w14:textId="77777777" w:rsidR="00732ADB" w:rsidRDefault="00732ADB">
      <w:pPr>
        <w:pStyle w:val="Heading2"/>
      </w:pPr>
      <w:r>
        <w:t>This applies to SMR Commercial Voice and Data Rate, SMR Commercial Smart Talk 80 Rate, SMR Commercial Control Channel Data Rate, SMR Commercial Security Rate on the Victorian SMR Commercial (VHF) network.</w:t>
      </w:r>
    </w:p>
    <w:p w14:paraId="0E5AFB7F" w14:textId="77777777" w:rsidR="00732ADB" w:rsidRDefault="00732ADB">
      <w:pPr>
        <w:pStyle w:val="Indent1"/>
      </w:pPr>
      <w:bookmarkStart w:id="70" w:name="_Toc74821848"/>
      <w:bookmarkStart w:id="71" w:name="_Toc256000017"/>
      <w:bookmarkStart w:id="72" w:name="_Toc256000048"/>
      <w:bookmarkStart w:id="73" w:name="_Toc157514653"/>
      <w:r>
        <w:t>Volume discounts</w:t>
      </w:r>
      <w:bookmarkEnd w:id="70"/>
      <w:bookmarkEnd w:id="71"/>
      <w:bookmarkEnd w:id="72"/>
      <w:bookmarkEnd w:id="73"/>
    </w:p>
    <w:p w14:paraId="536EFD58" w14:textId="77777777" w:rsidR="00732ADB" w:rsidRDefault="00732ADB">
      <w:pPr>
        <w:pStyle w:val="Heading2"/>
      </w:pPr>
      <w:r>
        <w:t xml:space="preserve">You will be entitled to a discount on monthly access charges payable for SMR Commercial Voice and Data Rate, SMR Commercial Smart Talk 80 Rate, SMR Commercial Control Channel Data Rate, SMR Commercial Security Rate on the Victorian SMR Commercial (VHF) network as set out in the table below </w:t>
      </w:r>
      <w:r>
        <w:rPr>
          <w:iCs/>
        </w:rPr>
        <w:t>or as otherwise agreed between us</w:t>
      </w:r>
      <w:r>
        <w:t>.</w:t>
      </w:r>
    </w:p>
    <w:p w14:paraId="63F9FA60" w14:textId="77777777" w:rsidR="00732ADB" w:rsidRDefault="00732ADB">
      <w:pPr>
        <w:pStyle w:val="Heading2"/>
      </w:pPr>
      <w:r>
        <w:t xml:space="preserve">The discount is based on the number of mobiles in your fleet connected to the service.  </w:t>
      </w:r>
    </w:p>
    <w:tbl>
      <w:tblPr>
        <w:tblW w:w="5954" w:type="dxa"/>
        <w:tblInd w:w="817" w:type="dxa"/>
        <w:tblLayout w:type="fixed"/>
        <w:tblLook w:val="0000" w:firstRow="0" w:lastRow="0" w:firstColumn="0" w:lastColumn="0" w:noHBand="0" w:noVBand="0"/>
      </w:tblPr>
      <w:tblGrid>
        <w:gridCol w:w="3864"/>
        <w:gridCol w:w="2090"/>
      </w:tblGrid>
      <w:tr w:rsidR="00732ADB" w14:paraId="31795620" w14:textId="77777777">
        <w:trPr>
          <w:cantSplit/>
          <w:tblHeader/>
        </w:trPr>
        <w:tc>
          <w:tcPr>
            <w:tcW w:w="5528" w:type="dxa"/>
            <w:tcBorders>
              <w:top w:val="single" w:sz="6" w:space="0" w:color="auto"/>
              <w:left w:val="single" w:sz="6" w:space="0" w:color="auto"/>
              <w:bottom w:val="single" w:sz="6" w:space="0" w:color="auto"/>
              <w:right w:val="single" w:sz="6" w:space="0" w:color="auto"/>
            </w:tcBorders>
          </w:tcPr>
          <w:p w14:paraId="080713D0" w14:textId="77777777" w:rsidR="00732ADB" w:rsidRDefault="00732ADB">
            <w:pPr>
              <w:keepNext/>
              <w:spacing w:before="120" w:after="120"/>
              <w:rPr>
                <w:rFonts w:ascii="Arial" w:hAnsi="Arial" w:cs="Arial"/>
                <w:iCs/>
                <w:sz w:val="18"/>
              </w:rPr>
            </w:pPr>
            <w:r>
              <w:rPr>
                <w:rFonts w:ascii="Arial" w:hAnsi="Arial" w:cs="Arial"/>
                <w:b/>
                <w:bCs/>
                <w:iCs/>
                <w:sz w:val="18"/>
              </w:rPr>
              <w:lastRenderedPageBreak/>
              <w:t>Volume Discounts on monthly access charges</w:t>
            </w:r>
          </w:p>
        </w:tc>
        <w:tc>
          <w:tcPr>
            <w:tcW w:w="2941" w:type="dxa"/>
            <w:tcBorders>
              <w:top w:val="single" w:sz="6" w:space="0" w:color="auto"/>
              <w:bottom w:val="single" w:sz="6" w:space="0" w:color="auto"/>
              <w:right w:val="single" w:sz="6" w:space="0" w:color="auto"/>
            </w:tcBorders>
          </w:tcPr>
          <w:p w14:paraId="128FCB5C" w14:textId="77777777" w:rsidR="00732ADB" w:rsidRDefault="00732ADB">
            <w:pPr>
              <w:keepNext/>
              <w:spacing w:before="120" w:after="120"/>
              <w:jc w:val="right"/>
              <w:rPr>
                <w:rFonts w:ascii="Arial" w:hAnsi="Arial" w:cs="Arial"/>
                <w:iCs/>
                <w:sz w:val="18"/>
              </w:rPr>
            </w:pPr>
          </w:p>
        </w:tc>
      </w:tr>
      <w:tr w:rsidR="00732ADB" w14:paraId="2D3EBE10" w14:textId="77777777">
        <w:trPr>
          <w:cantSplit/>
        </w:trPr>
        <w:tc>
          <w:tcPr>
            <w:tcW w:w="5528" w:type="dxa"/>
            <w:tcBorders>
              <w:top w:val="single" w:sz="6" w:space="0" w:color="auto"/>
              <w:left w:val="single" w:sz="6" w:space="0" w:color="auto"/>
              <w:bottom w:val="single" w:sz="6" w:space="0" w:color="auto"/>
              <w:right w:val="single" w:sz="6" w:space="0" w:color="auto"/>
            </w:tcBorders>
          </w:tcPr>
          <w:p w14:paraId="16E9CAF7" w14:textId="77777777" w:rsidR="00732ADB" w:rsidRDefault="00732ADB">
            <w:pPr>
              <w:spacing w:before="120" w:after="120"/>
              <w:rPr>
                <w:rFonts w:ascii="Arial" w:hAnsi="Arial" w:cs="Arial"/>
                <w:iCs/>
                <w:sz w:val="18"/>
              </w:rPr>
            </w:pPr>
            <w:r>
              <w:rPr>
                <w:rFonts w:ascii="Arial" w:hAnsi="Arial" w:cs="Arial"/>
                <w:iCs/>
                <w:sz w:val="18"/>
              </w:rPr>
              <w:t>1 – 50 mobiles</w:t>
            </w:r>
          </w:p>
        </w:tc>
        <w:tc>
          <w:tcPr>
            <w:tcW w:w="2941" w:type="dxa"/>
            <w:tcBorders>
              <w:top w:val="single" w:sz="6" w:space="0" w:color="auto"/>
              <w:bottom w:val="single" w:sz="6" w:space="0" w:color="auto"/>
              <w:right w:val="single" w:sz="6" w:space="0" w:color="auto"/>
            </w:tcBorders>
          </w:tcPr>
          <w:p w14:paraId="221C2832" w14:textId="77777777" w:rsidR="00732ADB" w:rsidRDefault="00732ADB">
            <w:pPr>
              <w:spacing w:before="120" w:after="120"/>
              <w:jc w:val="center"/>
              <w:rPr>
                <w:rFonts w:ascii="Arial" w:hAnsi="Arial" w:cs="Arial"/>
                <w:b/>
                <w:bCs/>
                <w:iCs/>
                <w:sz w:val="18"/>
              </w:rPr>
            </w:pPr>
            <w:r>
              <w:rPr>
                <w:rFonts w:ascii="Arial" w:hAnsi="Arial" w:cs="Arial"/>
                <w:b/>
                <w:bCs/>
                <w:iCs/>
                <w:sz w:val="18"/>
              </w:rPr>
              <w:t>No discount</w:t>
            </w:r>
          </w:p>
        </w:tc>
      </w:tr>
      <w:tr w:rsidR="00732ADB" w14:paraId="2E3177C5" w14:textId="77777777">
        <w:trPr>
          <w:cantSplit/>
        </w:trPr>
        <w:tc>
          <w:tcPr>
            <w:tcW w:w="5528" w:type="dxa"/>
            <w:tcBorders>
              <w:top w:val="single" w:sz="6" w:space="0" w:color="auto"/>
              <w:left w:val="single" w:sz="6" w:space="0" w:color="auto"/>
              <w:bottom w:val="single" w:sz="6" w:space="0" w:color="auto"/>
              <w:right w:val="single" w:sz="6" w:space="0" w:color="auto"/>
            </w:tcBorders>
          </w:tcPr>
          <w:p w14:paraId="5B0E329E" w14:textId="77777777" w:rsidR="00732ADB" w:rsidRDefault="00732ADB">
            <w:pPr>
              <w:spacing w:before="120" w:after="120"/>
              <w:rPr>
                <w:rFonts w:ascii="Arial" w:hAnsi="Arial" w:cs="Arial"/>
                <w:iCs/>
                <w:sz w:val="18"/>
              </w:rPr>
            </w:pPr>
            <w:r>
              <w:rPr>
                <w:rFonts w:ascii="Arial" w:hAnsi="Arial" w:cs="Arial"/>
                <w:iCs/>
                <w:sz w:val="18"/>
              </w:rPr>
              <w:t>51 – 100 mobiles</w:t>
            </w:r>
          </w:p>
        </w:tc>
        <w:tc>
          <w:tcPr>
            <w:tcW w:w="2941" w:type="dxa"/>
            <w:tcBorders>
              <w:top w:val="single" w:sz="6" w:space="0" w:color="auto"/>
              <w:bottom w:val="single" w:sz="6" w:space="0" w:color="auto"/>
              <w:right w:val="single" w:sz="6" w:space="0" w:color="auto"/>
            </w:tcBorders>
          </w:tcPr>
          <w:p w14:paraId="4AB8CA30" w14:textId="77777777" w:rsidR="00732ADB" w:rsidRDefault="00732ADB">
            <w:pPr>
              <w:spacing w:before="120" w:after="120"/>
              <w:jc w:val="center"/>
              <w:rPr>
                <w:rFonts w:ascii="Arial" w:hAnsi="Arial" w:cs="Arial"/>
                <w:b/>
                <w:bCs/>
                <w:iCs/>
                <w:sz w:val="18"/>
              </w:rPr>
            </w:pPr>
            <w:r>
              <w:rPr>
                <w:rFonts w:ascii="Arial" w:hAnsi="Arial" w:cs="Arial"/>
                <w:b/>
                <w:bCs/>
                <w:iCs/>
                <w:sz w:val="18"/>
              </w:rPr>
              <w:t>3.0% discount</w:t>
            </w:r>
          </w:p>
        </w:tc>
      </w:tr>
      <w:tr w:rsidR="00732ADB" w14:paraId="0DC4B261" w14:textId="77777777">
        <w:trPr>
          <w:cantSplit/>
        </w:trPr>
        <w:tc>
          <w:tcPr>
            <w:tcW w:w="5528" w:type="dxa"/>
            <w:tcBorders>
              <w:top w:val="single" w:sz="6" w:space="0" w:color="auto"/>
              <w:left w:val="single" w:sz="6" w:space="0" w:color="auto"/>
              <w:bottom w:val="single" w:sz="6" w:space="0" w:color="auto"/>
              <w:right w:val="single" w:sz="6" w:space="0" w:color="auto"/>
            </w:tcBorders>
          </w:tcPr>
          <w:p w14:paraId="3ACC7C5C" w14:textId="77777777" w:rsidR="00732ADB" w:rsidRDefault="00732ADB">
            <w:pPr>
              <w:spacing w:before="120" w:after="120"/>
              <w:ind w:left="737" w:hanging="737"/>
              <w:rPr>
                <w:rFonts w:ascii="Arial" w:hAnsi="Arial" w:cs="Arial"/>
                <w:iCs/>
                <w:sz w:val="18"/>
              </w:rPr>
            </w:pPr>
            <w:r>
              <w:rPr>
                <w:rFonts w:ascii="Arial" w:hAnsi="Arial" w:cs="Arial"/>
                <w:iCs/>
                <w:sz w:val="18"/>
              </w:rPr>
              <w:t>100 – 200 mobiles</w:t>
            </w:r>
          </w:p>
        </w:tc>
        <w:tc>
          <w:tcPr>
            <w:tcW w:w="2941" w:type="dxa"/>
            <w:tcBorders>
              <w:top w:val="single" w:sz="6" w:space="0" w:color="auto"/>
              <w:bottom w:val="single" w:sz="6" w:space="0" w:color="auto"/>
              <w:right w:val="single" w:sz="6" w:space="0" w:color="auto"/>
            </w:tcBorders>
          </w:tcPr>
          <w:p w14:paraId="51CBAD50" w14:textId="77777777" w:rsidR="00732ADB" w:rsidRDefault="00732ADB">
            <w:pPr>
              <w:spacing w:before="120" w:after="120"/>
              <w:jc w:val="center"/>
              <w:rPr>
                <w:rFonts w:ascii="Arial" w:hAnsi="Arial" w:cs="Arial"/>
                <w:b/>
                <w:bCs/>
                <w:iCs/>
                <w:sz w:val="18"/>
              </w:rPr>
            </w:pPr>
            <w:r>
              <w:rPr>
                <w:rFonts w:ascii="Arial" w:hAnsi="Arial" w:cs="Arial"/>
                <w:b/>
                <w:bCs/>
                <w:iCs/>
                <w:sz w:val="18"/>
              </w:rPr>
              <w:t>6.5% discount</w:t>
            </w:r>
          </w:p>
        </w:tc>
      </w:tr>
      <w:tr w:rsidR="00732ADB" w14:paraId="00AC79CF" w14:textId="77777777">
        <w:trPr>
          <w:cantSplit/>
        </w:trPr>
        <w:tc>
          <w:tcPr>
            <w:tcW w:w="5528" w:type="dxa"/>
            <w:tcBorders>
              <w:top w:val="single" w:sz="6" w:space="0" w:color="auto"/>
              <w:left w:val="single" w:sz="6" w:space="0" w:color="auto"/>
              <w:bottom w:val="single" w:sz="6" w:space="0" w:color="auto"/>
              <w:right w:val="single" w:sz="6" w:space="0" w:color="auto"/>
            </w:tcBorders>
          </w:tcPr>
          <w:p w14:paraId="4DFBDE52" w14:textId="77777777" w:rsidR="00732ADB" w:rsidRDefault="00732ADB">
            <w:pPr>
              <w:spacing w:before="120" w:after="120"/>
              <w:ind w:left="737" w:hanging="737"/>
              <w:rPr>
                <w:rFonts w:ascii="Arial" w:hAnsi="Arial" w:cs="Arial"/>
                <w:iCs/>
                <w:sz w:val="18"/>
              </w:rPr>
            </w:pPr>
            <w:r>
              <w:rPr>
                <w:rFonts w:ascii="Arial" w:hAnsi="Arial" w:cs="Arial"/>
                <w:iCs/>
                <w:sz w:val="18"/>
              </w:rPr>
              <w:t>201 – 400 mobiles</w:t>
            </w:r>
          </w:p>
        </w:tc>
        <w:tc>
          <w:tcPr>
            <w:tcW w:w="2941" w:type="dxa"/>
            <w:tcBorders>
              <w:top w:val="single" w:sz="6" w:space="0" w:color="auto"/>
              <w:bottom w:val="single" w:sz="6" w:space="0" w:color="auto"/>
              <w:right w:val="single" w:sz="6" w:space="0" w:color="auto"/>
            </w:tcBorders>
          </w:tcPr>
          <w:p w14:paraId="528CDAA3" w14:textId="77777777" w:rsidR="00732ADB" w:rsidRDefault="00732ADB">
            <w:pPr>
              <w:spacing w:before="120" w:after="120"/>
              <w:jc w:val="center"/>
              <w:rPr>
                <w:rFonts w:ascii="Arial" w:hAnsi="Arial" w:cs="Arial"/>
                <w:b/>
                <w:bCs/>
                <w:iCs/>
                <w:sz w:val="18"/>
              </w:rPr>
            </w:pPr>
            <w:r>
              <w:rPr>
                <w:rFonts w:ascii="Arial" w:hAnsi="Arial" w:cs="Arial"/>
                <w:b/>
                <w:bCs/>
                <w:iCs/>
                <w:sz w:val="18"/>
              </w:rPr>
              <w:t>10.0% discount</w:t>
            </w:r>
          </w:p>
        </w:tc>
      </w:tr>
      <w:tr w:rsidR="00732ADB" w14:paraId="27A3B684" w14:textId="77777777">
        <w:trPr>
          <w:cantSplit/>
        </w:trPr>
        <w:tc>
          <w:tcPr>
            <w:tcW w:w="5528" w:type="dxa"/>
            <w:tcBorders>
              <w:top w:val="single" w:sz="6" w:space="0" w:color="auto"/>
              <w:left w:val="single" w:sz="6" w:space="0" w:color="auto"/>
              <w:bottom w:val="single" w:sz="6" w:space="0" w:color="auto"/>
              <w:right w:val="single" w:sz="6" w:space="0" w:color="auto"/>
            </w:tcBorders>
          </w:tcPr>
          <w:p w14:paraId="73C99E76" w14:textId="77777777" w:rsidR="00732ADB" w:rsidRDefault="00732ADB">
            <w:pPr>
              <w:spacing w:before="120" w:after="120"/>
              <w:ind w:left="737" w:hanging="737"/>
              <w:rPr>
                <w:rFonts w:ascii="Arial" w:hAnsi="Arial" w:cs="Arial"/>
                <w:iCs/>
                <w:sz w:val="18"/>
              </w:rPr>
            </w:pPr>
            <w:r>
              <w:rPr>
                <w:rFonts w:ascii="Arial" w:hAnsi="Arial" w:cs="Arial"/>
                <w:iCs/>
                <w:sz w:val="18"/>
              </w:rPr>
              <w:t>401 – 600 mobiles</w:t>
            </w:r>
          </w:p>
        </w:tc>
        <w:tc>
          <w:tcPr>
            <w:tcW w:w="2941" w:type="dxa"/>
            <w:tcBorders>
              <w:top w:val="single" w:sz="6" w:space="0" w:color="auto"/>
              <w:bottom w:val="single" w:sz="6" w:space="0" w:color="auto"/>
              <w:right w:val="single" w:sz="6" w:space="0" w:color="auto"/>
            </w:tcBorders>
          </w:tcPr>
          <w:p w14:paraId="18D111C7" w14:textId="77777777" w:rsidR="00732ADB" w:rsidRDefault="00732ADB">
            <w:pPr>
              <w:spacing w:before="120" w:after="120"/>
              <w:jc w:val="center"/>
              <w:rPr>
                <w:rFonts w:ascii="Arial" w:hAnsi="Arial" w:cs="Arial"/>
                <w:b/>
                <w:bCs/>
                <w:iCs/>
                <w:sz w:val="18"/>
              </w:rPr>
            </w:pPr>
            <w:r>
              <w:rPr>
                <w:rFonts w:ascii="Arial" w:hAnsi="Arial" w:cs="Arial"/>
                <w:b/>
                <w:bCs/>
                <w:iCs/>
                <w:sz w:val="18"/>
              </w:rPr>
              <w:t>13.5% discount</w:t>
            </w:r>
          </w:p>
        </w:tc>
      </w:tr>
      <w:tr w:rsidR="00732ADB" w14:paraId="39504B96" w14:textId="77777777">
        <w:trPr>
          <w:cantSplit/>
        </w:trPr>
        <w:tc>
          <w:tcPr>
            <w:tcW w:w="5528" w:type="dxa"/>
            <w:tcBorders>
              <w:top w:val="single" w:sz="6" w:space="0" w:color="auto"/>
              <w:left w:val="single" w:sz="6" w:space="0" w:color="auto"/>
              <w:bottom w:val="single" w:sz="6" w:space="0" w:color="auto"/>
              <w:right w:val="single" w:sz="6" w:space="0" w:color="auto"/>
            </w:tcBorders>
          </w:tcPr>
          <w:p w14:paraId="4E9DBAC5" w14:textId="77777777" w:rsidR="00732ADB" w:rsidRDefault="00732ADB">
            <w:pPr>
              <w:spacing w:before="120" w:after="120"/>
              <w:ind w:left="737" w:hanging="737"/>
              <w:rPr>
                <w:rFonts w:ascii="Arial" w:hAnsi="Arial" w:cs="Arial"/>
                <w:iCs/>
                <w:sz w:val="18"/>
              </w:rPr>
            </w:pPr>
            <w:r>
              <w:rPr>
                <w:rFonts w:ascii="Arial" w:hAnsi="Arial" w:cs="Arial"/>
                <w:iCs/>
                <w:sz w:val="18"/>
              </w:rPr>
              <w:t>601 – 800 mobiles</w:t>
            </w:r>
          </w:p>
        </w:tc>
        <w:tc>
          <w:tcPr>
            <w:tcW w:w="2941" w:type="dxa"/>
            <w:tcBorders>
              <w:top w:val="single" w:sz="6" w:space="0" w:color="auto"/>
              <w:bottom w:val="single" w:sz="6" w:space="0" w:color="auto"/>
              <w:right w:val="single" w:sz="6" w:space="0" w:color="auto"/>
            </w:tcBorders>
          </w:tcPr>
          <w:p w14:paraId="14130916" w14:textId="77777777" w:rsidR="00732ADB" w:rsidRDefault="00732ADB">
            <w:pPr>
              <w:spacing w:before="120" w:after="120"/>
              <w:jc w:val="center"/>
              <w:rPr>
                <w:rFonts w:ascii="Arial" w:hAnsi="Arial" w:cs="Arial"/>
                <w:b/>
                <w:bCs/>
                <w:iCs/>
                <w:sz w:val="18"/>
              </w:rPr>
            </w:pPr>
            <w:r>
              <w:rPr>
                <w:rFonts w:ascii="Arial" w:hAnsi="Arial" w:cs="Arial"/>
                <w:b/>
                <w:bCs/>
                <w:iCs/>
                <w:sz w:val="18"/>
              </w:rPr>
              <w:t>17.0% discount</w:t>
            </w:r>
          </w:p>
        </w:tc>
      </w:tr>
      <w:tr w:rsidR="00732ADB" w14:paraId="72761534" w14:textId="77777777">
        <w:trPr>
          <w:cantSplit/>
        </w:trPr>
        <w:tc>
          <w:tcPr>
            <w:tcW w:w="5528" w:type="dxa"/>
            <w:tcBorders>
              <w:top w:val="single" w:sz="6" w:space="0" w:color="auto"/>
              <w:left w:val="single" w:sz="6" w:space="0" w:color="auto"/>
              <w:bottom w:val="single" w:sz="6" w:space="0" w:color="auto"/>
              <w:right w:val="single" w:sz="6" w:space="0" w:color="auto"/>
            </w:tcBorders>
          </w:tcPr>
          <w:p w14:paraId="587094FA" w14:textId="77777777" w:rsidR="00732ADB" w:rsidRDefault="00732ADB">
            <w:pPr>
              <w:spacing w:before="120" w:after="120"/>
              <w:ind w:left="737" w:hanging="737"/>
              <w:rPr>
                <w:rFonts w:ascii="Arial" w:hAnsi="Arial" w:cs="Arial"/>
                <w:iCs/>
                <w:sz w:val="18"/>
              </w:rPr>
            </w:pPr>
            <w:r>
              <w:rPr>
                <w:rFonts w:ascii="Arial" w:hAnsi="Arial" w:cs="Arial"/>
                <w:iCs/>
                <w:sz w:val="18"/>
              </w:rPr>
              <w:t>more than 800 mobiles</w:t>
            </w:r>
          </w:p>
        </w:tc>
        <w:tc>
          <w:tcPr>
            <w:tcW w:w="2941" w:type="dxa"/>
            <w:tcBorders>
              <w:top w:val="single" w:sz="6" w:space="0" w:color="auto"/>
              <w:bottom w:val="single" w:sz="6" w:space="0" w:color="auto"/>
              <w:right w:val="single" w:sz="6" w:space="0" w:color="auto"/>
            </w:tcBorders>
          </w:tcPr>
          <w:p w14:paraId="721032B4" w14:textId="77777777" w:rsidR="00732ADB" w:rsidRDefault="00732ADB">
            <w:pPr>
              <w:spacing w:before="120" w:after="120"/>
              <w:jc w:val="center"/>
              <w:rPr>
                <w:rFonts w:ascii="Arial" w:hAnsi="Arial" w:cs="Arial"/>
                <w:b/>
                <w:bCs/>
                <w:iCs/>
                <w:sz w:val="18"/>
              </w:rPr>
            </w:pPr>
            <w:r>
              <w:rPr>
                <w:rFonts w:ascii="Arial" w:hAnsi="Arial" w:cs="Arial"/>
                <w:b/>
                <w:bCs/>
                <w:iCs/>
                <w:sz w:val="18"/>
              </w:rPr>
              <w:t>20.5% discount</w:t>
            </w:r>
          </w:p>
        </w:tc>
      </w:tr>
    </w:tbl>
    <w:p w14:paraId="371868CC" w14:textId="77777777" w:rsidR="00732ADB" w:rsidRDefault="00732ADB">
      <w:pPr>
        <w:pStyle w:val="Heading7"/>
        <w:ind w:left="737"/>
        <w:rPr>
          <w:b w:val="0"/>
        </w:rPr>
      </w:pPr>
    </w:p>
    <w:p w14:paraId="3E792C28" w14:textId="77777777" w:rsidR="00732ADB" w:rsidRDefault="00732ADB">
      <w:pPr>
        <w:pStyle w:val="Indent1"/>
        <w:rPr>
          <w:iCs/>
        </w:rPr>
      </w:pPr>
      <w:bookmarkStart w:id="74" w:name="_Toc74821849"/>
      <w:bookmarkStart w:id="75" w:name="_Toc256000018"/>
      <w:bookmarkStart w:id="76" w:name="_Toc256000049"/>
      <w:bookmarkStart w:id="77" w:name="_Toc157514654"/>
      <w:r>
        <w:rPr>
          <w:iCs/>
        </w:rPr>
        <w:t>Number retention</w:t>
      </w:r>
      <w:bookmarkEnd w:id="74"/>
      <w:bookmarkEnd w:id="75"/>
      <w:bookmarkEnd w:id="76"/>
      <w:bookmarkEnd w:id="77"/>
      <w:r>
        <w:rPr>
          <w:iCs/>
        </w:rPr>
        <w:t xml:space="preserve"> </w:t>
      </w:r>
    </w:p>
    <w:p w14:paraId="499FD066" w14:textId="77777777" w:rsidR="00732ADB" w:rsidRDefault="00732ADB">
      <w:pPr>
        <w:pStyle w:val="Heading2"/>
        <w:rPr>
          <w:iCs/>
        </w:rPr>
      </w:pPr>
      <w:r>
        <w:rPr>
          <w:iCs/>
        </w:rPr>
        <w:t xml:space="preserve">A </w:t>
      </w:r>
      <w:r w:rsidRPr="004C41CD">
        <w:rPr>
          <w:iCs/>
        </w:rPr>
        <w:t xml:space="preserve">fleet </w:t>
      </w:r>
      <w:r>
        <w:rPr>
          <w:iCs/>
        </w:rPr>
        <w:t xml:space="preserve">number </w:t>
      </w:r>
      <w:r w:rsidRPr="004C41CD">
        <w:rPr>
          <w:iCs/>
        </w:rPr>
        <w:t xml:space="preserve">or unique </w:t>
      </w:r>
      <w:r>
        <w:rPr>
          <w:iCs/>
        </w:rPr>
        <w:t>radio</w:t>
      </w:r>
      <w:r w:rsidRPr="004C41CD">
        <w:rPr>
          <w:iCs/>
        </w:rPr>
        <w:t xml:space="preserve"> identification </w:t>
      </w:r>
      <w:r>
        <w:rPr>
          <w:iCs/>
        </w:rPr>
        <w:t>can be retained for a minimum of four months.</w:t>
      </w:r>
    </w:p>
    <w:p w14:paraId="130AB90A" w14:textId="77777777" w:rsidR="00732ADB" w:rsidRDefault="00732ADB">
      <w:pPr>
        <w:pStyle w:val="Indent1"/>
        <w:rPr>
          <w:iCs/>
        </w:rPr>
      </w:pPr>
      <w:bookmarkStart w:id="78" w:name="_Toc52093667"/>
      <w:bookmarkStart w:id="79" w:name="_Toc52093757"/>
      <w:bookmarkStart w:id="80" w:name="_Toc52093839"/>
      <w:bookmarkStart w:id="81" w:name="_Toc52096300"/>
      <w:bookmarkStart w:id="82" w:name="_Toc74821850"/>
      <w:bookmarkStart w:id="83" w:name="_Toc256000019"/>
      <w:bookmarkStart w:id="84" w:name="_Toc256000050"/>
      <w:bookmarkStart w:id="85" w:name="_Toc157514655"/>
      <w:r>
        <w:rPr>
          <w:iCs/>
        </w:rPr>
        <w:t>Changing your monthly access option</w:t>
      </w:r>
      <w:bookmarkEnd w:id="78"/>
      <w:bookmarkEnd w:id="79"/>
      <w:bookmarkEnd w:id="80"/>
      <w:bookmarkEnd w:id="81"/>
      <w:bookmarkEnd w:id="82"/>
      <w:bookmarkEnd w:id="83"/>
      <w:bookmarkEnd w:id="84"/>
      <w:bookmarkEnd w:id="85"/>
    </w:p>
    <w:p w14:paraId="1D698243" w14:textId="77777777" w:rsidR="00732ADB" w:rsidRDefault="00732ADB">
      <w:pPr>
        <w:pStyle w:val="Heading2"/>
      </w:pPr>
      <w:bookmarkStart w:id="86" w:name="_Hlk74819463"/>
      <w:r>
        <w:t>We charge you the following if you ask us to change your monthly access option for a particular mobile (</w:t>
      </w:r>
      <w:r>
        <w:rPr>
          <w:iCs/>
        </w:rPr>
        <w:t>or such other charges as agreed between us)</w:t>
      </w:r>
      <w:r>
        <w:t>:</w:t>
      </w:r>
    </w:p>
    <w:tbl>
      <w:tblPr>
        <w:tblW w:w="6237" w:type="dxa"/>
        <w:tblInd w:w="817" w:type="dxa"/>
        <w:tblLayout w:type="fixed"/>
        <w:tblLook w:val="0000" w:firstRow="0" w:lastRow="0" w:firstColumn="0" w:lastColumn="0" w:noHBand="0" w:noVBand="0"/>
      </w:tblPr>
      <w:tblGrid>
        <w:gridCol w:w="3401"/>
        <w:gridCol w:w="1418"/>
        <w:gridCol w:w="1418"/>
      </w:tblGrid>
      <w:tr w:rsidR="00732ADB" w14:paraId="4710ED14" w14:textId="77777777">
        <w:trPr>
          <w:cantSplit/>
          <w:tblHeader/>
        </w:trPr>
        <w:tc>
          <w:tcPr>
            <w:tcW w:w="3402" w:type="dxa"/>
            <w:tcBorders>
              <w:top w:val="single" w:sz="6" w:space="0" w:color="auto"/>
              <w:left w:val="single" w:sz="6" w:space="0" w:color="auto"/>
              <w:bottom w:val="single" w:sz="6" w:space="0" w:color="auto"/>
              <w:right w:val="single" w:sz="6" w:space="0" w:color="auto"/>
            </w:tcBorders>
          </w:tcPr>
          <w:bookmarkEnd w:id="86"/>
          <w:p w14:paraId="73B6FEB5" w14:textId="77777777" w:rsidR="00732ADB" w:rsidRDefault="00732ADB">
            <w:pPr>
              <w:keepNext/>
              <w:spacing w:before="120" w:after="120"/>
              <w:rPr>
                <w:rFonts w:ascii="Arial" w:hAnsi="Arial" w:cs="Arial"/>
                <w:iCs/>
                <w:sz w:val="18"/>
              </w:rPr>
            </w:pPr>
            <w:r>
              <w:rPr>
                <w:rFonts w:ascii="Arial" w:hAnsi="Arial" w:cs="Arial"/>
                <w:b/>
                <w:bCs/>
                <w:iCs/>
                <w:sz w:val="18"/>
              </w:rPr>
              <w:t>Change of monthly access option</w:t>
            </w:r>
          </w:p>
        </w:tc>
        <w:tc>
          <w:tcPr>
            <w:tcW w:w="1418" w:type="dxa"/>
            <w:tcBorders>
              <w:top w:val="single" w:sz="6" w:space="0" w:color="auto"/>
              <w:bottom w:val="single" w:sz="6" w:space="0" w:color="auto"/>
              <w:right w:val="single" w:sz="6" w:space="0" w:color="auto"/>
            </w:tcBorders>
          </w:tcPr>
          <w:p w14:paraId="4E5652B3" w14:textId="77777777" w:rsidR="00732ADB" w:rsidRDefault="00732ADB">
            <w:pPr>
              <w:keepNext/>
              <w:spacing w:before="120" w:after="120"/>
              <w:rPr>
                <w:rFonts w:ascii="Arial" w:hAnsi="Arial" w:cs="Arial"/>
                <w:b/>
                <w:iCs/>
                <w:sz w:val="18"/>
              </w:rPr>
            </w:pPr>
            <w:r>
              <w:rPr>
                <w:rFonts w:ascii="Arial" w:hAnsi="Arial" w:cs="Arial"/>
                <w:b/>
                <w:iCs/>
                <w:sz w:val="18"/>
              </w:rPr>
              <w:t>GST excl.</w:t>
            </w:r>
          </w:p>
        </w:tc>
        <w:tc>
          <w:tcPr>
            <w:tcW w:w="1418" w:type="dxa"/>
            <w:tcBorders>
              <w:top w:val="single" w:sz="6" w:space="0" w:color="auto"/>
              <w:bottom w:val="single" w:sz="6" w:space="0" w:color="auto"/>
              <w:right w:val="single" w:sz="6" w:space="0" w:color="auto"/>
            </w:tcBorders>
          </w:tcPr>
          <w:p w14:paraId="60AF7B10" w14:textId="77777777" w:rsidR="00732ADB" w:rsidRDefault="00732ADB">
            <w:pPr>
              <w:keepNext/>
              <w:spacing w:before="120" w:after="120"/>
              <w:rPr>
                <w:rFonts w:ascii="Arial" w:hAnsi="Arial" w:cs="Arial"/>
                <w:b/>
                <w:iCs/>
                <w:sz w:val="18"/>
              </w:rPr>
            </w:pPr>
            <w:r>
              <w:rPr>
                <w:rFonts w:ascii="Arial" w:hAnsi="Arial" w:cs="Arial"/>
                <w:b/>
                <w:iCs/>
                <w:sz w:val="18"/>
              </w:rPr>
              <w:t>GST incl.</w:t>
            </w:r>
          </w:p>
        </w:tc>
      </w:tr>
      <w:tr w:rsidR="00732ADB" w14:paraId="3A5AAB4A" w14:textId="77777777">
        <w:trPr>
          <w:cantSplit/>
        </w:trPr>
        <w:tc>
          <w:tcPr>
            <w:tcW w:w="3402" w:type="dxa"/>
            <w:tcBorders>
              <w:top w:val="single" w:sz="6" w:space="0" w:color="auto"/>
              <w:left w:val="single" w:sz="6" w:space="0" w:color="auto"/>
              <w:bottom w:val="single" w:sz="4" w:space="0" w:color="auto"/>
              <w:right w:val="single" w:sz="6" w:space="0" w:color="auto"/>
            </w:tcBorders>
          </w:tcPr>
          <w:p w14:paraId="6F63F10E" w14:textId="77777777" w:rsidR="00732ADB" w:rsidRDefault="00732ADB">
            <w:pPr>
              <w:spacing w:before="120" w:after="120"/>
              <w:rPr>
                <w:rFonts w:ascii="Arial" w:hAnsi="Arial" w:cs="Arial"/>
                <w:iCs/>
                <w:sz w:val="18"/>
              </w:rPr>
            </w:pPr>
            <w:r>
              <w:rPr>
                <w:rFonts w:ascii="Arial" w:hAnsi="Arial" w:cs="Arial"/>
                <w:iCs/>
                <w:sz w:val="18"/>
              </w:rPr>
              <w:t>Charge for change of monthly access option (per change per mobile)</w:t>
            </w:r>
          </w:p>
        </w:tc>
        <w:tc>
          <w:tcPr>
            <w:tcW w:w="1418" w:type="dxa"/>
            <w:tcBorders>
              <w:top w:val="single" w:sz="6" w:space="0" w:color="auto"/>
              <w:bottom w:val="single" w:sz="4" w:space="0" w:color="auto"/>
              <w:right w:val="single" w:sz="6" w:space="0" w:color="auto"/>
            </w:tcBorders>
          </w:tcPr>
          <w:p w14:paraId="6823894A" w14:textId="77777777" w:rsidR="00732ADB" w:rsidRDefault="00732ADB">
            <w:pPr>
              <w:spacing w:before="120" w:after="120"/>
              <w:jc w:val="right"/>
              <w:rPr>
                <w:rFonts w:ascii="Arial" w:hAnsi="Arial" w:cs="Arial"/>
                <w:iCs/>
                <w:sz w:val="18"/>
              </w:rPr>
            </w:pPr>
            <w:r>
              <w:rPr>
                <w:rFonts w:ascii="Arial" w:hAnsi="Arial" w:cs="Arial"/>
                <w:iCs/>
                <w:sz w:val="18"/>
              </w:rPr>
              <w:t>$5.50</w:t>
            </w:r>
          </w:p>
        </w:tc>
        <w:tc>
          <w:tcPr>
            <w:tcW w:w="1418" w:type="dxa"/>
            <w:tcBorders>
              <w:top w:val="single" w:sz="6" w:space="0" w:color="auto"/>
              <w:bottom w:val="single" w:sz="4" w:space="0" w:color="auto"/>
              <w:right w:val="single" w:sz="6" w:space="0" w:color="auto"/>
            </w:tcBorders>
          </w:tcPr>
          <w:p w14:paraId="3656C89B" w14:textId="77777777" w:rsidR="00732ADB" w:rsidRDefault="00732ADB">
            <w:pPr>
              <w:spacing w:before="120" w:after="120"/>
              <w:jc w:val="right"/>
              <w:rPr>
                <w:rFonts w:ascii="Arial" w:hAnsi="Arial" w:cs="Arial"/>
                <w:b/>
                <w:bCs/>
                <w:iCs/>
                <w:sz w:val="18"/>
              </w:rPr>
            </w:pPr>
            <w:r>
              <w:rPr>
                <w:rFonts w:ascii="Arial" w:hAnsi="Arial" w:cs="Arial"/>
                <w:b/>
                <w:bCs/>
                <w:iCs/>
                <w:sz w:val="18"/>
              </w:rPr>
              <w:t>$6.05</w:t>
            </w:r>
          </w:p>
        </w:tc>
      </w:tr>
      <w:tr w:rsidR="00732ADB" w14:paraId="1A7DE9B3" w14:textId="77777777">
        <w:trPr>
          <w:cantSplit/>
        </w:trPr>
        <w:tc>
          <w:tcPr>
            <w:tcW w:w="3402" w:type="dxa"/>
            <w:tcBorders>
              <w:top w:val="single" w:sz="4" w:space="0" w:color="auto"/>
              <w:left w:val="single" w:sz="6" w:space="0" w:color="auto"/>
              <w:bottom w:val="single" w:sz="4" w:space="0" w:color="auto"/>
              <w:right w:val="single" w:sz="6" w:space="0" w:color="auto"/>
            </w:tcBorders>
          </w:tcPr>
          <w:p w14:paraId="436A0C93" w14:textId="77777777" w:rsidR="00732ADB" w:rsidRDefault="00732ADB">
            <w:pPr>
              <w:spacing w:before="120" w:after="120"/>
              <w:rPr>
                <w:rFonts w:ascii="Arial" w:hAnsi="Arial" w:cs="Arial"/>
                <w:iCs/>
                <w:sz w:val="18"/>
              </w:rPr>
            </w:pPr>
            <w:r>
              <w:rPr>
                <w:rFonts w:ascii="Arial" w:hAnsi="Arial" w:cs="Arial"/>
                <w:iCs/>
                <w:sz w:val="18"/>
              </w:rPr>
              <w:t>Minimum charge.</w:t>
            </w:r>
          </w:p>
        </w:tc>
        <w:tc>
          <w:tcPr>
            <w:tcW w:w="1418" w:type="dxa"/>
            <w:tcBorders>
              <w:top w:val="single" w:sz="4" w:space="0" w:color="auto"/>
              <w:bottom w:val="single" w:sz="4" w:space="0" w:color="auto"/>
              <w:right w:val="single" w:sz="6" w:space="0" w:color="auto"/>
            </w:tcBorders>
          </w:tcPr>
          <w:p w14:paraId="5671434F" w14:textId="77777777" w:rsidR="00732ADB" w:rsidRDefault="00732ADB">
            <w:pPr>
              <w:spacing w:before="120" w:after="120"/>
              <w:jc w:val="right"/>
              <w:rPr>
                <w:rFonts w:ascii="Arial" w:hAnsi="Arial" w:cs="Arial"/>
                <w:iCs/>
                <w:sz w:val="18"/>
              </w:rPr>
            </w:pPr>
            <w:r>
              <w:rPr>
                <w:rFonts w:ascii="Arial" w:hAnsi="Arial" w:cs="Arial"/>
                <w:iCs/>
                <w:sz w:val="18"/>
              </w:rPr>
              <w:t>$27.50</w:t>
            </w:r>
          </w:p>
        </w:tc>
        <w:tc>
          <w:tcPr>
            <w:tcW w:w="1418" w:type="dxa"/>
            <w:tcBorders>
              <w:top w:val="single" w:sz="4" w:space="0" w:color="auto"/>
              <w:bottom w:val="single" w:sz="4" w:space="0" w:color="auto"/>
              <w:right w:val="single" w:sz="6" w:space="0" w:color="auto"/>
            </w:tcBorders>
          </w:tcPr>
          <w:p w14:paraId="52301AB8" w14:textId="77777777" w:rsidR="00732ADB" w:rsidRDefault="00732ADB">
            <w:pPr>
              <w:spacing w:before="120" w:after="120"/>
              <w:jc w:val="right"/>
              <w:rPr>
                <w:rFonts w:ascii="Arial" w:hAnsi="Arial" w:cs="Arial"/>
                <w:b/>
                <w:bCs/>
                <w:iCs/>
                <w:sz w:val="18"/>
              </w:rPr>
            </w:pPr>
            <w:r>
              <w:rPr>
                <w:rFonts w:ascii="Arial" w:hAnsi="Arial" w:cs="Arial"/>
                <w:b/>
                <w:bCs/>
                <w:iCs/>
                <w:sz w:val="18"/>
              </w:rPr>
              <w:t>$30.25</w:t>
            </w:r>
          </w:p>
        </w:tc>
      </w:tr>
      <w:tr w:rsidR="00732ADB" w14:paraId="496B2FE3" w14:textId="77777777">
        <w:trPr>
          <w:cantSplit/>
        </w:trPr>
        <w:tc>
          <w:tcPr>
            <w:tcW w:w="3402" w:type="dxa"/>
            <w:tcBorders>
              <w:top w:val="single" w:sz="4" w:space="0" w:color="auto"/>
              <w:left w:val="single" w:sz="6" w:space="0" w:color="auto"/>
              <w:bottom w:val="single" w:sz="6" w:space="0" w:color="auto"/>
              <w:right w:val="single" w:sz="6" w:space="0" w:color="auto"/>
            </w:tcBorders>
          </w:tcPr>
          <w:p w14:paraId="6B7B3E3C" w14:textId="77777777" w:rsidR="00732ADB" w:rsidRDefault="00732ADB">
            <w:pPr>
              <w:pStyle w:val="Index1"/>
              <w:spacing w:before="120" w:after="120"/>
              <w:rPr>
                <w:iCs/>
              </w:rPr>
            </w:pPr>
            <w:r>
              <w:rPr>
                <w:iCs/>
              </w:rPr>
              <w:t>Maximum charge.</w:t>
            </w:r>
          </w:p>
        </w:tc>
        <w:tc>
          <w:tcPr>
            <w:tcW w:w="1418" w:type="dxa"/>
            <w:tcBorders>
              <w:top w:val="single" w:sz="4" w:space="0" w:color="auto"/>
              <w:bottom w:val="single" w:sz="6" w:space="0" w:color="auto"/>
              <w:right w:val="single" w:sz="6" w:space="0" w:color="auto"/>
            </w:tcBorders>
          </w:tcPr>
          <w:p w14:paraId="720F6533" w14:textId="77777777" w:rsidR="00732ADB" w:rsidRDefault="00732ADB">
            <w:pPr>
              <w:spacing w:before="120" w:after="120"/>
              <w:jc w:val="right"/>
              <w:rPr>
                <w:rFonts w:ascii="Arial" w:hAnsi="Arial" w:cs="Arial"/>
                <w:iCs/>
                <w:sz w:val="18"/>
              </w:rPr>
            </w:pPr>
            <w:r>
              <w:rPr>
                <w:rFonts w:ascii="Arial" w:hAnsi="Arial" w:cs="Arial"/>
                <w:iCs/>
                <w:sz w:val="18"/>
              </w:rPr>
              <w:t>$55.00</w:t>
            </w:r>
          </w:p>
        </w:tc>
        <w:tc>
          <w:tcPr>
            <w:tcW w:w="1418" w:type="dxa"/>
            <w:tcBorders>
              <w:top w:val="single" w:sz="4" w:space="0" w:color="auto"/>
              <w:bottom w:val="single" w:sz="6" w:space="0" w:color="auto"/>
              <w:right w:val="single" w:sz="6" w:space="0" w:color="auto"/>
            </w:tcBorders>
          </w:tcPr>
          <w:p w14:paraId="53AA5AD3" w14:textId="77777777" w:rsidR="00732ADB" w:rsidRDefault="00732ADB">
            <w:pPr>
              <w:spacing w:before="120" w:after="120"/>
              <w:jc w:val="right"/>
              <w:rPr>
                <w:rFonts w:ascii="Arial" w:hAnsi="Arial" w:cs="Arial"/>
                <w:b/>
                <w:bCs/>
                <w:iCs/>
                <w:sz w:val="18"/>
              </w:rPr>
            </w:pPr>
            <w:r>
              <w:rPr>
                <w:rFonts w:ascii="Arial" w:hAnsi="Arial" w:cs="Arial"/>
                <w:b/>
                <w:bCs/>
                <w:iCs/>
                <w:sz w:val="18"/>
              </w:rPr>
              <w:t>$60.50</w:t>
            </w:r>
          </w:p>
        </w:tc>
      </w:tr>
    </w:tbl>
    <w:p w14:paraId="3018EC23" w14:textId="77777777" w:rsidR="00732ADB" w:rsidRDefault="00732ADB">
      <w:pPr>
        <w:pStyle w:val="TableData"/>
      </w:pPr>
    </w:p>
    <w:p w14:paraId="4727B7EE" w14:textId="77777777" w:rsidR="00732ADB" w:rsidRDefault="00732ADB">
      <w:pPr>
        <w:pStyle w:val="Indent1"/>
        <w:rPr>
          <w:iCs/>
        </w:rPr>
      </w:pPr>
      <w:bookmarkStart w:id="87" w:name="_Toc74821851"/>
      <w:bookmarkStart w:id="88" w:name="_Toc256000020"/>
      <w:bookmarkStart w:id="89" w:name="_Toc256000051"/>
      <w:bookmarkStart w:id="90" w:name="_Toc157514656"/>
      <w:r>
        <w:rPr>
          <w:iCs/>
        </w:rPr>
        <w:t>Changing your mobile number</w:t>
      </w:r>
      <w:bookmarkEnd w:id="87"/>
      <w:bookmarkEnd w:id="88"/>
      <w:bookmarkEnd w:id="89"/>
      <w:bookmarkEnd w:id="90"/>
    </w:p>
    <w:p w14:paraId="59C80EA9" w14:textId="77777777" w:rsidR="00732ADB" w:rsidRDefault="00732ADB">
      <w:pPr>
        <w:pStyle w:val="Heading2"/>
      </w:pPr>
      <w:r>
        <w:t>We charge you the following if you ask us to change a particular mobile’s number (</w:t>
      </w:r>
      <w:r>
        <w:rPr>
          <w:iCs/>
        </w:rPr>
        <w:t>or such other charges as agreed between us)</w:t>
      </w:r>
      <w:r>
        <w:t>:</w:t>
      </w:r>
    </w:p>
    <w:tbl>
      <w:tblPr>
        <w:tblW w:w="6237" w:type="dxa"/>
        <w:tblInd w:w="817" w:type="dxa"/>
        <w:tblLayout w:type="fixed"/>
        <w:tblLook w:val="0000" w:firstRow="0" w:lastRow="0" w:firstColumn="0" w:lastColumn="0" w:noHBand="0" w:noVBand="0"/>
      </w:tblPr>
      <w:tblGrid>
        <w:gridCol w:w="3401"/>
        <w:gridCol w:w="1418"/>
        <w:gridCol w:w="1418"/>
      </w:tblGrid>
      <w:tr w:rsidR="00732ADB" w14:paraId="7B45EDF1" w14:textId="77777777">
        <w:trPr>
          <w:cantSplit/>
          <w:tblHeader/>
        </w:trPr>
        <w:tc>
          <w:tcPr>
            <w:tcW w:w="3402" w:type="dxa"/>
            <w:tcBorders>
              <w:top w:val="single" w:sz="6" w:space="0" w:color="auto"/>
              <w:left w:val="single" w:sz="6" w:space="0" w:color="auto"/>
              <w:bottom w:val="single" w:sz="6" w:space="0" w:color="auto"/>
              <w:right w:val="single" w:sz="6" w:space="0" w:color="auto"/>
            </w:tcBorders>
          </w:tcPr>
          <w:p w14:paraId="6AE74421" w14:textId="77777777" w:rsidR="00732ADB" w:rsidRDefault="00732ADB">
            <w:pPr>
              <w:keepNext/>
              <w:spacing w:before="120" w:after="120"/>
              <w:rPr>
                <w:rFonts w:ascii="Arial" w:hAnsi="Arial" w:cs="Arial"/>
                <w:iCs/>
                <w:sz w:val="18"/>
              </w:rPr>
            </w:pPr>
            <w:r>
              <w:rPr>
                <w:rFonts w:ascii="Arial" w:hAnsi="Arial" w:cs="Arial"/>
                <w:b/>
                <w:bCs/>
                <w:iCs/>
                <w:sz w:val="18"/>
              </w:rPr>
              <w:t>Change of mobile number</w:t>
            </w:r>
          </w:p>
        </w:tc>
        <w:tc>
          <w:tcPr>
            <w:tcW w:w="1418" w:type="dxa"/>
            <w:tcBorders>
              <w:top w:val="single" w:sz="6" w:space="0" w:color="auto"/>
              <w:bottom w:val="single" w:sz="6" w:space="0" w:color="auto"/>
              <w:right w:val="single" w:sz="6" w:space="0" w:color="auto"/>
            </w:tcBorders>
          </w:tcPr>
          <w:p w14:paraId="452DA4EB" w14:textId="77777777" w:rsidR="00732ADB" w:rsidRDefault="00732ADB">
            <w:pPr>
              <w:keepNext/>
              <w:spacing w:before="120" w:after="120"/>
              <w:rPr>
                <w:rFonts w:ascii="Arial" w:hAnsi="Arial" w:cs="Arial"/>
                <w:b/>
                <w:bCs/>
                <w:iCs/>
                <w:sz w:val="18"/>
              </w:rPr>
            </w:pPr>
            <w:r>
              <w:rPr>
                <w:rFonts w:ascii="Arial" w:hAnsi="Arial" w:cs="Arial"/>
                <w:b/>
                <w:bCs/>
                <w:iCs/>
                <w:sz w:val="18"/>
              </w:rPr>
              <w:t>GST excl.</w:t>
            </w:r>
          </w:p>
        </w:tc>
        <w:tc>
          <w:tcPr>
            <w:tcW w:w="1418" w:type="dxa"/>
            <w:tcBorders>
              <w:top w:val="single" w:sz="6" w:space="0" w:color="auto"/>
              <w:bottom w:val="single" w:sz="6" w:space="0" w:color="auto"/>
              <w:right w:val="single" w:sz="6" w:space="0" w:color="auto"/>
            </w:tcBorders>
          </w:tcPr>
          <w:p w14:paraId="031C99D3" w14:textId="77777777" w:rsidR="00732ADB" w:rsidRDefault="00732ADB">
            <w:pPr>
              <w:keepNext/>
              <w:spacing w:before="120" w:after="120"/>
              <w:rPr>
                <w:rFonts w:ascii="Arial" w:hAnsi="Arial" w:cs="Arial"/>
                <w:b/>
                <w:bCs/>
                <w:iCs/>
                <w:sz w:val="18"/>
              </w:rPr>
            </w:pPr>
            <w:r>
              <w:rPr>
                <w:rFonts w:ascii="Arial" w:hAnsi="Arial" w:cs="Arial"/>
                <w:b/>
                <w:bCs/>
                <w:iCs/>
                <w:sz w:val="18"/>
              </w:rPr>
              <w:t>GST incl.</w:t>
            </w:r>
          </w:p>
        </w:tc>
      </w:tr>
      <w:tr w:rsidR="00732ADB" w14:paraId="0AA1D2A8" w14:textId="77777777">
        <w:trPr>
          <w:cantSplit/>
        </w:trPr>
        <w:tc>
          <w:tcPr>
            <w:tcW w:w="3402" w:type="dxa"/>
            <w:tcBorders>
              <w:top w:val="single" w:sz="6" w:space="0" w:color="auto"/>
              <w:left w:val="single" w:sz="6" w:space="0" w:color="auto"/>
              <w:bottom w:val="single" w:sz="4" w:space="0" w:color="auto"/>
              <w:right w:val="single" w:sz="6" w:space="0" w:color="auto"/>
            </w:tcBorders>
          </w:tcPr>
          <w:p w14:paraId="44C642E5" w14:textId="77777777" w:rsidR="00732ADB" w:rsidRDefault="00732ADB">
            <w:pPr>
              <w:spacing w:before="120" w:after="120"/>
              <w:rPr>
                <w:rFonts w:ascii="Arial" w:hAnsi="Arial" w:cs="Arial"/>
                <w:iCs/>
                <w:sz w:val="18"/>
              </w:rPr>
            </w:pPr>
            <w:r>
              <w:rPr>
                <w:rFonts w:ascii="Arial" w:hAnsi="Arial" w:cs="Arial"/>
                <w:iCs/>
                <w:sz w:val="18"/>
              </w:rPr>
              <w:t>Charge for change of mobile number</w:t>
            </w:r>
          </w:p>
        </w:tc>
        <w:tc>
          <w:tcPr>
            <w:tcW w:w="1418" w:type="dxa"/>
            <w:tcBorders>
              <w:top w:val="single" w:sz="6" w:space="0" w:color="auto"/>
              <w:bottom w:val="single" w:sz="4" w:space="0" w:color="auto"/>
              <w:right w:val="single" w:sz="6" w:space="0" w:color="auto"/>
            </w:tcBorders>
          </w:tcPr>
          <w:p w14:paraId="05011DD7" w14:textId="77777777" w:rsidR="00732ADB" w:rsidRDefault="00732ADB">
            <w:pPr>
              <w:spacing w:before="120" w:after="120"/>
              <w:jc w:val="center"/>
              <w:rPr>
                <w:rFonts w:ascii="Arial" w:hAnsi="Arial" w:cs="Arial"/>
                <w:b/>
                <w:bCs/>
                <w:iCs/>
                <w:sz w:val="18"/>
              </w:rPr>
            </w:pPr>
          </w:p>
        </w:tc>
        <w:tc>
          <w:tcPr>
            <w:tcW w:w="1418" w:type="dxa"/>
            <w:tcBorders>
              <w:top w:val="single" w:sz="6" w:space="0" w:color="auto"/>
              <w:bottom w:val="single" w:sz="4" w:space="0" w:color="auto"/>
              <w:right w:val="single" w:sz="6" w:space="0" w:color="auto"/>
            </w:tcBorders>
          </w:tcPr>
          <w:p w14:paraId="16E281FF" w14:textId="77777777" w:rsidR="00732ADB" w:rsidRDefault="00732ADB">
            <w:pPr>
              <w:spacing w:before="120" w:after="120"/>
              <w:jc w:val="center"/>
              <w:rPr>
                <w:rFonts w:ascii="Arial" w:hAnsi="Arial" w:cs="Arial"/>
                <w:b/>
                <w:bCs/>
                <w:iCs/>
                <w:sz w:val="18"/>
              </w:rPr>
            </w:pPr>
          </w:p>
        </w:tc>
      </w:tr>
      <w:tr w:rsidR="00732ADB" w14:paraId="0C68F713" w14:textId="77777777">
        <w:trPr>
          <w:cantSplit/>
        </w:trPr>
        <w:tc>
          <w:tcPr>
            <w:tcW w:w="3402" w:type="dxa"/>
            <w:tcBorders>
              <w:top w:val="single" w:sz="4" w:space="0" w:color="auto"/>
              <w:left w:val="single" w:sz="6" w:space="0" w:color="auto"/>
              <w:bottom w:val="single" w:sz="4" w:space="0" w:color="auto"/>
              <w:right w:val="single" w:sz="6" w:space="0" w:color="auto"/>
            </w:tcBorders>
          </w:tcPr>
          <w:p w14:paraId="7D1B214A" w14:textId="77777777" w:rsidR="00732ADB" w:rsidRDefault="00732ADB">
            <w:pPr>
              <w:spacing w:before="120" w:after="120"/>
              <w:rPr>
                <w:rFonts w:ascii="Arial" w:hAnsi="Arial" w:cs="Arial"/>
                <w:iCs/>
                <w:sz w:val="18"/>
              </w:rPr>
            </w:pPr>
            <w:r>
              <w:rPr>
                <w:rFonts w:ascii="Arial" w:hAnsi="Arial" w:cs="Arial"/>
                <w:iCs/>
                <w:sz w:val="18"/>
              </w:rPr>
              <w:t>Per already active number</w:t>
            </w:r>
          </w:p>
        </w:tc>
        <w:tc>
          <w:tcPr>
            <w:tcW w:w="1418" w:type="dxa"/>
            <w:tcBorders>
              <w:top w:val="single" w:sz="4" w:space="0" w:color="auto"/>
              <w:bottom w:val="single" w:sz="4" w:space="0" w:color="auto"/>
              <w:right w:val="single" w:sz="6" w:space="0" w:color="auto"/>
            </w:tcBorders>
          </w:tcPr>
          <w:p w14:paraId="14D8FECF" w14:textId="77777777" w:rsidR="00732ADB" w:rsidRDefault="00732ADB">
            <w:pPr>
              <w:spacing w:before="120" w:after="120"/>
              <w:jc w:val="right"/>
              <w:rPr>
                <w:rFonts w:ascii="Arial" w:hAnsi="Arial" w:cs="Arial"/>
                <w:iCs/>
                <w:sz w:val="18"/>
              </w:rPr>
            </w:pPr>
            <w:r>
              <w:rPr>
                <w:rFonts w:ascii="Arial" w:hAnsi="Arial" w:cs="Arial"/>
                <w:iCs/>
                <w:sz w:val="18"/>
              </w:rPr>
              <w:t>$11.00</w:t>
            </w:r>
          </w:p>
        </w:tc>
        <w:tc>
          <w:tcPr>
            <w:tcW w:w="1418" w:type="dxa"/>
            <w:tcBorders>
              <w:top w:val="single" w:sz="4" w:space="0" w:color="auto"/>
              <w:bottom w:val="single" w:sz="4" w:space="0" w:color="auto"/>
              <w:right w:val="single" w:sz="6" w:space="0" w:color="auto"/>
            </w:tcBorders>
          </w:tcPr>
          <w:p w14:paraId="63B40677" w14:textId="77777777" w:rsidR="00732ADB" w:rsidRDefault="00732ADB">
            <w:pPr>
              <w:spacing w:before="120" w:after="120"/>
              <w:jc w:val="right"/>
              <w:rPr>
                <w:rFonts w:ascii="Arial" w:hAnsi="Arial" w:cs="Arial"/>
                <w:b/>
                <w:bCs/>
                <w:iCs/>
                <w:sz w:val="18"/>
              </w:rPr>
            </w:pPr>
            <w:r>
              <w:rPr>
                <w:rFonts w:ascii="Arial" w:hAnsi="Arial" w:cs="Arial"/>
                <w:b/>
                <w:bCs/>
                <w:iCs/>
                <w:snapToGrid w:val="0"/>
                <w:color w:val="000000"/>
                <w:sz w:val="18"/>
              </w:rPr>
              <w:t>$12.10</w:t>
            </w:r>
          </w:p>
        </w:tc>
      </w:tr>
      <w:tr w:rsidR="00732ADB" w14:paraId="4A26F56F" w14:textId="77777777">
        <w:trPr>
          <w:cantSplit/>
        </w:trPr>
        <w:tc>
          <w:tcPr>
            <w:tcW w:w="3402" w:type="dxa"/>
            <w:tcBorders>
              <w:top w:val="single" w:sz="4" w:space="0" w:color="auto"/>
              <w:left w:val="single" w:sz="6" w:space="0" w:color="auto"/>
              <w:bottom w:val="single" w:sz="6" w:space="0" w:color="auto"/>
              <w:right w:val="single" w:sz="6" w:space="0" w:color="auto"/>
            </w:tcBorders>
          </w:tcPr>
          <w:p w14:paraId="31DB4056" w14:textId="77777777" w:rsidR="00732ADB" w:rsidRDefault="00732ADB">
            <w:pPr>
              <w:spacing w:before="120" w:after="120"/>
              <w:rPr>
                <w:rFonts w:ascii="Arial" w:hAnsi="Arial" w:cs="Arial"/>
                <w:iCs/>
                <w:sz w:val="18"/>
              </w:rPr>
            </w:pPr>
            <w:r>
              <w:rPr>
                <w:rFonts w:ascii="Arial" w:hAnsi="Arial" w:cs="Arial"/>
                <w:iCs/>
                <w:sz w:val="18"/>
              </w:rPr>
              <w:lastRenderedPageBreak/>
              <w:t>Five or more subscriber number changes (same billing address)</w:t>
            </w:r>
          </w:p>
        </w:tc>
        <w:tc>
          <w:tcPr>
            <w:tcW w:w="1418" w:type="dxa"/>
            <w:tcBorders>
              <w:top w:val="single" w:sz="4" w:space="0" w:color="auto"/>
              <w:bottom w:val="single" w:sz="6" w:space="0" w:color="auto"/>
              <w:right w:val="single" w:sz="6" w:space="0" w:color="auto"/>
            </w:tcBorders>
          </w:tcPr>
          <w:p w14:paraId="433FF211" w14:textId="77777777" w:rsidR="00732ADB" w:rsidRDefault="00732ADB">
            <w:pPr>
              <w:spacing w:before="120" w:after="120"/>
              <w:jc w:val="right"/>
              <w:rPr>
                <w:rFonts w:ascii="Arial" w:hAnsi="Arial" w:cs="Arial"/>
                <w:iCs/>
                <w:sz w:val="18"/>
              </w:rPr>
            </w:pPr>
            <w:r>
              <w:rPr>
                <w:rFonts w:ascii="Arial" w:hAnsi="Arial" w:cs="Arial"/>
                <w:iCs/>
                <w:sz w:val="18"/>
              </w:rPr>
              <w:t>$55.00</w:t>
            </w:r>
          </w:p>
        </w:tc>
        <w:tc>
          <w:tcPr>
            <w:tcW w:w="1418" w:type="dxa"/>
            <w:tcBorders>
              <w:top w:val="single" w:sz="4" w:space="0" w:color="auto"/>
              <w:bottom w:val="single" w:sz="6" w:space="0" w:color="auto"/>
              <w:right w:val="single" w:sz="6" w:space="0" w:color="auto"/>
            </w:tcBorders>
          </w:tcPr>
          <w:p w14:paraId="07365351" w14:textId="77777777" w:rsidR="00732ADB" w:rsidRDefault="00732ADB">
            <w:pPr>
              <w:spacing w:before="120" w:after="120"/>
              <w:jc w:val="right"/>
              <w:rPr>
                <w:rFonts w:ascii="Arial" w:hAnsi="Arial" w:cs="Arial"/>
                <w:b/>
                <w:bCs/>
                <w:iCs/>
                <w:sz w:val="18"/>
              </w:rPr>
            </w:pPr>
            <w:r>
              <w:rPr>
                <w:rFonts w:ascii="Arial" w:hAnsi="Arial" w:cs="Arial"/>
                <w:b/>
                <w:bCs/>
                <w:iCs/>
                <w:snapToGrid w:val="0"/>
                <w:color w:val="000000"/>
                <w:sz w:val="18"/>
              </w:rPr>
              <w:t>$60.50</w:t>
            </w:r>
          </w:p>
        </w:tc>
      </w:tr>
    </w:tbl>
    <w:p w14:paraId="53A28734" w14:textId="77777777" w:rsidR="00732ADB" w:rsidRDefault="00732ADB">
      <w:pPr>
        <w:pStyle w:val="TableData"/>
      </w:pPr>
    </w:p>
    <w:p w14:paraId="1D29B49A" w14:textId="77777777" w:rsidR="00732ADB" w:rsidRDefault="00732ADB">
      <w:pPr>
        <w:pStyle w:val="Heading1"/>
      </w:pPr>
      <w:bookmarkStart w:id="91" w:name="_Toc74821852"/>
      <w:bookmarkStart w:id="92" w:name="_Toc256000021"/>
      <w:bookmarkStart w:id="93" w:name="_Toc256000052"/>
      <w:bookmarkStart w:id="94" w:name="_Toc157514657"/>
      <w:r>
        <w:t>Value Added Service Charges</w:t>
      </w:r>
      <w:bookmarkEnd w:id="91"/>
      <w:bookmarkEnd w:id="92"/>
      <w:bookmarkEnd w:id="93"/>
      <w:bookmarkEnd w:id="94"/>
    </w:p>
    <w:p w14:paraId="64024233" w14:textId="77777777" w:rsidR="00732ADB" w:rsidRDefault="00732ADB">
      <w:pPr>
        <w:pStyle w:val="Indent1"/>
      </w:pPr>
      <w:bookmarkStart w:id="95" w:name="_Toc74821853"/>
      <w:bookmarkStart w:id="96" w:name="_Toc256000022"/>
      <w:bookmarkStart w:id="97" w:name="_Toc256000053"/>
      <w:bookmarkStart w:id="98" w:name="_Toc157514658"/>
      <w:r>
        <w:t>Group call facility charge</w:t>
      </w:r>
      <w:bookmarkEnd w:id="95"/>
      <w:bookmarkEnd w:id="96"/>
      <w:bookmarkEnd w:id="97"/>
      <w:bookmarkEnd w:id="98"/>
    </w:p>
    <w:p w14:paraId="45B27897" w14:textId="77777777" w:rsidR="00732ADB" w:rsidRDefault="00732ADB">
      <w:pPr>
        <w:pStyle w:val="Heading2"/>
      </w:pPr>
      <w:r>
        <w:t>If you select the group call facility for a particular mobile, we charge you the following monthly charges</w:t>
      </w:r>
      <w:r w:rsidRPr="008C29E2">
        <w:rPr>
          <w:iCs/>
        </w:rPr>
        <w:t xml:space="preserve"> </w:t>
      </w:r>
      <w:r>
        <w:rPr>
          <w:iCs/>
        </w:rPr>
        <w:t>(or such other monthly charges as agreed between us)</w:t>
      </w:r>
      <w:r>
        <w:t>:</w:t>
      </w:r>
    </w:p>
    <w:tbl>
      <w:tblPr>
        <w:tblW w:w="6237" w:type="dxa"/>
        <w:tblInd w:w="817" w:type="dxa"/>
        <w:tblLayout w:type="fixed"/>
        <w:tblLook w:val="0000" w:firstRow="0" w:lastRow="0" w:firstColumn="0" w:lastColumn="0" w:noHBand="0" w:noVBand="0"/>
      </w:tblPr>
      <w:tblGrid>
        <w:gridCol w:w="3401"/>
        <w:gridCol w:w="1418"/>
        <w:gridCol w:w="1418"/>
      </w:tblGrid>
      <w:tr w:rsidR="00732ADB" w14:paraId="7418EB8B" w14:textId="77777777">
        <w:trPr>
          <w:cantSplit/>
          <w:tblHeader/>
        </w:trPr>
        <w:tc>
          <w:tcPr>
            <w:tcW w:w="3401" w:type="dxa"/>
            <w:tcBorders>
              <w:top w:val="single" w:sz="6" w:space="0" w:color="auto"/>
              <w:left w:val="single" w:sz="6" w:space="0" w:color="auto"/>
              <w:bottom w:val="single" w:sz="6" w:space="0" w:color="auto"/>
              <w:right w:val="single" w:sz="6" w:space="0" w:color="auto"/>
            </w:tcBorders>
          </w:tcPr>
          <w:p w14:paraId="6AC91F6E" w14:textId="77777777" w:rsidR="00732ADB" w:rsidRDefault="00732ADB">
            <w:pPr>
              <w:keepNext/>
              <w:spacing w:before="120" w:after="120"/>
              <w:rPr>
                <w:rFonts w:ascii="Arial" w:hAnsi="Arial" w:cs="Arial"/>
                <w:iCs/>
                <w:sz w:val="18"/>
              </w:rPr>
            </w:pPr>
            <w:r>
              <w:rPr>
                <w:rFonts w:ascii="Arial" w:hAnsi="Arial" w:cs="Arial"/>
                <w:b/>
                <w:bCs/>
                <w:sz w:val="18"/>
              </w:rPr>
              <w:t>Group call facility</w:t>
            </w:r>
          </w:p>
        </w:tc>
        <w:tc>
          <w:tcPr>
            <w:tcW w:w="1418" w:type="dxa"/>
            <w:tcBorders>
              <w:top w:val="single" w:sz="6" w:space="0" w:color="auto"/>
              <w:bottom w:val="single" w:sz="6" w:space="0" w:color="auto"/>
              <w:right w:val="single" w:sz="6" w:space="0" w:color="auto"/>
            </w:tcBorders>
          </w:tcPr>
          <w:p w14:paraId="40C7B25A" w14:textId="77777777" w:rsidR="00732ADB" w:rsidRDefault="00732ADB">
            <w:pPr>
              <w:keepNext/>
              <w:spacing w:before="120" w:after="120"/>
              <w:rPr>
                <w:rFonts w:ascii="Arial" w:hAnsi="Arial" w:cs="Arial"/>
                <w:b/>
                <w:iCs/>
                <w:sz w:val="18"/>
              </w:rPr>
            </w:pPr>
            <w:r>
              <w:rPr>
                <w:rFonts w:ascii="Arial" w:hAnsi="Arial" w:cs="Arial"/>
                <w:b/>
                <w:iCs/>
                <w:sz w:val="18"/>
              </w:rPr>
              <w:t>GST excl.</w:t>
            </w:r>
          </w:p>
        </w:tc>
        <w:tc>
          <w:tcPr>
            <w:tcW w:w="1418" w:type="dxa"/>
            <w:tcBorders>
              <w:top w:val="single" w:sz="6" w:space="0" w:color="auto"/>
              <w:bottom w:val="single" w:sz="6" w:space="0" w:color="auto"/>
              <w:right w:val="single" w:sz="6" w:space="0" w:color="auto"/>
            </w:tcBorders>
          </w:tcPr>
          <w:p w14:paraId="4811F60B" w14:textId="77777777" w:rsidR="00732ADB" w:rsidRDefault="00732ADB">
            <w:pPr>
              <w:keepNext/>
              <w:spacing w:before="120" w:after="120"/>
              <w:rPr>
                <w:rFonts w:ascii="Arial" w:hAnsi="Arial" w:cs="Arial"/>
                <w:b/>
                <w:iCs/>
                <w:sz w:val="18"/>
              </w:rPr>
            </w:pPr>
            <w:r>
              <w:rPr>
                <w:rFonts w:ascii="Arial" w:hAnsi="Arial" w:cs="Arial"/>
                <w:b/>
                <w:iCs/>
                <w:sz w:val="18"/>
              </w:rPr>
              <w:t>GST incl.</w:t>
            </w:r>
          </w:p>
        </w:tc>
      </w:tr>
      <w:tr w:rsidR="00732ADB" w14:paraId="4AE5C2B2" w14:textId="77777777">
        <w:trPr>
          <w:cantSplit/>
        </w:trPr>
        <w:tc>
          <w:tcPr>
            <w:tcW w:w="3401" w:type="dxa"/>
            <w:tcBorders>
              <w:top w:val="single" w:sz="6" w:space="0" w:color="auto"/>
              <w:left w:val="single" w:sz="6" w:space="0" w:color="auto"/>
              <w:bottom w:val="single" w:sz="4" w:space="0" w:color="auto"/>
              <w:right w:val="single" w:sz="6" w:space="0" w:color="auto"/>
            </w:tcBorders>
          </w:tcPr>
          <w:p w14:paraId="7B1134BE" w14:textId="77777777" w:rsidR="00732ADB" w:rsidRDefault="00732ADB">
            <w:pPr>
              <w:spacing w:before="120" w:after="120"/>
              <w:rPr>
                <w:rFonts w:ascii="Arial" w:hAnsi="Arial" w:cs="Arial"/>
                <w:iCs/>
                <w:sz w:val="18"/>
              </w:rPr>
            </w:pPr>
            <w:r>
              <w:rPr>
                <w:rFonts w:ascii="Arial" w:hAnsi="Arial" w:cs="Arial"/>
                <w:iCs/>
                <w:sz w:val="18"/>
              </w:rPr>
              <w:t>Group call access charge (per month per mobile)</w:t>
            </w:r>
          </w:p>
        </w:tc>
        <w:tc>
          <w:tcPr>
            <w:tcW w:w="1418" w:type="dxa"/>
            <w:tcBorders>
              <w:top w:val="single" w:sz="6" w:space="0" w:color="auto"/>
              <w:bottom w:val="single" w:sz="4" w:space="0" w:color="auto"/>
              <w:right w:val="single" w:sz="6" w:space="0" w:color="auto"/>
            </w:tcBorders>
          </w:tcPr>
          <w:p w14:paraId="5E2169F6" w14:textId="77777777" w:rsidR="00732ADB" w:rsidRDefault="00732ADB">
            <w:pPr>
              <w:spacing w:before="120" w:after="120"/>
              <w:jc w:val="right"/>
              <w:rPr>
                <w:rFonts w:ascii="Arial" w:hAnsi="Arial" w:cs="Arial"/>
                <w:b/>
                <w:iCs/>
                <w:sz w:val="18"/>
              </w:rPr>
            </w:pPr>
          </w:p>
        </w:tc>
        <w:tc>
          <w:tcPr>
            <w:tcW w:w="1418" w:type="dxa"/>
            <w:tcBorders>
              <w:top w:val="single" w:sz="6" w:space="0" w:color="auto"/>
              <w:bottom w:val="single" w:sz="4" w:space="0" w:color="auto"/>
              <w:right w:val="single" w:sz="6" w:space="0" w:color="auto"/>
            </w:tcBorders>
          </w:tcPr>
          <w:p w14:paraId="42EAF5D5" w14:textId="77777777" w:rsidR="00732ADB" w:rsidRDefault="00732ADB">
            <w:pPr>
              <w:spacing w:before="120" w:after="120"/>
              <w:jc w:val="right"/>
              <w:rPr>
                <w:rFonts w:ascii="Arial" w:hAnsi="Arial" w:cs="Arial"/>
                <w:b/>
                <w:iCs/>
                <w:sz w:val="18"/>
              </w:rPr>
            </w:pPr>
          </w:p>
        </w:tc>
      </w:tr>
      <w:tr w:rsidR="00732ADB" w14:paraId="2429DFD1" w14:textId="77777777">
        <w:trPr>
          <w:cantSplit/>
        </w:trPr>
        <w:tc>
          <w:tcPr>
            <w:tcW w:w="3401" w:type="dxa"/>
            <w:tcBorders>
              <w:top w:val="single" w:sz="4" w:space="0" w:color="auto"/>
              <w:left w:val="single" w:sz="6" w:space="0" w:color="auto"/>
              <w:bottom w:val="single" w:sz="4" w:space="0" w:color="auto"/>
              <w:right w:val="single" w:sz="6" w:space="0" w:color="auto"/>
            </w:tcBorders>
          </w:tcPr>
          <w:p w14:paraId="6B6B0A17" w14:textId="77777777" w:rsidR="00732ADB" w:rsidRDefault="00732ADB">
            <w:pPr>
              <w:spacing w:before="120" w:after="120"/>
              <w:rPr>
                <w:rFonts w:ascii="Arial" w:hAnsi="Arial" w:cs="Arial"/>
                <w:iCs/>
                <w:sz w:val="18"/>
              </w:rPr>
            </w:pPr>
            <w:r>
              <w:rPr>
                <w:rFonts w:ascii="Arial" w:hAnsi="Arial" w:cs="Arial"/>
                <w:iCs/>
                <w:sz w:val="18"/>
              </w:rPr>
              <w:t>Single site</w:t>
            </w:r>
          </w:p>
        </w:tc>
        <w:tc>
          <w:tcPr>
            <w:tcW w:w="1418" w:type="dxa"/>
            <w:tcBorders>
              <w:top w:val="single" w:sz="4" w:space="0" w:color="auto"/>
              <w:bottom w:val="single" w:sz="4" w:space="0" w:color="auto"/>
              <w:right w:val="single" w:sz="6" w:space="0" w:color="auto"/>
            </w:tcBorders>
          </w:tcPr>
          <w:p w14:paraId="046F15FC" w14:textId="77777777" w:rsidR="00732ADB" w:rsidRDefault="00732ADB">
            <w:pPr>
              <w:spacing w:before="120" w:after="120"/>
              <w:jc w:val="right"/>
              <w:rPr>
                <w:rFonts w:ascii="Arial" w:hAnsi="Arial" w:cs="Arial"/>
                <w:bCs/>
                <w:iCs/>
                <w:sz w:val="18"/>
              </w:rPr>
            </w:pPr>
            <w:r>
              <w:rPr>
                <w:rFonts w:ascii="Arial" w:hAnsi="Arial" w:cs="Arial"/>
                <w:bCs/>
                <w:iCs/>
                <w:sz w:val="18"/>
              </w:rPr>
              <w:t>Nil</w:t>
            </w:r>
          </w:p>
        </w:tc>
        <w:tc>
          <w:tcPr>
            <w:tcW w:w="1418" w:type="dxa"/>
            <w:tcBorders>
              <w:top w:val="single" w:sz="4" w:space="0" w:color="auto"/>
              <w:bottom w:val="single" w:sz="4" w:space="0" w:color="auto"/>
              <w:right w:val="single" w:sz="6" w:space="0" w:color="auto"/>
            </w:tcBorders>
          </w:tcPr>
          <w:p w14:paraId="34AB2151" w14:textId="77777777" w:rsidR="00732ADB" w:rsidRDefault="00732ADB">
            <w:pPr>
              <w:spacing w:before="120" w:after="120"/>
              <w:jc w:val="right"/>
              <w:rPr>
                <w:rFonts w:ascii="Arial" w:hAnsi="Arial" w:cs="Arial"/>
                <w:b/>
                <w:iCs/>
                <w:sz w:val="18"/>
              </w:rPr>
            </w:pPr>
            <w:r>
              <w:rPr>
                <w:rFonts w:ascii="Arial" w:hAnsi="Arial" w:cs="Arial"/>
                <w:b/>
                <w:iCs/>
                <w:sz w:val="18"/>
              </w:rPr>
              <w:t>Nil</w:t>
            </w:r>
          </w:p>
        </w:tc>
      </w:tr>
      <w:tr w:rsidR="00732ADB" w14:paraId="310202F6" w14:textId="77777777">
        <w:trPr>
          <w:cantSplit/>
        </w:trPr>
        <w:tc>
          <w:tcPr>
            <w:tcW w:w="3401" w:type="dxa"/>
            <w:tcBorders>
              <w:top w:val="single" w:sz="4" w:space="0" w:color="auto"/>
              <w:left w:val="single" w:sz="6" w:space="0" w:color="auto"/>
              <w:bottom w:val="single" w:sz="4" w:space="0" w:color="auto"/>
              <w:right w:val="single" w:sz="6" w:space="0" w:color="auto"/>
            </w:tcBorders>
          </w:tcPr>
          <w:p w14:paraId="757C2206" w14:textId="77777777" w:rsidR="00732ADB" w:rsidRDefault="00732ADB">
            <w:pPr>
              <w:spacing w:before="120" w:after="120"/>
              <w:rPr>
                <w:rFonts w:ascii="Arial" w:hAnsi="Arial" w:cs="Arial"/>
                <w:iCs/>
                <w:sz w:val="18"/>
              </w:rPr>
            </w:pPr>
            <w:r>
              <w:rPr>
                <w:rFonts w:ascii="Arial" w:hAnsi="Arial" w:cs="Arial"/>
                <w:iCs/>
                <w:sz w:val="18"/>
              </w:rPr>
              <w:t>Any two to five sites</w:t>
            </w:r>
          </w:p>
        </w:tc>
        <w:tc>
          <w:tcPr>
            <w:tcW w:w="1418" w:type="dxa"/>
            <w:tcBorders>
              <w:top w:val="single" w:sz="4" w:space="0" w:color="auto"/>
              <w:bottom w:val="single" w:sz="4" w:space="0" w:color="auto"/>
              <w:right w:val="single" w:sz="6" w:space="0" w:color="auto"/>
            </w:tcBorders>
          </w:tcPr>
          <w:p w14:paraId="36323CDC" w14:textId="77777777" w:rsidR="00732ADB" w:rsidRDefault="00732ADB">
            <w:pPr>
              <w:spacing w:before="120" w:after="120"/>
              <w:jc w:val="right"/>
              <w:rPr>
                <w:rFonts w:ascii="Arial" w:hAnsi="Arial" w:cs="Arial"/>
                <w:bCs/>
                <w:iCs/>
                <w:sz w:val="18"/>
              </w:rPr>
            </w:pPr>
            <w:r>
              <w:rPr>
                <w:rFonts w:ascii="Arial" w:hAnsi="Arial" w:cs="Arial"/>
                <w:bCs/>
                <w:iCs/>
                <w:sz w:val="18"/>
              </w:rPr>
              <w:t>$11.00</w:t>
            </w:r>
          </w:p>
        </w:tc>
        <w:tc>
          <w:tcPr>
            <w:tcW w:w="1418" w:type="dxa"/>
            <w:tcBorders>
              <w:top w:val="single" w:sz="4" w:space="0" w:color="auto"/>
              <w:bottom w:val="single" w:sz="4" w:space="0" w:color="auto"/>
              <w:right w:val="single" w:sz="6" w:space="0" w:color="auto"/>
            </w:tcBorders>
          </w:tcPr>
          <w:p w14:paraId="4055A75A" w14:textId="77777777" w:rsidR="00732ADB" w:rsidRDefault="00732ADB">
            <w:pPr>
              <w:spacing w:before="120" w:after="120"/>
              <w:jc w:val="right"/>
              <w:rPr>
                <w:rFonts w:ascii="Arial" w:hAnsi="Arial" w:cs="Arial"/>
                <w:b/>
                <w:iCs/>
                <w:sz w:val="18"/>
              </w:rPr>
            </w:pPr>
            <w:r>
              <w:rPr>
                <w:rFonts w:ascii="Arial" w:hAnsi="Arial" w:cs="Arial"/>
                <w:b/>
                <w:iCs/>
                <w:snapToGrid w:val="0"/>
                <w:color w:val="000000"/>
                <w:sz w:val="18"/>
              </w:rPr>
              <w:t>$12.10</w:t>
            </w:r>
          </w:p>
        </w:tc>
      </w:tr>
    </w:tbl>
    <w:p w14:paraId="353853FC" w14:textId="77777777" w:rsidR="00732ADB" w:rsidRDefault="00732ADB">
      <w:pPr>
        <w:pStyle w:val="TableData"/>
      </w:pPr>
    </w:p>
    <w:p w14:paraId="4CFAC25D" w14:textId="77777777" w:rsidR="00732ADB" w:rsidRDefault="00732ADB">
      <w:pPr>
        <w:pStyle w:val="Indent1"/>
      </w:pPr>
      <w:bookmarkStart w:id="99" w:name="_Toc74821854"/>
      <w:bookmarkStart w:id="100" w:name="_Toc256000023"/>
      <w:bookmarkStart w:id="101" w:name="_Toc256000054"/>
      <w:bookmarkStart w:id="102" w:name="_Toc157514659"/>
      <w:r>
        <w:t>Fixed network access facility charge</w:t>
      </w:r>
      <w:bookmarkEnd w:id="99"/>
      <w:bookmarkEnd w:id="100"/>
      <w:bookmarkEnd w:id="101"/>
      <w:bookmarkEnd w:id="102"/>
    </w:p>
    <w:p w14:paraId="4AFF3F21" w14:textId="77777777" w:rsidR="00732ADB" w:rsidRDefault="00732ADB">
      <w:pPr>
        <w:pStyle w:val="Heading2"/>
      </w:pPr>
      <w:r>
        <w:t>If you select the fixed network access facility for a particular mobile, we charge you the following monthly charges (</w:t>
      </w:r>
      <w:r>
        <w:rPr>
          <w:iCs/>
        </w:rPr>
        <w:t>or such other monthly charges as agreed between us)</w:t>
      </w:r>
      <w:r>
        <w:t>:</w:t>
      </w:r>
    </w:p>
    <w:tbl>
      <w:tblPr>
        <w:tblW w:w="6237" w:type="dxa"/>
        <w:tblInd w:w="817" w:type="dxa"/>
        <w:tblLayout w:type="fixed"/>
        <w:tblLook w:val="0000" w:firstRow="0" w:lastRow="0" w:firstColumn="0" w:lastColumn="0" w:noHBand="0" w:noVBand="0"/>
      </w:tblPr>
      <w:tblGrid>
        <w:gridCol w:w="3401"/>
        <w:gridCol w:w="1418"/>
        <w:gridCol w:w="1418"/>
      </w:tblGrid>
      <w:tr w:rsidR="00732ADB" w14:paraId="453D6A2F" w14:textId="77777777">
        <w:trPr>
          <w:cantSplit/>
          <w:tblHeader/>
        </w:trPr>
        <w:tc>
          <w:tcPr>
            <w:tcW w:w="3402" w:type="dxa"/>
            <w:tcBorders>
              <w:top w:val="single" w:sz="6" w:space="0" w:color="auto"/>
              <w:left w:val="single" w:sz="6" w:space="0" w:color="auto"/>
              <w:bottom w:val="single" w:sz="6" w:space="0" w:color="auto"/>
              <w:right w:val="single" w:sz="6" w:space="0" w:color="auto"/>
            </w:tcBorders>
          </w:tcPr>
          <w:p w14:paraId="3D25AA8F" w14:textId="77777777" w:rsidR="00732ADB" w:rsidRDefault="00732ADB">
            <w:pPr>
              <w:keepNext/>
              <w:spacing w:before="120" w:after="120"/>
              <w:rPr>
                <w:rFonts w:ascii="Arial" w:hAnsi="Arial" w:cs="Arial"/>
                <w:b/>
                <w:sz w:val="18"/>
              </w:rPr>
            </w:pPr>
            <w:r>
              <w:rPr>
                <w:rFonts w:ascii="Arial" w:hAnsi="Arial" w:cs="Arial"/>
                <w:b/>
                <w:bCs/>
                <w:sz w:val="18"/>
              </w:rPr>
              <w:t>Fixed network access</w:t>
            </w:r>
          </w:p>
        </w:tc>
        <w:tc>
          <w:tcPr>
            <w:tcW w:w="1418" w:type="dxa"/>
            <w:tcBorders>
              <w:top w:val="single" w:sz="6" w:space="0" w:color="auto"/>
              <w:bottom w:val="single" w:sz="6" w:space="0" w:color="auto"/>
              <w:right w:val="single" w:sz="6" w:space="0" w:color="auto"/>
            </w:tcBorders>
          </w:tcPr>
          <w:p w14:paraId="690CF40F" w14:textId="77777777" w:rsidR="00732ADB" w:rsidRDefault="00732ADB">
            <w:pPr>
              <w:pStyle w:val="TableHead"/>
              <w:keepNext/>
              <w:spacing w:before="120" w:after="120"/>
              <w:rPr>
                <w:rFonts w:cs="Arial"/>
              </w:rPr>
            </w:pPr>
            <w:r>
              <w:rPr>
                <w:rFonts w:cs="Arial"/>
              </w:rPr>
              <w:t>GST excl.</w:t>
            </w:r>
          </w:p>
        </w:tc>
        <w:tc>
          <w:tcPr>
            <w:tcW w:w="1418" w:type="dxa"/>
            <w:tcBorders>
              <w:top w:val="single" w:sz="6" w:space="0" w:color="auto"/>
              <w:bottom w:val="single" w:sz="6" w:space="0" w:color="auto"/>
              <w:right w:val="single" w:sz="6" w:space="0" w:color="auto"/>
            </w:tcBorders>
          </w:tcPr>
          <w:p w14:paraId="30FBC18F" w14:textId="77777777" w:rsidR="00732ADB" w:rsidRDefault="00732ADB">
            <w:pPr>
              <w:keepNext/>
              <w:spacing w:before="120" w:after="120"/>
              <w:rPr>
                <w:rFonts w:ascii="Arial" w:hAnsi="Arial" w:cs="Arial"/>
                <w:b/>
                <w:sz w:val="18"/>
              </w:rPr>
            </w:pPr>
            <w:r>
              <w:rPr>
                <w:rFonts w:ascii="Arial" w:hAnsi="Arial" w:cs="Arial"/>
                <w:b/>
                <w:sz w:val="18"/>
              </w:rPr>
              <w:t>GST incl.</w:t>
            </w:r>
          </w:p>
        </w:tc>
      </w:tr>
      <w:tr w:rsidR="00732ADB" w14:paraId="267D702E" w14:textId="77777777">
        <w:trPr>
          <w:cantSplit/>
        </w:trPr>
        <w:tc>
          <w:tcPr>
            <w:tcW w:w="3402" w:type="dxa"/>
            <w:tcBorders>
              <w:left w:val="single" w:sz="6" w:space="0" w:color="auto"/>
              <w:bottom w:val="single" w:sz="6" w:space="0" w:color="auto"/>
              <w:right w:val="single" w:sz="6" w:space="0" w:color="auto"/>
            </w:tcBorders>
          </w:tcPr>
          <w:p w14:paraId="601F61BE" w14:textId="77777777" w:rsidR="00732ADB" w:rsidRDefault="00732ADB">
            <w:pPr>
              <w:spacing w:before="120" w:after="120"/>
              <w:rPr>
                <w:rFonts w:ascii="Arial" w:hAnsi="Arial" w:cs="Arial"/>
                <w:iCs/>
                <w:sz w:val="18"/>
              </w:rPr>
            </w:pPr>
            <w:r>
              <w:rPr>
                <w:rFonts w:ascii="Arial" w:hAnsi="Arial" w:cs="Arial"/>
                <w:iCs/>
                <w:sz w:val="18"/>
              </w:rPr>
              <w:t>Fixed network access charge (per month per mobile)</w:t>
            </w:r>
          </w:p>
        </w:tc>
        <w:tc>
          <w:tcPr>
            <w:tcW w:w="1418" w:type="dxa"/>
            <w:tcBorders>
              <w:top w:val="single" w:sz="6" w:space="0" w:color="auto"/>
              <w:bottom w:val="single" w:sz="6" w:space="0" w:color="auto"/>
              <w:right w:val="single" w:sz="6" w:space="0" w:color="auto"/>
            </w:tcBorders>
          </w:tcPr>
          <w:p w14:paraId="2EF5999B" w14:textId="77777777" w:rsidR="00732ADB" w:rsidRDefault="00732ADB">
            <w:pPr>
              <w:spacing w:before="120" w:after="120"/>
              <w:jc w:val="right"/>
              <w:rPr>
                <w:rFonts w:ascii="Arial" w:hAnsi="Arial" w:cs="Arial"/>
                <w:bCs/>
                <w:iCs/>
                <w:sz w:val="18"/>
              </w:rPr>
            </w:pPr>
            <w:r>
              <w:rPr>
                <w:rFonts w:ascii="Arial" w:hAnsi="Arial" w:cs="Arial"/>
                <w:bCs/>
                <w:iCs/>
                <w:sz w:val="18"/>
              </w:rPr>
              <w:t xml:space="preserve">$11.00 </w:t>
            </w:r>
          </w:p>
        </w:tc>
        <w:tc>
          <w:tcPr>
            <w:tcW w:w="1418" w:type="dxa"/>
            <w:tcBorders>
              <w:top w:val="single" w:sz="6" w:space="0" w:color="auto"/>
              <w:bottom w:val="single" w:sz="6" w:space="0" w:color="auto"/>
              <w:right w:val="single" w:sz="6" w:space="0" w:color="auto"/>
            </w:tcBorders>
          </w:tcPr>
          <w:p w14:paraId="1F129226" w14:textId="77777777" w:rsidR="00732ADB" w:rsidRDefault="00732ADB">
            <w:pPr>
              <w:spacing w:before="120" w:after="120"/>
              <w:jc w:val="right"/>
              <w:rPr>
                <w:rFonts w:ascii="Arial" w:hAnsi="Arial" w:cs="Arial"/>
                <w:b/>
                <w:iCs/>
                <w:sz w:val="18"/>
              </w:rPr>
            </w:pPr>
            <w:r>
              <w:rPr>
                <w:rFonts w:ascii="Arial" w:hAnsi="Arial" w:cs="Arial"/>
                <w:b/>
                <w:iCs/>
                <w:sz w:val="18"/>
              </w:rPr>
              <w:t>$12.10</w:t>
            </w:r>
          </w:p>
        </w:tc>
      </w:tr>
    </w:tbl>
    <w:p w14:paraId="35456D47" w14:textId="77777777" w:rsidR="00732ADB" w:rsidRDefault="00732ADB">
      <w:pPr>
        <w:pStyle w:val="TableData"/>
      </w:pPr>
    </w:p>
    <w:p w14:paraId="437E0B18" w14:textId="77777777" w:rsidR="00732ADB" w:rsidRDefault="00732ADB">
      <w:pPr>
        <w:pStyle w:val="Indent1"/>
      </w:pPr>
      <w:bookmarkStart w:id="103" w:name="_Toc74821855"/>
      <w:bookmarkStart w:id="104" w:name="_Toc256000024"/>
      <w:bookmarkStart w:id="105" w:name="_Toc256000055"/>
      <w:bookmarkStart w:id="106" w:name="_Toc157514660"/>
      <w:r>
        <w:t>Executive call priority access facility charge</w:t>
      </w:r>
      <w:bookmarkEnd w:id="103"/>
      <w:bookmarkEnd w:id="104"/>
      <w:bookmarkEnd w:id="105"/>
      <w:bookmarkEnd w:id="106"/>
    </w:p>
    <w:p w14:paraId="557C6A70" w14:textId="77777777" w:rsidR="00732ADB" w:rsidRDefault="00732ADB">
      <w:pPr>
        <w:pStyle w:val="Heading2"/>
      </w:pPr>
      <w:r>
        <w:t>If you select the executive call priority access facility for a particular mobile, we charge you the following monthly charges</w:t>
      </w:r>
      <w:r w:rsidRPr="00A130E1">
        <w:rPr>
          <w:iCs/>
        </w:rPr>
        <w:t xml:space="preserve"> </w:t>
      </w:r>
      <w:r>
        <w:rPr>
          <w:iCs/>
        </w:rPr>
        <w:t>(or such other monthly charges as agreed between us)</w:t>
      </w:r>
      <w:r>
        <w:t xml:space="preserve">.  </w:t>
      </w:r>
      <w:r>
        <w:rPr>
          <w:bCs w:val="0"/>
        </w:rPr>
        <w:t>Call priority</w:t>
      </w:r>
      <w:r>
        <w:t xml:space="preserve"> is a facility that lets a mobile user access our network and designated channels above the standard operational call access levels.</w:t>
      </w:r>
    </w:p>
    <w:tbl>
      <w:tblPr>
        <w:tblW w:w="6237" w:type="dxa"/>
        <w:tblInd w:w="817" w:type="dxa"/>
        <w:tblLayout w:type="fixed"/>
        <w:tblLook w:val="0000" w:firstRow="0" w:lastRow="0" w:firstColumn="0" w:lastColumn="0" w:noHBand="0" w:noVBand="0"/>
      </w:tblPr>
      <w:tblGrid>
        <w:gridCol w:w="3401"/>
        <w:gridCol w:w="1418"/>
        <w:gridCol w:w="1418"/>
      </w:tblGrid>
      <w:tr w:rsidR="00732ADB" w14:paraId="684DA176" w14:textId="77777777">
        <w:trPr>
          <w:cantSplit/>
          <w:tblHeader/>
        </w:trPr>
        <w:tc>
          <w:tcPr>
            <w:tcW w:w="3402" w:type="dxa"/>
            <w:tcBorders>
              <w:top w:val="single" w:sz="6" w:space="0" w:color="auto"/>
              <w:left w:val="single" w:sz="6" w:space="0" w:color="auto"/>
              <w:bottom w:val="single" w:sz="6" w:space="0" w:color="auto"/>
              <w:right w:val="single" w:sz="6" w:space="0" w:color="auto"/>
            </w:tcBorders>
          </w:tcPr>
          <w:p w14:paraId="210C38E9" w14:textId="77777777" w:rsidR="00732ADB" w:rsidRDefault="00732ADB">
            <w:pPr>
              <w:keepNext/>
              <w:spacing w:before="120" w:after="120"/>
              <w:rPr>
                <w:rFonts w:ascii="Arial" w:hAnsi="Arial" w:cs="Arial"/>
                <w:iCs/>
                <w:sz w:val="18"/>
              </w:rPr>
            </w:pPr>
            <w:r>
              <w:rPr>
                <w:rFonts w:ascii="Arial" w:hAnsi="Arial" w:cs="Arial"/>
                <w:b/>
                <w:bCs/>
                <w:iCs/>
                <w:sz w:val="18"/>
              </w:rPr>
              <w:t>Executive call priority</w:t>
            </w:r>
          </w:p>
        </w:tc>
        <w:tc>
          <w:tcPr>
            <w:tcW w:w="1418" w:type="dxa"/>
            <w:tcBorders>
              <w:top w:val="single" w:sz="6" w:space="0" w:color="auto"/>
              <w:bottom w:val="single" w:sz="6" w:space="0" w:color="auto"/>
              <w:right w:val="single" w:sz="6" w:space="0" w:color="auto"/>
            </w:tcBorders>
          </w:tcPr>
          <w:p w14:paraId="6CEFFD89" w14:textId="77777777" w:rsidR="00732ADB" w:rsidRDefault="00732ADB">
            <w:pPr>
              <w:keepNext/>
              <w:spacing w:before="120" w:after="120"/>
              <w:rPr>
                <w:rFonts w:ascii="Arial" w:hAnsi="Arial" w:cs="Arial"/>
                <w:b/>
                <w:iCs/>
                <w:sz w:val="18"/>
              </w:rPr>
            </w:pPr>
            <w:r>
              <w:rPr>
                <w:rFonts w:ascii="Arial" w:hAnsi="Arial" w:cs="Arial"/>
                <w:b/>
                <w:iCs/>
                <w:sz w:val="18"/>
              </w:rPr>
              <w:t>GST excl.</w:t>
            </w:r>
          </w:p>
        </w:tc>
        <w:tc>
          <w:tcPr>
            <w:tcW w:w="1418" w:type="dxa"/>
            <w:tcBorders>
              <w:top w:val="single" w:sz="6" w:space="0" w:color="auto"/>
              <w:bottom w:val="single" w:sz="6" w:space="0" w:color="auto"/>
              <w:right w:val="single" w:sz="6" w:space="0" w:color="auto"/>
            </w:tcBorders>
          </w:tcPr>
          <w:p w14:paraId="4DDE6821" w14:textId="77777777" w:rsidR="00732ADB" w:rsidRDefault="00732ADB">
            <w:pPr>
              <w:pStyle w:val="TableHead"/>
              <w:keepNext/>
              <w:spacing w:before="120" w:after="120"/>
              <w:rPr>
                <w:rFonts w:cs="Arial"/>
                <w:iCs/>
              </w:rPr>
            </w:pPr>
            <w:r>
              <w:rPr>
                <w:rFonts w:cs="Arial"/>
                <w:iCs/>
              </w:rPr>
              <w:t>GST incl.</w:t>
            </w:r>
          </w:p>
        </w:tc>
      </w:tr>
      <w:tr w:rsidR="00732ADB" w14:paraId="78FD67EE" w14:textId="77777777">
        <w:trPr>
          <w:cantSplit/>
        </w:trPr>
        <w:tc>
          <w:tcPr>
            <w:tcW w:w="3402" w:type="dxa"/>
            <w:tcBorders>
              <w:left w:val="single" w:sz="6" w:space="0" w:color="auto"/>
              <w:bottom w:val="single" w:sz="6" w:space="0" w:color="auto"/>
              <w:right w:val="single" w:sz="6" w:space="0" w:color="auto"/>
            </w:tcBorders>
          </w:tcPr>
          <w:p w14:paraId="05382627" w14:textId="77777777" w:rsidR="00732ADB" w:rsidRDefault="00732ADB">
            <w:pPr>
              <w:pStyle w:val="Index1"/>
              <w:spacing w:before="120" w:after="120"/>
              <w:rPr>
                <w:iCs/>
              </w:rPr>
            </w:pPr>
            <w:r>
              <w:rPr>
                <w:iCs/>
              </w:rPr>
              <w:t>Call priority access charge (per month per mobile)</w:t>
            </w:r>
          </w:p>
        </w:tc>
        <w:tc>
          <w:tcPr>
            <w:tcW w:w="1418" w:type="dxa"/>
            <w:tcBorders>
              <w:top w:val="single" w:sz="6" w:space="0" w:color="auto"/>
              <w:bottom w:val="single" w:sz="6" w:space="0" w:color="auto"/>
              <w:right w:val="single" w:sz="6" w:space="0" w:color="auto"/>
            </w:tcBorders>
          </w:tcPr>
          <w:p w14:paraId="561C6A6D" w14:textId="77777777" w:rsidR="00732ADB" w:rsidRDefault="00732ADB">
            <w:pPr>
              <w:spacing w:before="120" w:after="120"/>
              <w:jc w:val="right"/>
              <w:rPr>
                <w:rFonts w:ascii="Arial" w:hAnsi="Arial" w:cs="Arial"/>
                <w:iCs/>
                <w:sz w:val="18"/>
              </w:rPr>
            </w:pPr>
            <w:r>
              <w:rPr>
                <w:rFonts w:ascii="Arial" w:hAnsi="Arial" w:cs="Arial"/>
                <w:iCs/>
                <w:sz w:val="18"/>
              </w:rPr>
              <w:t>$11.00</w:t>
            </w:r>
          </w:p>
        </w:tc>
        <w:tc>
          <w:tcPr>
            <w:tcW w:w="1418" w:type="dxa"/>
            <w:tcBorders>
              <w:top w:val="single" w:sz="6" w:space="0" w:color="auto"/>
              <w:bottom w:val="single" w:sz="6" w:space="0" w:color="auto"/>
              <w:right w:val="single" w:sz="6" w:space="0" w:color="auto"/>
            </w:tcBorders>
          </w:tcPr>
          <w:p w14:paraId="1B2BC3A6" w14:textId="77777777" w:rsidR="00732ADB" w:rsidRDefault="00732ADB">
            <w:pPr>
              <w:spacing w:before="120" w:after="120"/>
              <w:jc w:val="right"/>
              <w:rPr>
                <w:rFonts w:ascii="Arial" w:hAnsi="Arial" w:cs="Arial"/>
                <w:b/>
                <w:bCs/>
                <w:iCs/>
                <w:sz w:val="18"/>
              </w:rPr>
            </w:pPr>
            <w:r>
              <w:rPr>
                <w:rFonts w:ascii="Arial" w:hAnsi="Arial" w:cs="Arial"/>
                <w:b/>
                <w:bCs/>
                <w:iCs/>
                <w:sz w:val="18"/>
              </w:rPr>
              <w:t>$12.10</w:t>
            </w:r>
          </w:p>
        </w:tc>
      </w:tr>
    </w:tbl>
    <w:p w14:paraId="2C89113E" w14:textId="77777777" w:rsidR="00732ADB" w:rsidRDefault="00732ADB">
      <w:pPr>
        <w:pStyle w:val="TableData"/>
      </w:pPr>
    </w:p>
    <w:p w14:paraId="21675410" w14:textId="77777777" w:rsidR="00732ADB" w:rsidRDefault="00732ADB">
      <w:pPr>
        <w:pStyle w:val="Indent1"/>
        <w:rPr>
          <w:iCs/>
        </w:rPr>
      </w:pPr>
      <w:bookmarkStart w:id="107" w:name="_Toc74821856"/>
      <w:bookmarkStart w:id="108" w:name="_Toc256000025"/>
      <w:bookmarkStart w:id="109" w:name="_Toc256000056"/>
      <w:bookmarkStart w:id="110" w:name="_Toc157514661"/>
      <w:r>
        <w:rPr>
          <w:iCs/>
        </w:rPr>
        <w:lastRenderedPageBreak/>
        <w:t>Fixed call charges</w:t>
      </w:r>
      <w:bookmarkEnd w:id="107"/>
      <w:bookmarkEnd w:id="108"/>
      <w:bookmarkEnd w:id="109"/>
      <w:bookmarkEnd w:id="110"/>
    </w:p>
    <w:p w14:paraId="1410A9CE" w14:textId="77777777" w:rsidR="00732ADB" w:rsidRDefault="00732ADB">
      <w:pPr>
        <w:pStyle w:val="Heading2"/>
        <w:rPr>
          <w:iCs/>
        </w:rPr>
      </w:pPr>
      <w:r>
        <w:rPr>
          <w:iCs/>
        </w:rPr>
        <w:t>We charge you the following call charges for calls using fixed access (or such other call charges as agreed between us):</w:t>
      </w:r>
    </w:p>
    <w:tbl>
      <w:tblPr>
        <w:tblW w:w="6237" w:type="dxa"/>
        <w:tblInd w:w="817" w:type="dxa"/>
        <w:tblLayout w:type="fixed"/>
        <w:tblLook w:val="0000" w:firstRow="0" w:lastRow="0" w:firstColumn="0" w:lastColumn="0" w:noHBand="0" w:noVBand="0"/>
      </w:tblPr>
      <w:tblGrid>
        <w:gridCol w:w="3401"/>
        <w:gridCol w:w="1418"/>
        <w:gridCol w:w="1418"/>
      </w:tblGrid>
      <w:tr w:rsidR="00732ADB" w14:paraId="4259FCBC" w14:textId="77777777">
        <w:trPr>
          <w:cantSplit/>
          <w:tblHeader/>
        </w:trPr>
        <w:tc>
          <w:tcPr>
            <w:tcW w:w="3402" w:type="dxa"/>
            <w:tcBorders>
              <w:top w:val="single" w:sz="6" w:space="0" w:color="auto"/>
              <w:left w:val="single" w:sz="6" w:space="0" w:color="auto"/>
              <w:bottom w:val="single" w:sz="6" w:space="0" w:color="auto"/>
              <w:right w:val="single" w:sz="6" w:space="0" w:color="auto"/>
            </w:tcBorders>
          </w:tcPr>
          <w:p w14:paraId="5E4EFBF5" w14:textId="77777777" w:rsidR="00732ADB" w:rsidRDefault="00732ADB">
            <w:pPr>
              <w:keepNext/>
              <w:spacing w:before="120" w:after="120"/>
              <w:rPr>
                <w:rFonts w:ascii="Arial" w:hAnsi="Arial" w:cs="Arial"/>
                <w:iCs/>
                <w:sz w:val="18"/>
              </w:rPr>
            </w:pPr>
            <w:r>
              <w:rPr>
                <w:rFonts w:ascii="Arial" w:hAnsi="Arial" w:cs="Arial"/>
                <w:b/>
                <w:bCs/>
                <w:iCs/>
                <w:sz w:val="18"/>
              </w:rPr>
              <w:t>Fixed access call charges</w:t>
            </w:r>
          </w:p>
        </w:tc>
        <w:tc>
          <w:tcPr>
            <w:tcW w:w="1418" w:type="dxa"/>
            <w:tcBorders>
              <w:top w:val="single" w:sz="6" w:space="0" w:color="auto"/>
              <w:bottom w:val="single" w:sz="6" w:space="0" w:color="auto"/>
              <w:right w:val="single" w:sz="6" w:space="0" w:color="auto"/>
            </w:tcBorders>
          </w:tcPr>
          <w:p w14:paraId="1724C1B8" w14:textId="77777777" w:rsidR="00732ADB" w:rsidRDefault="00732ADB">
            <w:pPr>
              <w:keepNext/>
              <w:spacing w:before="120" w:after="120"/>
              <w:rPr>
                <w:rFonts w:ascii="Arial" w:hAnsi="Arial" w:cs="Arial"/>
                <w:b/>
                <w:iCs/>
                <w:sz w:val="18"/>
              </w:rPr>
            </w:pPr>
            <w:r>
              <w:rPr>
                <w:rFonts w:ascii="Arial" w:hAnsi="Arial" w:cs="Arial"/>
                <w:b/>
                <w:iCs/>
                <w:sz w:val="18"/>
              </w:rPr>
              <w:t>GST excl.</w:t>
            </w:r>
          </w:p>
        </w:tc>
        <w:tc>
          <w:tcPr>
            <w:tcW w:w="1418" w:type="dxa"/>
            <w:tcBorders>
              <w:top w:val="single" w:sz="6" w:space="0" w:color="auto"/>
              <w:bottom w:val="single" w:sz="6" w:space="0" w:color="auto"/>
              <w:right w:val="single" w:sz="6" w:space="0" w:color="auto"/>
            </w:tcBorders>
          </w:tcPr>
          <w:p w14:paraId="78286FE8" w14:textId="77777777" w:rsidR="00732ADB" w:rsidRDefault="00732ADB">
            <w:pPr>
              <w:keepNext/>
              <w:spacing w:before="120" w:after="120"/>
              <w:rPr>
                <w:rFonts w:ascii="Arial" w:hAnsi="Arial" w:cs="Arial"/>
                <w:b/>
                <w:iCs/>
                <w:sz w:val="18"/>
              </w:rPr>
            </w:pPr>
            <w:r>
              <w:rPr>
                <w:rFonts w:ascii="Arial" w:hAnsi="Arial" w:cs="Arial"/>
                <w:b/>
                <w:iCs/>
                <w:sz w:val="18"/>
              </w:rPr>
              <w:t>GST incl.</w:t>
            </w:r>
          </w:p>
        </w:tc>
      </w:tr>
      <w:tr w:rsidR="00732ADB" w14:paraId="2120A89C" w14:textId="77777777">
        <w:trPr>
          <w:cantSplit/>
        </w:trPr>
        <w:tc>
          <w:tcPr>
            <w:tcW w:w="3402" w:type="dxa"/>
            <w:tcBorders>
              <w:top w:val="single" w:sz="6" w:space="0" w:color="auto"/>
              <w:left w:val="single" w:sz="6" w:space="0" w:color="auto"/>
              <w:bottom w:val="single" w:sz="6" w:space="0" w:color="auto"/>
              <w:right w:val="single" w:sz="6" w:space="0" w:color="auto"/>
            </w:tcBorders>
          </w:tcPr>
          <w:p w14:paraId="1141900B" w14:textId="77777777" w:rsidR="00732ADB" w:rsidRDefault="00732ADB">
            <w:pPr>
              <w:spacing w:before="120" w:after="120"/>
              <w:rPr>
                <w:rFonts w:ascii="Arial" w:hAnsi="Arial" w:cs="Arial"/>
                <w:iCs/>
                <w:sz w:val="18"/>
              </w:rPr>
            </w:pPr>
            <w:r>
              <w:rPr>
                <w:rFonts w:ascii="Arial" w:hAnsi="Arial" w:cs="Arial"/>
                <w:iCs/>
                <w:sz w:val="18"/>
              </w:rPr>
              <w:t>Local calls (per minute, charged on a per second basis</w:t>
            </w:r>
          </w:p>
        </w:tc>
        <w:tc>
          <w:tcPr>
            <w:tcW w:w="1418" w:type="dxa"/>
            <w:tcBorders>
              <w:top w:val="single" w:sz="6" w:space="0" w:color="auto"/>
              <w:bottom w:val="single" w:sz="6" w:space="0" w:color="auto"/>
              <w:right w:val="single" w:sz="6" w:space="0" w:color="auto"/>
            </w:tcBorders>
          </w:tcPr>
          <w:p w14:paraId="1B3F9E03" w14:textId="77777777" w:rsidR="00732ADB" w:rsidRDefault="00732ADB">
            <w:pPr>
              <w:spacing w:before="120" w:after="120"/>
              <w:jc w:val="right"/>
              <w:rPr>
                <w:rFonts w:ascii="Arial" w:hAnsi="Arial" w:cs="Arial"/>
                <w:iCs/>
                <w:sz w:val="18"/>
              </w:rPr>
            </w:pPr>
            <w:r>
              <w:rPr>
                <w:rFonts w:ascii="Arial" w:hAnsi="Arial" w:cs="Arial"/>
                <w:iCs/>
                <w:sz w:val="18"/>
              </w:rPr>
              <w:t>45</w:t>
            </w:r>
            <w:r>
              <w:rPr>
                <w:rFonts w:ascii="Arial" w:hAnsi="Arial" w:cs="Arial"/>
                <w:sz w:val="18"/>
              </w:rPr>
              <w:t>¢</w:t>
            </w:r>
          </w:p>
        </w:tc>
        <w:tc>
          <w:tcPr>
            <w:tcW w:w="1418" w:type="dxa"/>
            <w:tcBorders>
              <w:top w:val="single" w:sz="6" w:space="0" w:color="auto"/>
              <w:bottom w:val="single" w:sz="6" w:space="0" w:color="auto"/>
              <w:right w:val="single" w:sz="6" w:space="0" w:color="auto"/>
            </w:tcBorders>
          </w:tcPr>
          <w:p w14:paraId="729D8C6A" w14:textId="77777777" w:rsidR="00732ADB" w:rsidRDefault="00732ADB">
            <w:pPr>
              <w:spacing w:before="120" w:after="120"/>
              <w:jc w:val="right"/>
              <w:rPr>
                <w:rFonts w:ascii="Arial" w:hAnsi="Arial" w:cs="Arial"/>
                <w:b/>
                <w:bCs/>
                <w:iCs/>
                <w:sz w:val="18"/>
              </w:rPr>
            </w:pPr>
            <w:r>
              <w:rPr>
                <w:rFonts w:ascii="Arial" w:hAnsi="Arial" w:cs="Arial"/>
                <w:b/>
                <w:bCs/>
                <w:iCs/>
                <w:snapToGrid w:val="0"/>
                <w:color w:val="000000"/>
                <w:sz w:val="18"/>
              </w:rPr>
              <w:t>49.5</w:t>
            </w:r>
            <w:r>
              <w:rPr>
                <w:rFonts w:ascii="Arial" w:hAnsi="Arial" w:cs="Arial"/>
                <w:b/>
                <w:bCs/>
                <w:sz w:val="18"/>
              </w:rPr>
              <w:t>¢</w:t>
            </w:r>
          </w:p>
        </w:tc>
      </w:tr>
      <w:tr w:rsidR="00732ADB" w14:paraId="7738CD2B" w14:textId="77777777">
        <w:trPr>
          <w:cantSplit/>
        </w:trPr>
        <w:tc>
          <w:tcPr>
            <w:tcW w:w="3402" w:type="dxa"/>
            <w:tcBorders>
              <w:top w:val="single" w:sz="6" w:space="0" w:color="auto"/>
              <w:left w:val="single" w:sz="6" w:space="0" w:color="auto"/>
              <w:bottom w:val="single" w:sz="6" w:space="0" w:color="auto"/>
              <w:right w:val="single" w:sz="6" w:space="0" w:color="auto"/>
            </w:tcBorders>
          </w:tcPr>
          <w:p w14:paraId="7CF123F0" w14:textId="77777777" w:rsidR="00732ADB" w:rsidRDefault="00732ADB">
            <w:pPr>
              <w:spacing w:before="120" w:after="120"/>
              <w:rPr>
                <w:rFonts w:ascii="Arial" w:hAnsi="Arial" w:cs="Arial"/>
                <w:iCs/>
                <w:sz w:val="18"/>
              </w:rPr>
            </w:pPr>
            <w:r>
              <w:rPr>
                <w:rFonts w:ascii="Arial" w:hAnsi="Arial" w:cs="Arial"/>
                <w:iCs/>
                <w:sz w:val="18"/>
              </w:rPr>
              <w:t>STD calls (per minute, charged on a per second basis)</w:t>
            </w:r>
          </w:p>
        </w:tc>
        <w:tc>
          <w:tcPr>
            <w:tcW w:w="1418" w:type="dxa"/>
            <w:tcBorders>
              <w:top w:val="single" w:sz="6" w:space="0" w:color="auto"/>
              <w:bottom w:val="single" w:sz="6" w:space="0" w:color="auto"/>
              <w:right w:val="single" w:sz="6" w:space="0" w:color="auto"/>
            </w:tcBorders>
          </w:tcPr>
          <w:p w14:paraId="49FCA207" w14:textId="77777777" w:rsidR="00732ADB" w:rsidRDefault="00732ADB">
            <w:pPr>
              <w:spacing w:before="120" w:after="120"/>
              <w:jc w:val="right"/>
              <w:rPr>
                <w:rFonts w:ascii="Arial" w:hAnsi="Arial" w:cs="Arial"/>
                <w:iCs/>
                <w:sz w:val="18"/>
              </w:rPr>
            </w:pPr>
            <w:r>
              <w:rPr>
                <w:rFonts w:ascii="Arial" w:hAnsi="Arial" w:cs="Arial"/>
                <w:iCs/>
                <w:sz w:val="18"/>
              </w:rPr>
              <w:t>45</w:t>
            </w:r>
            <w:r>
              <w:rPr>
                <w:rFonts w:ascii="Arial" w:hAnsi="Arial" w:cs="Arial"/>
                <w:sz w:val="18"/>
              </w:rPr>
              <w:t>¢</w:t>
            </w:r>
          </w:p>
        </w:tc>
        <w:tc>
          <w:tcPr>
            <w:tcW w:w="1418" w:type="dxa"/>
            <w:tcBorders>
              <w:top w:val="single" w:sz="6" w:space="0" w:color="auto"/>
              <w:bottom w:val="single" w:sz="6" w:space="0" w:color="auto"/>
              <w:right w:val="single" w:sz="6" w:space="0" w:color="auto"/>
            </w:tcBorders>
          </w:tcPr>
          <w:p w14:paraId="7BE0B97C" w14:textId="77777777" w:rsidR="00732ADB" w:rsidRDefault="00732ADB">
            <w:pPr>
              <w:spacing w:before="120" w:after="120"/>
              <w:jc w:val="right"/>
              <w:rPr>
                <w:rFonts w:ascii="Arial" w:hAnsi="Arial" w:cs="Arial"/>
                <w:b/>
                <w:bCs/>
                <w:iCs/>
                <w:sz w:val="18"/>
              </w:rPr>
            </w:pPr>
            <w:r>
              <w:rPr>
                <w:rFonts w:ascii="Arial" w:hAnsi="Arial" w:cs="Arial"/>
                <w:b/>
                <w:bCs/>
                <w:iCs/>
                <w:snapToGrid w:val="0"/>
                <w:color w:val="000000"/>
                <w:sz w:val="18"/>
              </w:rPr>
              <w:t>49.5</w:t>
            </w:r>
            <w:r>
              <w:rPr>
                <w:rFonts w:ascii="Arial" w:hAnsi="Arial" w:cs="Arial"/>
                <w:b/>
                <w:bCs/>
                <w:sz w:val="18"/>
              </w:rPr>
              <w:t>¢</w:t>
            </w:r>
          </w:p>
        </w:tc>
      </w:tr>
      <w:tr w:rsidR="00732ADB" w14:paraId="2E7106A3" w14:textId="77777777">
        <w:trPr>
          <w:cantSplit/>
        </w:trPr>
        <w:tc>
          <w:tcPr>
            <w:tcW w:w="3402" w:type="dxa"/>
            <w:tcBorders>
              <w:top w:val="single" w:sz="6" w:space="0" w:color="auto"/>
              <w:left w:val="single" w:sz="6" w:space="0" w:color="auto"/>
              <w:bottom w:val="single" w:sz="6" w:space="0" w:color="auto"/>
              <w:right w:val="single" w:sz="6" w:space="0" w:color="auto"/>
            </w:tcBorders>
          </w:tcPr>
          <w:p w14:paraId="5923E607" w14:textId="77777777" w:rsidR="00732ADB" w:rsidRDefault="00732ADB">
            <w:pPr>
              <w:spacing w:before="120" w:after="120"/>
              <w:rPr>
                <w:rFonts w:ascii="Arial" w:hAnsi="Arial" w:cs="Arial"/>
                <w:iCs/>
                <w:sz w:val="18"/>
              </w:rPr>
            </w:pPr>
            <w:r>
              <w:rPr>
                <w:rFonts w:ascii="Arial" w:hAnsi="Arial" w:cs="Arial"/>
                <w:iCs/>
                <w:sz w:val="18"/>
              </w:rPr>
              <w:t>Mobile phone and pager calls (per minute, charged on a per second basis)</w:t>
            </w:r>
          </w:p>
        </w:tc>
        <w:tc>
          <w:tcPr>
            <w:tcW w:w="1418" w:type="dxa"/>
            <w:tcBorders>
              <w:top w:val="single" w:sz="6" w:space="0" w:color="auto"/>
              <w:bottom w:val="single" w:sz="6" w:space="0" w:color="auto"/>
              <w:right w:val="single" w:sz="6" w:space="0" w:color="auto"/>
            </w:tcBorders>
          </w:tcPr>
          <w:p w14:paraId="513C7AAD" w14:textId="77777777" w:rsidR="00732ADB" w:rsidRDefault="00732ADB">
            <w:pPr>
              <w:spacing w:before="120" w:after="120"/>
              <w:jc w:val="right"/>
              <w:rPr>
                <w:rFonts w:ascii="Arial" w:hAnsi="Arial" w:cs="Arial"/>
                <w:iCs/>
                <w:sz w:val="18"/>
              </w:rPr>
            </w:pPr>
            <w:r>
              <w:rPr>
                <w:rFonts w:ascii="Arial" w:hAnsi="Arial" w:cs="Arial"/>
                <w:iCs/>
                <w:sz w:val="18"/>
              </w:rPr>
              <w:t>80</w:t>
            </w:r>
            <w:r>
              <w:rPr>
                <w:rFonts w:ascii="Arial" w:hAnsi="Arial" w:cs="Arial"/>
                <w:sz w:val="18"/>
              </w:rPr>
              <w:t>¢</w:t>
            </w:r>
          </w:p>
        </w:tc>
        <w:tc>
          <w:tcPr>
            <w:tcW w:w="1418" w:type="dxa"/>
            <w:tcBorders>
              <w:top w:val="single" w:sz="6" w:space="0" w:color="auto"/>
              <w:bottom w:val="single" w:sz="6" w:space="0" w:color="auto"/>
              <w:right w:val="single" w:sz="6" w:space="0" w:color="auto"/>
            </w:tcBorders>
          </w:tcPr>
          <w:p w14:paraId="183B1A6A" w14:textId="77777777" w:rsidR="00732ADB" w:rsidRDefault="00732ADB">
            <w:pPr>
              <w:spacing w:before="120" w:after="120"/>
              <w:jc w:val="right"/>
              <w:rPr>
                <w:rFonts w:ascii="Arial" w:hAnsi="Arial" w:cs="Arial"/>
                <w:b/>
                <w:bCs/>
                <w:iCs/>
                <w:sz w:val="18"/>
              </w:rPr>
            </w:pPr>
            <w:r>
              <w:rPr>
                <w:rFonts w:ascii="Arial" w:hAnsi="Arial" w:cs="Arial"/>
                <w:b/>
                <w:bCs/>
                <w:iCs/>
                <w:snapToGrid w:val="0"/>
                <w:color w:val="000000"/>
                <w:sz w:val="18"/>
              </w:rPr>
              <w:t>88</w:t>
            </w:r>
            <w:r>
              <w:rPr>
                <w:rFonts w:ascii="Arial" w:hAnsi="Arial" w:cs="Arial"/>
                <w:b/>
                <w:bCs/>
                <w:sz w:val="18"/>
              </w:rPr>
              <w:t>¢</w:t>
            </w:r>
          </w:p>
        </w:tc>
      </w:tr>
      <w:tr w:rsidR="00732ADB" w14:paraId="2B0312CB" w14:textId="77777777">
        <w:trPr>
          <w:cantSplit/>
        </w:trPr>
        <w:tc>
          <w:tcPr>
            <w:tcW w:w="3402" w:type="dxa"/>
            <w:tcBorders>
              <w:top w:val="single" w:sz="6" w:space="0" w:color="auto"/>
              <w:left w:val="single" w:sz="6" w:space="0" w:color="auto"/>
              <w:bottom w:val="single" w:sz="6" w:space="0" w:color="auto"/>
              <w:right w:val="single" w:sz="6" w:space="0" w:color="auto"/>
            </w:tcBorders>
          </w:tcPr>
          <w:p w14:paraId="4118628C" w14:textId="77777777" w:rsidR="00732ADB" w:rsidRDefault="00732ADB">
            <w:pPr>
              <w:spacing w:before="120" w:after="120"/>
              <w:rPr>
                <w:rFonts w:ascii="Arial" w:hAnsi="Arial" w:cs="Arial"/>
                <w:iCs/>
                <w:sz w:val="18"/>
              </w:rPr>
            </w:pPr>
            <w:r>
              <w:rPr>
                <w:rFonts w:ascii="Arial" w:hAnsi="Arial" w:cs="Arial"/>
                <w:iCs/>
                <w:sz w:val="18"/>
              </w:rPr>
              <w:t>International calls (per minute, charged on a per second basis)</w:t>
            </w:r>
          </w:p>
        </w:tc>
        <w:tc>
          <w:tcPr>
            <w:tcW w:w="1418" w:type="dxa"/>
            <w:tcBorders>
              <w:top w:val="single" w:sz="6" w:space="0" w:color="auto"/>
              <w:bottom w:val="single" w:sz="6" w:space="0" w:color="auto"/>
              <w:right w:val="single" w:sz="6" w:space="0" w:color="auto"/>
            </w:tcBorders>
          </w:tcPr>
          <w:p w14:paraId="5F896BB3" w14:textId="77777777" w:rsidR="00732ADB" w:rsidRDefault="00732ADB">
            <w:pPr>
              <w:spacing w:before="120" w:after="120"/>
              <w:jc w:val="right"/>
              <w:rPr>
                <w:rFonts w:ascii="Arial" w:hAnsi="Arial" w:cs="Arial"/>
                <w:iCs/>
                <w:sz w:val="18"/>
              </w:rPr>
            </w:pPr>
            <w:r>
              <w:rPr>
                <w:rFonts w:ascii="Arial" w:hAnsi="Arial" w:cs="Arial"/>
                <w:iCs/>
                <w:sz w:val="18"/>
              </w:rPr>
              <w:t>$4.00</w:t>
            </w:r>
          </w:p>
        </w:tc>
        <w:tc>
          <w:tcPr>
            <w:tcW w:w="1418" w:type="dxa"/>
            <w:tcBorders>
              <w:top w:val="single" w:sz="6" w:space="0" w:color="auto"/>
              <w:bottom w:val="single" w:sz="6" w:space="0" w:color="auto"/>
              <w:right w:val="single" w:sz="6" w:space="0" w:color="auto"/>
            </w:tcBorders>
          </w:tcPr>
          <w:p w14:paraId="35F59FE0" w14:textId="77777777" w:rsidR="00732ADB" w:rsidRDefault="00732ADB">
            <w:pPr>
              <w:spacing w:before="120" w:after="120"/>
              <w:jc w:val="right"/>
              <w:rPr>
                <w:rFonts w:ascii="Arial" w:hAnsi="Arial" w:cs="Arial"/>
                <w:b/>
                <w:bCs/>
                <w:iCs/>
                <w:sz w:val="18"/>
              </w:rPr>
            </w:pPr>
            <w:r>
              <w:rPr>
                <w:rFonts w:ascii="Arial" w:hAnsi="Arial" w:cs="Arial"/>
                <w:b/>
                <w:bCs/>
                <w:iCs/>
                <w:snapToGrid w:val="0"/>
                <w:color w:val="000000"/>
                <w:sz w:val="18"/>
              </w:rPr>
              <w:t>$4.40</w:t>
            </w:r>
          </w:p>
        </w:tc>
      </w:tr>
    </w:tbl>
    <w:p w14:paraId="2FF4B4FD" w14:textId="77777777" w:rsidR="00732ADB" w:rsidRDefault="00732ADB">
      <w:pPr>
        <w:pStyle w:val="TableData"/>
      </w:pPr>
    </w:p>
    <w:p w14:paraId="59D00D13" w14:textId="77777777" w:rsidR="00732ADB" w:rsidRDefault="00732ADB">
      <w:pPr>
        <w:pStyle w:val="Indent1"/>
        <w:rPr>
          <w:iCs/>
        </w:rPr>
      </w:pPr>
      <w:bookmarkStart w:id="111" w:name="_Toc74821857"/>
      <w:bookmarkStart w:id="112" w:name="_Toc256000026"/>
      <w:bookmarkStart w:id="113" w:name="_Toc256000057"/>
      <w:bookmarkStart w:id="114" w:name="_Toc157514662"/>
      <w:r>
        <w:rPr>
          <w:iCs/>
        </w:rPr>
        <w:t>Call diversion charges</w:t>
      </w:r>
      <w:bookmarkEnd w:id="111"/>
      <w:bookmarkEnd w:id="112"/>
      <w:bookmarkEnd w:id="113"/>
      <w:bookmarkEnd w:id="114"/>
    </w:p>
    <w:p w14:paraId="1D927077" w14:textId="77777777" w:rsidR="00732ADB" w:rsidRDefault="00732ADB">
      <w:pPr>
        <w:pStyle w:val="Heading2"/>
        <w:rPr>
          <w:iCs/>
        </w:rPr>
      </w:pPr>
      <w:r>
        <w:rPr>
          <w:iCs/>
        </w:rPr>
        <w:t>To activate call diversion for a particular mobile we charge you the following (or such other charges as agreed between us):</w:t>
      </w:r>
    </w:p>
    <w:tbl>
      <w:tblPr>
        <w:tblW w:w="6237" w:type="dxa"/>
        <w:tblInd w:w="817" w:type="dxa"/>
        <w:tblLayout w:type="fixed"/>
        <w:tblLook w:val="0000" w:firstRow="0" w:lastRow="0" w:firstColumn="0" w:lastColumn="0" w:noHBand="0" w:noVBand="0"/>
      </w:tblPr>
      <w:tblGrid>
        <w:gridCol w:w="3401"/>
        <w:gridCol w:w="1418"/>
        <w:gridCol w:w="1418"/>
      </w:tblGrid>
      <w:tr w:rsidR="00732ADB" w14:paraId="768CB70F" w14:textId="77777777">
        <w:trPr>
          <w:cantSplit/>
          <w:tblHeader/>
        </w:trPr>
        <w:tc>
          <w:tcPr>
            <w:tcW w:w="3402" w:type="dxa"/>
            <w:tcBorders>
              <w:top w:val="single" w:sz="6" w:space="0" w:color="auto"/>
              <w:left w:val="single" w:sz="6" w:space="0" w:color="auto"/>
              <w:bottom w:val="single" w:sz="6" w:space="0" w:color="auto"/>
              <w:right w:val="single" w:sz="6" w:space="0" w:color="auto"/>
            </w:tcBorders>
          </w:tcPr>
          <w:p w14:paraId="15F1418D" w14:textId="77777777" w:rsidR="00732ADB" w:rsidRDefault="00732ADB">
            <w:pPr>
              <w:keepNext/>
              <w:spacing w:before="120" w:after="120"/>
              <w:rPr>
                <w:rFonts w:ascii="Arial" w:hAnsi="Arial" w:cs="Arial"/>
                <w:iCs/>
                <w:sz w:val="18"/>
              </w:rPr>
            </w:pPr>
            <w:r>
              <w:rPr>
                <w:rFonts w:ascii="Arial" w:hAnsi="Arial" w:cs="Arial"/>
                <w:b/>
                <w:bCs/>
                <w:iCs/>
                <w:sz w:val="18"/>
              </w:rPr>
              <w:t>Call Diversion charges</w:t>
            </w:r>
          </w:p>
        </w:tc>
        <w:tc>
          <w:tcPr>
            <w:tcW w:w="1418" w:type="dxa"/>
            <w:tcBorders>
              <w:top w:val="single" w:sz="6" w:space="0" w:color="auto"/>
              <w:bottom w:val="single" w:sz="6" w:space="0" w:color="auto"/>
              <w:right w:val="single" w:sz="6" w:space="0" w:color="auto"/>
            </w:tcBorders>
          </w:tcPr>
          <w:p w14:paraId="636C7A2A" w14:textId="77777777" w:rsidR="00732ADB" w:rsidRDefault="00732ADB">
            <w:pPr>
              <w:keepNext/>
              <w:spacing w:before="120" w:after="120"/>
              <w:rPr>
                <w:rFonts w:ascii="Arial" w:hAnsi="Arial" w:cs="Arial"/>
                <w:b/>
                <w:iCs/>
                <w:sz w:val="18"/>
              </w:rPr>
            </w:pPr>
            <w:r>
              <w:rPr>
                <w:rFonts w:ascii="Arial" w:hAnsi="Arial" w:cs="Arial"/>
                <w:b/>
                <w:iCs/>
                <w:sz w:val="18"/>
              </w:rPr>
              <w:t>GST excl.</w:t>
            </w:r>
          </w:p>
        </w:tc>
        <w:tc>
          <w:tcPr>
            <w:tcW w:w="1418" w:type="dxa"/>
            <w:tcBorders>
              <w:top w:val="single" w:sz="6" w:space="0" w:color="auto"/>
              <w:bottom w:val="single" w:sz="6" w:space="0" w:color="auto"/>
              <w:right w:val="single" w:sz="6" w:space="0" w:color="auto"/>
            </w:tcBorders>
          </w:tcPr>
          <w:p w14:paraId="53978316" w14:textId="77777777" w:rsidR="00732ADB" w:rsidRDefault="00732ADB">
            <w:pPr>
              <w:keepNext/>
              <w:spacing w:before="120" w:after="120"/>
              <w:rPr>
                <w:rFonts w:ascii="Arial" w:hAnsi="Arial" w:cs="Arial"/>
                <w:b/>
                <w:iCs/>
                <w:sz w:val="18"/>
              </w:rPr>
            </w:pPr>
            <w:r>
              <w:rPr>
                <w:rFonts w:ascii="Arial" w:hAnsi="Arial" w:cs="Arial"/>
                <w:b/>
                <w:iCs/>
                <w:sz w:val="18"/>
              </w:rPr>
              <w:t>GST incl.</w:t>
            </w:r>
          </w:p>
        </w:tc>
      </w:tr>
      <w:tr w:rsidR="00732ADB" w14:paraId="7639CE11" w14:textId="77777777">
        <w:trPr>
          <w:cantSplit/>
        </w:trPr>
        <w:tc>
          <w:tcPr>
            <w:tcW w:w="3402" w:type="dxa"/>
            <w:tcBorders>
              <w:left w:val="single" w:sz="6" w:space="0" w:color="auto"/>
              <w:bottom w:val="single" w:sz="6" w:space="0" w:color="auto"/>
              <w:right w:val="single" w:sz="6" w:space="0" w:color="auto"/>
            </w:tcBorders>
          </w:tcPr>
          <w:p w14:paraId="0F57B303" w14:textId="77777777" w:rsidR="00732ADB" w:rsidRDefault="00732ADB">
            <w:pPr>
              <w:spacing w:before="120" w:after="120"/>
              <w:rPr>
                <w:rFonts w:ascii="Arial" w:hAnsi="Arial" w:cs="Arial"/>
                <w:iCs/>
                <w:sz w:val="18"/>
              </w:rPr>
            </w:pPr>
            <w:r>
              <w:rPr>
                <w:rFonts w:ascii="Arial" w:hAnsi="Arial" w:cs="Arial"/>
                <w:iCs/>
                <w:sz w:val="18"/>
              </w:rPr>
              <w:t>Call diversion charge (once only per mobile)</w:t>
            </w:r>
          </w:p>
        </w:tc>
        <w:tc>
          <w:tcPr>
            <w:tcW w:w="1418" w:type="dxa"/>
            <w:tcBorders>
              <w:top w:val="single" w:sz="6" w:space="0" w:color="auto"/>
              <w:bottom w:val="single" w:sz="6" w:space="0" w:color="auto"/>
              <w:right w:val="single" w:sz="6" w:space="0" w:color="auto"/>
            </w:tcBorders>
          </w:tcPr>
          <w:p w14:paraId="327B379B" w14:textId="77777777" w:rsidR="00732ADB" w:rsidRDefault="00732ADB">
            <w:pPr>
              <w:spacing w:before="120" w:after="120"/>
              <w:jc w:val="right"/>
              <w:rPr>
                <w:rFonts w:ascii="Arial" w:hAnsi="Arial" w:cs="Arial"/>
                <w:iCs/>
                <w:sz w:val="18"/>
              </w:rPr>
            </w:pPr>
            <w:r>
              <w:rPr>
                <w:rFonts w:ascii="Arial" w:hAnsi="Arial" w:cs="Arial"/>
                <w:iCs/>
                <w:sz w:val="18"/>
              </w:rPr>
              <w:t>$5.50</w:t>
            </w:r>
          </w:p>
        </w:tc>
        <w:tc>
          <w:tcPr>
            <w:tcW w:w="1418" w:type="dxa"/>
            <w:tcBorders>
              <w:top w:val="single" w:sz="6" w:space="0" w:color="auto"/>
              <w:bottom w:val="single" w:sz="6" w:space="0" w:color="auto"/>
              <w:right w:val="single" w:sz="6" w:space="0" w:color="auto"/>
            </w:tcBorders>
          </w:tcPr>
          <w:p w14:paraId="3C111405" w14:textId="77777777" w:rsidR="00732ADB" w:rsidRDefault="00732ADB">
            <w:pPr>
              <w:spacing w:before="120" w:after="120"/>
              <w:jc w:val="right"/>
              <w:rPr>
                <w:rFonts w:ascii="Arial" w:hAnsi="Arial" w:cs="Arial"/>
                <w:b/>
                <w:bCs/>
                <w:iCs/>
                <w:sz w:val="18"/>
              </w:rPr>
            </w:pPr>
            <w:r>
              <w:rPr>
                <w:rFonts w:ascii="Arial" w:hAnsi="Arial" w:cs="Arial"/>
                <w:b/>
                <w:bCs/>
                <w:iCs/>
                <w:sz w:val="18"/>
              </w:rPr>
              <w:t>$6.05</w:t>
            </w:r>
          </w:p>
        </w:tc>
      </w:tr>
    </w:tbl>
    <w:p w14:paraId="22A3629B" w14:textId="77777777" w:rsidR="00732ADB" w:rsidRDefault="00732ADB">
      <w:pPr>
        <w:pStyle w:val="TableData"/>
      </w:pPr>
    </w:p>
    <w:p w14:paraId="710A94AB" w14:textId="77777777" w:rsidR="00732ADB" w:rsidRDefault="00732ADB">
      <w:pPr>
        <w:pStyle w:val="Indent1"/>
        <w:rPr>
          <w:iCs/>
        </w:rPr>
      </w:pPr>
      <w:bookmarkStart w:id="115" w:name="_Toc74821858"/>
      <w:bookmarkStart w:id="116" w:name="_Toc256000027"/>
      <w:bookmarkStart w:id="117" w:name="_Toc256000058"/>
      <w:bookmarkStart w:id="118" w:name="_Toc157514663"/>
      <w:r>
        <w:rPr>
          <w:iCs/>
        </w:rPr>
        <w:t>Line dispatcher/PABX interface charges</w:t>
      </w:r>
      <w:bookmarkEnd w:id="115"/>
      <w:bookmarkEnd w:id="116"/>
      <w:bookmarkEnd w:id="117"/>
      <w:bookmarkEnd w:id="118"/>
    </w:p>
    <w:p w14:paraId="3DF66573" w14:textId="77777777" w:rsidR="00732ADB" w:rsidRDefault="00732ADB">
      <w:pPr>
        <w:pStyle w:val="Heading2"/>
        <w:rPr>
          <w:iCs/>
        </w:rPr>
      </w:pPr>
      <w:r>
        <w:rPr>
          <w:iCs/>
        </w:rPr>
        <w:t xml:space="preserve">We charge you the following connection and ongoing maintenance charges for each interface card for a single line direct connection to a central Victorian SMR </w:t>
      </w:r>
      <w:proofErr w:type="gramStart"/>
      <w:r>
        <w:rPr>
          <w:iCs/>
        </w:rPr>
        <w:t>Commercial  (</w:t>
      </w:r>
      <w:proofErr w:type="gramEnd"/>
      <w:r>
        <w:rPr>
          <w:iCs/>
        </w:rPr>
        <w:t xml:space="preserve">VHF) network switch from </w:t>
      </w:r>
      <w:r>
        <w:t>the control unit for your fleet</w:t>
      </w:r>
      <w:r>
        <w:rPr>
          <w:iCs/>
        </w:rPr>
        <w:t xml:space="preserve"> (“</w:t>
      </w:r>
      <w:r>
        <w:rPr>
          <w:b/>
          <w:bCs w:val="0"/>
          <w:iCs/>
        </w:rPr>
        <w:t>control point</w:t>
      </w:r>
      <w:r>
        <w:rPr>
          <w:iCs/>
        </w:rPr>
        <w:t>”) or PABX system (or such other connection and ongoing maintenance charges as agreed between us):</w:t>
      </w:r>
    </w:p>
    <w:tbl>
      <w:tblPr>
        <w:tblW w:w="6237" w:type="dxa"/>
        <w:tblInd w:w="817" w:type="dxa"/>
        <w:tblLayout w:type="fixed"/>
        <w:tblLook w:val="0000" w:firstRow="0" w:lastRow="0" w:firstColumn="0" w:lastColumn="0" w:noHBand="0" w:noVBand="0"/>
      </w:tblPr>
      <w:tblGrid>
        <w:gridCol w:w="3401"/>
        <w:gridCol w:w="1418"/>
        <w:gridCol w:w="1418"/>
      </w:tblGrid>
      <w:tr w:rsidR="00732ADB" w14:paraId="3EBEDA67" w14:textId="77777777">
        <w:trPr>
          <w:cantSplit/>
          <w:tblHeader/>
        </w:trPr>
        <w:tc>
          <w:tcPr>
            <w:tcW w:w="3402" w:type="dxa"/>
            <w:tcBorders>
              <w:top w:val="single" w:sz="6" w:space="0" w:color="auto"/>
              <w:left w:val="single" w:sz="6" w:space="0" w:color="auto"/>
              <w:bottom w:val="single" w:sz="6" w:space="0" w:color="auto"/>
              <w:right w:val="single" w:sz="6" w:space="0" w:color="auto"/>
            </w:tcBorders>
          </w:tcPr>
          <w:p w14:paraId="309EB409" w14:textId="77777777" w:rsidR="00732ADB" w:rsidRDefault="00732ADB">
            <w:pPr>
              <w:keepNext/>
              <w:spacing w:before="120" w:after="120"/>
              <w:rPr>
                <w:rFonts w:ascii="Arial" w:hAnsi="Arial" w:cs="Arial"/>
                <w:iCs/>
                <w:sz w:val="18"/>
              </w:rPr>
            </w:pPr>
            <w:r>
              <w:rPr>
                <w:rFonts w:ascii="Arial" w:hAnsi="Arial" w:cs="Arial"/>
                <w:b/>
                <w:bCs/>
                <w:iCs/>
                <w:sz w:val="18"/>
              </w:rPr>
              <w:t>Line Dispatcher/PABX Interface</w:t>
            </w:r>
          </w:p>
        </w:tc>
        <w:tc>
          <w:tcPr>
            <w:tcW w:w="1418" w:type="dxa"/>
            <w:tcBorders>
              <w:top w:val="single" w:sz="6" w:space="0" w:color="auto"/>
              <w:bottom w:val="single" w:sz="6" w:space="0" w:color="auto"/>
              <w:right w:val="single" w:sz="6" w:space="0" w:color="auto"/>
            </w:tcBorders>
          </w:tcPr>
          <w:p w14:paraId="536D8D24" w14:textId="77777777" w:rsidR="00732ADB" w:rsidRDefault="00732ADB">
            <w:pPr>
              <w:keepNext/>
              <w:spacing w:before="120" w:after="120"/>
              <w:rPr>
                <w:rFonts w:ascii="Arial" w:hAnsi="Arial" w:cs="Arial"/>
                <w:b/>
                <w:iCs/>
                <w:sz w:val="18"/>
              </w:rPr>
            </w:pPr>
            <w:r>
              <w:rPr>
                <w:rFonts w:ascii="Arial" w:hAnsi="Arial" w:cs="Arial"/>
                <w:b/>
                <w:iCs/>
                <w:sz w:val="18"/>
              </w:rPr>
              <w:t>GST excl.</w:t>
            </w:r>
          </w:p>
        </w:tc>
        <w:tc>
          <w:tcPr>
            <w:tcW w:w="1418" w:type="dxa"/>
            <w:tcBorders>
              <w:top w:val="single" w:sz="6" w:space="0" w:color="auto"/>
              <w:bottom w:val="single" w:sz="6" w:space="0" w:color="auto"/>
              <w:right w:val="single" w:sz="6" w:space="0" w:color="auto"/>
            </w:tcBorders>
          </w:tcPr>
          <w:p w14:paraId="2CCC900C" w14:textId="77777777" w:rsidR="00732ADB" w:rsidRDefault="00732ADB">
            <w:pPr>
              <w:keepNext/>
              <w:spacing w:before="120" w:after="120"/>
              <w:rPr>
                <w:rFonts w:ascii="Arial" w:hAnsi="Arial" w:cs="Arial"/>
                <w:b/>
                <w:iCs/>
                <w:sz w:val="18"/>
              </w:rPr>
            </w:pPr>
            <w:r>
              <w:rPr>
                <w:rFonts w:ascii="Arial" w:hAnsi="Arial" w:cs="Arial"/>
                <w:b/>
                <w:iCs/>
                <w:sz w:val="18"/>
              </w:rPr>
              <w:t>GST incl.</w:t>
            </w:r>
          </w:p>
        </w:tc>
      </w:tr>
      <w:tr w:rsidR="00732ADB" w14:paraId="3C11B583" w14:textId="77777777">
        <w:trPr>
          <w:cantSplit/>
        </w:trPr>
        <w:tc>
          <w:tcPr>
            <w:tcW w:w="3402" w:type="dxa"/>
            <w:tcBorders>
              <w:top w:val="single" w:sz="6" w:space="0" w:color="auto"/>
              <w:left w:val="single" w:sz="6" w:space="0" w:color="auto"/>
              <w:bottom w:val="single" w:sz="6" w:space="0" w:color="auto"/>
              <w:right w:val="single" w:sz="6" w:space="0" w:color="auto"/>
            </w:tcBorders>
          </w:tcPr>
          <w:p w14:paraId="3ACD642E" w14:textId="77777777" w:rsidR="00732ADB" w:rsidRDefault="00732ADB">
            <w:pPr>
              <w:spacing w:before="120" w:after="120"/>
              <w:rPr>
                <w:rFonts w:ascii="Arial" w:hAnsi="Arial" w:cs="Arial"/>
                <w:iCs/>
                <w:sz w:val="18"/>
              </w:rPr>
            </w:pPr>
            <w:r>
              <w:rPr>
                <w:rFonts w:ascii="Arial" w:hAnsi="Arial" w:cs="Arial"/>
                <w:iCs/>
                <w:sz w:val="18"/>
              </w:rPr>
              <w:t>Interface card (once only)</w:t>
            </w:r>
          </w:p>
        </w:tc>
        <w:tc>
          <w:tcPr>
            <w:tcW w:w="1418" w:type="dxa"/>
            <w:tcBorders>
              <w:top w:val="single" w:sz="6" w:space="0" w:color="auto"/>
              <w:bottom w:val="single" w:sz="6" w:space="0" w:color="auto"/>
              <w:right w:val="single" w:sz="6" w:space="0" w:color="auto"/>
            </w:tcBorders>
          </w:tcPr>
          <w:p w14:paraId="74890C7A" w14:textId="77777777" w:rsidR="00732ADB" w:rsidRDefault="00732ADB">
            <w:pPr>
              <w:spacing w:before="120" w:after="120"/>
              <w:jc w:val="right"/>
              <w:rPr>
                <w:rFonts w:ascii="Arial" w:hAnsi="Arial" w:cs="Arial"/>
                <w:iCs/>
                <w:sz w:val="18"/>
              </w:rPr>
            </w:pPr>
            <w:r>
              <w:rPr>
                <w:rFonts w:ascii="Arial" w:hAnsi="Arial" w:cs="Arial"/>
                <w:iCs/>
                <w:sz w:val="18"/>
              </w:rPr>
              <w:t>$4,213.00</w:t>
            </w:r>
          </w:p>
        </w:tc>
        <w:tc>
          <w:tcPr>
            <w:tcW w:w="1418" w:type="dxa"/>
            <w:tcBorders>
              <w:top w:val="single" w:sz="6" w:space="0" w:color="auto"/>
              <w:bottom w:val="single" w:sz="6" w:space="0" w:color="auto"/>
              <w:right w:val="single" w:sz="6" w:space="0" w:color="auto"/>
            </w:tcBorders>
          </w:tcPr>
          <w:p w14:paraId="48B0A75F" w14:textId="77777777" w:rsidR="00732ADB" w:rsidRDefault="00732ADB">
            <w:pPr>
              <w:spacing w:before="120" w:after="120"/>
              <w:jc w:val="right"/>
              <w:rPr>
                <w:rFonts w:ascii="Arial" w:hAnsi="Arial" w:cs="Arial"/>
                <w:b/>
                <w:bCs/>
                <w:iCs/>
                <w:sz w:val="18"/>
              </w:rPr>
            </w:pPr>
            <w:r>
              <w:rPr>
                <w:rFonts w:ascii="Arial" w:hAnsi="Arial" w:cs="Arial"/>
                <w:b/>
                <w:bCs/>
                <w:iCs/>
                <w:sz w:val="18"/>
              </w:rPr>
              <w:t>$4,634.30</w:t>
            </w:r>
          </w:p>
        </w:tc>
      </w:tr>
      <w:tr w:rsidR="00732ADB" w14:paraId="009972E1" w14:textId="77777777">
        <w:trPr>
          <w:cantSplit/>
        </w:trPr>
        <w:tc>
          <w:tcPr>
            <w:tcW w:w="3402" w:type="dxa"/>
            <w:tcBorders>
              <w:top w:val="single" w:sz="6" w:space="0" w:color="auto"/>
              <w:left w:val="single" w:sz="6" w:space="0" w:color="auto"/>
              <w:bottom w:val="single" w:sz="6" w:space="0" w:color="auto"/>
              <w:right w:val="single" w:sz="6" w:space="0" w:color="auto"/>
            </w:tcBorders>
          </w:tcPr>
          <w:p w14:paraId="0E6D3FCE" w14:textId="77777777" w:rsidR="00732ADB" w:rsidRDefault="00732ADB">
            <w:pPr>
              <w:pStyle w:val="Index1"/>
              <w:spacing w:before="120" w:after="120"/>
              <w:rPr>
                <w:iCs/>
              </w:rPr>
            </w:pPr>
            <w:r>
              <w:rPr>
                <w:iCs/>
              </w:rPr>
              <w:t>Maintenance charge (each month)</w:t>
            </w:r>
          </w:p>
        </w:tc>
        <w:tc>
          <w:tcPr>
            <w:tcW w:w="1418" w:type="dxa"/>
            <w:tcBorders>
              <w:top w:val="single" w:sz="6" w:space="0" w:color="auto"/>
              <w:bottom w:val="single" w:sz="6" w:space="0" w:color="auto"/>
              <w:right w:val="single" w:sz="6" w:space="0" w:color="auto"/>
            </w:tcBorders>
          </w:tcPr>
          <w:p w14:paraId="103573D1" w14:textId="77777777" w:rsidR="00732ADB" w:rsidRDefault="00732ADB">
            <w:pPr>
              <w:keepNext/>
              <w:spacing w:before="120" w:after="120"/>
              <w:jc w:val="right"/>
              <w:rPr>
                <w:rFonts w:ascii="Arial" w:hAnsi="Arial" w:cs="Arial"/>
                <w:iCs/>
                <w:sz w:val="18"/>
              </w:rPr>
            </w:pPr>
            <w:r>
              <w:rPr>
                <w:rFonts w:ascii="Arial" w:hAnsi="Arial" w:cs="Arial"/>
                <w:iCs/>
                <w:sz w:val="18"/>
              </w:rPr>
              <w:t>$38.50</w:t>
            </w:r>
          </w:p>
        </w:tc>
        <w:tc>
          <w:tcPr>
            <w:tcW w:w="1418" w:type="dxa"/>
            <w:tcBorders>
              <w:top w:val="single" w:sz="6" w:space="0" w:color="auto"/>
              <w:bottom w:val="single" w:sz="6" w:space="0" w:color="auto"/>
              <w:right w:val="single" w:sz="6" w:space="0" w:color="auto"/>
            </w:tcBorders>
          </w:tcPr>
          <w:p w14:paraId="6DA8D252" w14:textId="77777777" w:rsidR="00732ADB" w:rsidRDefault="00732ADB">
            <w:pPr>
              <w:keepNext/>
              <w:spacing w:before="120" w:after="120"/>
              <w:jc w:val="right"/>
              <w:rPr>
                <w:rFonts w:ascii="Arial" w:hAnsi="Arial" w:cs="Arial"/>
                <w:b/>
                <w:bCs/>
                <w:iCs/>
                <w:sz w:val="18"/>
              </w:rPr>
            </w:pPr>
            <w:r>
              <w:rPr>
                <w:rFonts w:ascii="Arial" w:hAnsi="Arial" w:cs="Arial"/>
                <w:b/>
                <w:bCs/>
                <w:iCs/>
                <w:snapToGrid w:val="0"/>
                <w:color w:val="000000"/>
                <w:sz w:val="18"/>
              </w:rPr>
              <w:t>$42.35</w:t>
            </w:r>
          </w:p>
        </w:tc>
      </w:tr>
    </w:tbl>
    <w:p w14:paraId="19D8C22F" w14:textId="77777777" w:rsidR="00732ADB" w:rsidRDefault="00732ADB">
      <w:pPr>
        <w:pStyle w:val="TableData"/>
      </w:pPr>
    </w:p>
    <w:p w14:paraId="2B9E5181" w14:textId="77777777" w:rsidR="00732ADB" w:rsidRDefault="00732ADB">
      <w:pPr>
        <w:pStyle w:val="Heading2"/>
        <w:rPr>
          <w:iCs/>
        </w:rPr>
      </w:pPr>
      <w:r>
        <w:rPr>
          <w:iCs/>
        </w:rPr>
        <w:t xml:space="preserve">The charge for each dedicated leased communication line required to provide the service connection between each interface card located at a central Victorian SMR Commercial </w:t>
      </w:r>
      <w:r>
        <w:rPr>
          <w:iCs/>
        </w:rPr>
        <w:lastRenderedPageBreak/>
        <w:t xml:space="preserve">(VHF) network switch and the Customer’s control point or PABX is set out in the </w:t>
      </w:r>
      <w:hyperlink r:id="rId13" w:history="1">
        <w:r>
          <w:rPr>
            <w:rStyle w:val="Hyperlink"/>
            <w:iCs/>
          </w:rPr>
          <w:t>Voice Grade Dedicated Lines section of Our Customer Terms</w:t>
        </w:r>
      </w:hyperlink>
      <w:r>
        <w:rPr>
          <w:iCs/>
        </w:rPr>
        <w:t>.</w:t>
      </w:r>
    </w:p>
    <w:p w14:paraId="73A98B54" w14:textId="77777777" w:rsidR="00732ADB" w:rsidRDefault="00732ADB">
      <w:pPr>
        <w:pStyle w:val="Indent1"/>
        <w:rPr>
          <w:iCs/>
        </w:rPr>
      </w:pPr>
      <w:bookmarkStart w:id="119" w:name="_Toc74821859"/>
      <w:bookmarkStart w:id="120" w:name="_Toc256000028"/>
      <w:bookmarkStart w:id="121" w:name="_Toc256000059"/>
      <w:bookmarkStart w:id="122" w:name="_Toc157514664"/>
      <w:r>
        <w:rPr>
          <w:iCs/>
        </w:rPr>
        <w:t>Call barring charges</w:t>
      </w:r>
      <w:bookmarkEnd w:id="119"/>
      <w:bookmarkEnd w:id="120"/>
      <w:bookmarkEnd w:id="121"/>
      <w:bookmarkEnd w:id="122"/>
    </w:p>
    <w:p w14:paraId="4A530652" w14:textId="77777777" w:rsidR="00732ADB" w:rsidRDefault="00732ADB">
      <w:pPr>
        <w:pStyle w:val="Heading2"/>
        <w:rPr>
          <w:iCs/>
        </w:rPr>
      </w:pPr>
      <w:r>
        <w:rPr>
          <w:iCs/>
        </w:rPr>
        <w:t>If you ask for temporary call barring for a particular mobile, we charge you the following</w:t>
      </w:r>
      <w:r w:rsidRPr="00A130E1">
        <w:rPr>
          <w:iCs/>
        </w:rPr>
        <w:t xml:space="preserve"> </w:t>
      </w:r>
      <w:r>
        <w:rPr>
          <w:iCs/>
        </w:rPr>
        <w:t>(or such other charges as agreed between us):</w:t>
      </w:r>
    </w:p>
    <w:tbl>
      <w:tblPr>
        <w:tblW w:w="6237" w:type="dxa"/>
        <w:tblInd w:w="817" w:type="dxa"/>
        <w:tblLayout w:type="fixed"/>
        <w:tblLook w:val="0000" w:firstRow="0" w:lastRow="0" w:firstColumn="0" w:lastColumn="0" w:noHBand="0" w:noVBand="0"/>
      </w:tblPr>
      <w:tblGrid>
        <w:gridCol w:w="3401"/>
        <w:gridCol w:w="1418"/>
        <w:gridCol w:w="1418"/>
      </w:tblGrid>
      <w:tr w:rsidR="00732ADB" w14:paraId="7E75176D" w14:textId="77777777">
        <w:trPr>
          <w:cantSplit/>
          <w:tblHeader/>
        </w:trPr>
        <w:tc>
          <w:tcPr>
            <w:tcW w:w="3402" w:type="dxa"/>
            <w:tcBorders>
              <w:top w:val="single" w:sz="6" w:space="0" w:color="auto"/>
              <w:left w:val="single" w:sz="6" w:space="0" w:color="auto"/>
              <w:bottom w:val="single" w:sz="6" w:space="0" w:color="auto"/>
              <w:right w:val="single" w:sz="6" w:space="0" w:color="auto"/>
            </w:tcBorders>
          </w:tcPr>
          <w:p w14:paraId="6E265021" w14:textId="77777777" w:rsidR="00732ADB" w:rsidRDefault="00732ADB">
            <w:pPr>
              <w:keepNext/>
              <w:spacing w:before="120" w:after="120"/>
              <w:rPr>
                <w:rFonts w:ascii="Arial" w:hAnsi="Arial" w:cs="Arial"/>
                <w:iCs/>
                <w:sz w:val="18"/>
              </w:rPr>
            </w:pPr>
            <w:r>
              <w:rPr>
                <w:rFonts w:ascii="Arial" w:hAnsi="Arial" w:cs="Arial"/>
                <w:b/>
                <w:bCs/>
                <w:iCs/>
                <w:sz w:val="18"/>
              </w:rPr>
              <w:t>Call barring charges</w:t>
            </w:r>
          </w:p>
        </w:tc>
        <w:tc>
          <w:tcPr>
            <w:tcW w:w="1418" w:type="dxa"/>
            <w:tcBorders>
              <w:top w:val="single" w:sz="6" w:space="0" w:color="auto"/>
              <w:bottom w:val="single" w:sz="6" w:space="0" w:color="auto"/>
              <w:right w:val="single" w:sz="6" w:space="0" w:color="auto"/>
            </w:tcBorders>
          </w:tcPr>
          <w:p w14:paraId="4EDCE1BF" w14:textId="77777777" w:rsidR="00732ADB" w:rsidRDefault="00732ADB">
            <w:pPr>
              <w:keepNext/>
              <w:spacing w:before="120" w:after="120"/>
              <w:rPr>
                <w:rFonts w:ascii="Arial" w:hAnsi="Arial" w:cs="Arial"/>
                <w:b/>
                <w:iCs/>
                <w:sz w:val="18"/>
              </w:rPr>
            </w:pPr>
            <w:r>
              <w:rPr>
                <w:rFonts w:ascii="Arial" w:hAnsi="Arial" w:cs="Arial"/>
                <w:b/>
                <w:iCs/>
                <w:sz w:val="18"/>
              </w:rPr>
              <w:t>GST excl.</w:t>
            </w:r>
          </w:p>
        </w:tc>
        <w:tc>
          <w:tcPr>
            <w:tcW w:w="1418" w:type="dxa"/>
            <w:tcBorders>
              <w:top w:val="single" w:sz="6" w:space="0" w:color="auto"/>
              <w:bottom w:val="single" w:sz="6" w:space="0" w:color="auto"/>
              <w:right w:val="single" w:sz="6" w:space="0" w:color="auto"/>
            </w:tcBorders>
          </w:tcPr>
          <w:p w14:paraId="0ACD3BA0" w14:textId="77777777" w:rsidR="00732ADB" w:rsidRDefault="00732ADB">
            <w:pPr>
              <w:keepNext/>
              <w:spacing w:before="120" w:after="120"/>
              <w:rPr>
                <w:rFonts w:ascii="Arial" w:hAnsi="Arial" w:cs="Arial"/>
                <w:b/>
                <w:iCs/>
                <w:sz w:val="18"/>
              </w:rPr>
            </w:pPr>
            <w:r>
              <w:rPr>
                <w:rFonts w:ascii="Arial" w:hAnsi="Arial" w:cs="Arial"/>
                <w:b/>
                <w:iCs/>
                <w:sz w:val="18"/>
              </w:rPr>
              <w:t>GST incl.</w:t>
            </w:r>
          </w:p>
        </w:tc>
      </w:tr>
      <w:tr w:rsidR="00732ADB" w14:paraId="71A1DBB9" w14:textId="77777777">
        <w:trPr>
          <w:cantSplit/>
        </w:trPr>
        <w:tc>
          <w:tcPr>
            <w:tcW w:w="3402" w:type="dxa"/>
            <w:tcBorders>
              <w:left w:val="single" w:sz="6" w:space="0" w:color="auto"/>
              <w:bottom w:val="single" w:sz="6" w:space="0" w:color="auto"/>
              <w:right w:val="single" w:sz="6" w:space="0" w:color="auto"/>
            </w:tcBorders>
          </w:tcPr>
          <w:p w14:paraId="6D10BA8A" w14:textId="77777777" w:rsidR="00732ADB" w:rsidRDefault="00732ADB">
            <w:pPr>
              <w:spacing w:before="120" w:after="120"/>
              <w:rPr>
                <w:rFonts w:ascii="Arial" w:hAnsi="Arial" w:cs="Arial"/>
                <w:iCs/>
                <w:sz w:val="18"/>
              </w:rPr>
            </w:pPr>
            <w:r>
              <w:rPr>
                <w:rFonts w:ascii="Arial" w:hAnsi="Arial" w:cs="Arial"/>
                <w:iCs/>
                <w:sz w:val="18"/>
              </w:rPr>
              <w:t xml:space="preserve">Call barring charge (per mobile) </w:t>
            </w:r>
          </w:p>
        </w:tc>
        <w:tc>
          <w:tcPr>
            <w:tcW w:w="1418" w:type="dxa"/>
            <w:tcBorders>
              <w:top w:val="single" w:sz="6" w:space="0" w:color="auto"/>
              <w:bottom w:val="single" w:sz="6" w:space="0" w:color="auto"/>
              <w:right w:val="single" w:sz="6" w:space="0" w:color="auto"/>
            </w:tcBorders>
          </w:tcPr>
          <w:p w14:paraId="35D12968" w14:textId="77777777" w:rsidR="00732ADB" w:rsidRDefault="00732ADB">
            <w:pPr>
              <w:spacing w:before="120" w:after="120"/>
              <w:jc w:val="right"/>
              <w:rPr>
                <w:rFonts w:ascii="Arial" w:hAnsi="Arial" w:cs="Arial"/>
                <w:iCs/>
                <w:sz w:val="18"/>
              </w:rPr>
            </w:pPr>
            <w:r>
              <w:rPr>
                <w:rFonts w:ascii="Arial" w:hAnsi="Arial" w:cs="Arial"/>
                <w:iCs/>
                <w:sz w:val="18"/>
              </w:rPr>
              <w:t>$27.50</w:t>
            </w:r>
          </w:p>
        </w:tc>
        <w:tc>
          <w:tcPr>
            <w:tcW w:w="1418" w:type="dxa"/>
            <w:tcBorders>
              <w:top w:val="single" w:sz="6" w:space="0" w:color="auto"/>
              <w:bottom w:val="single" w:sz="6" w:space="0" w:color="auto"/>
              <w:right w:val="single" w:sz="6" w:space="0" w:color="auto"/>
            </w:tcBorders>
          </w:tcPr>
          <w:p w14:paraId="342E5C90" w14:textId="77777777" w:rsidR="00732ADB" w:rsidRDefault="00732ADB">
            <w:pPr>
              <w:spacing w:before="120" w:after="120"/>
              <w:jc w:val="right"/>
              <w:rPr>
                <w:rFonts w:ascii="Arial" w:hAnsi="Arial" w:cs="Arial"/>
                <w:b/>
                <w:bCs/>
                <w:iCs/>
                <w:sz w:val="18"/>
              </w:rPr>
            </w:pPr>
            <w:r>
              <w:rPr>
                <w:rFonts w:ascii="Arial" w:hAnsi="Arial" w:cs="Arial"/>
                <w:b/>
                <w:bCs/>
                <w:iCs/>
                <w:sz w:val="18"/>
              </w:rPr>
              <w:t>$30.25</w:t>
            </w:r>
          </w:p>
        </w:tc>
      </w:tr>
    </w:tbl>
    <w:p w14:paraId="6977391F" w14:textId="77777777" w:rsidR="00732ADB" w:rsidRPr="004C41CD" w:rsidRDefault="00732ADB" w:rsidP="00732ADB"/>
    <w:p w14:paraId="1DD75047" w14:textId="77777777" w:rsidR="00732ADB" w:rsidRDefault="00732ADB">
      <w:pPr>
        <w:pStyle w:val="Indent1"/>
        <w:rPr>
          <w:iCs/>
        </w:rPr>
      </w:pPr>
      <w:bookmarkStart w:id="123" w:name="_Toc74821860"/>
      <w:bookmarkStart w:id="124" w:name="_Toc256000029"/>
      <w:bookmarkStart w:id="125" w:name="_Toc256000060"/>
      <w:bookmarkStart w:id="126" w:name="_Toc157514665"/>
      <w:r>
        <w:rPr>
          <w:iCs/>
        </w:rPr>
        <w:t>Individual account charges</w:t>
      </w:r>
      <w:bookmarkEnd w:id="123"/>
      <w:bookmarkEnd w:id="124"/>
      <w:bookmarkEnd w:id="125"/>
      <w:bookmarkEnd w:id="126"/>
    </w:p>
    <w:p w14:paraId="682F6A7D" w14:textId="77777777" w:rsidR="00732ADB" w:rsidRDefault="00732ADB">
      <w:pPr>
        <w:pStyle w:val="Heading2"/>
        <w:rPr>
          <w:iCs/>
        </w:rPr>
      </w:pPr>
      <w:r>
        <w:rPr>
          <w:iCs/>
        </w:rPr>
        <w:t>If you would prefer to receive a separate account for each mobile in your fleet, we charge you the following (or such other charges as agreed between us):</w:t>
      </w:r>
    </w:p>
    <w:tbl>
      <w:tblPr>
        <w:tblW w:w="6237" w:type="dxa"/>
        <w:tblInd w:w="817" w:type="dxa"/>
        <w:tblLayout w:type="fixed"/>
        <w:tblLook w:val="0000" w:firstRow="0" w:lastRow="0" w:firstColumn="0" w:lastColumn="0" w:noHBand="0" w:noVBand="0"/>
      </w:tblPr>
      <w:tblGrid>
        <w:gridCol w:w="3401"/>
        <w:gridCol w:w="1418"/>
        <w:gridCol w:w="1418"/>
      </w:tblGrid>
      <w:tr w:rsidR="00732ADB" w14:paraId="61B88DE5" w14:textId="77777777">
        <w:trPr>
          <w:cantSplit/>
          <w:tblHeader/>
        </w:trPr>
        <w:tc>
          <w:tcPr>
            <w:tcW w:w="3402" w:type="dxa"/>
            <w:tcBorders>
              <w:top w:val="single" w:sz="6" w:space="0" w:color="auto"/>
              <w:left w:val="single" w:sz="6" w:space="0" w:color="auto"/>
              <w:bottom w:val="single" w:sz="6" w:space="0" w:color="auto"/>
              <w:right w:val="single" w:sz="6" w:space="0" w:color="auto"/>
            </w:tcBorders>
          </w:tcPr>
          <w:p w14:paraId="7E152E2C" w14:textId="77777777" w:rsidR="00732ADB" w:rsidRDefault="00732ADB">
            <w:pPr>
              <w:keepNext/>
              <w:spacing w:before="120" w:after="120"/>
              <w:rPr>
                <w:rFonts w:ascii="Arial" w:hAnsi="Arial" w:cs="Arial"/>
                <w:iCs/>
                <w:sz w:val="18"/>
              </w:rPr>
            </w:pPr>
            <w:r>
              <w:rPr>
                <w:rFonts w:ascii="Arial" w:hAnsi="Arial" w:cs="Arial"/>
                <w:b/>
                <w:bCs/>
                <w:iCs/>
                <w:sz w:val="18"/>
              </w:rPr>
              <w:t>Charge for provision of individual accounts</w:t>
            </w:r>
          </w:p>
        </w:tc>
        <w:tc>
          <w:tcPr>
            <w:tcW w:w="1418" w:type="dxa"/>
            <w:tcBorders>
              <w:top w:val="single" w:sz="6" w:space="0" w:color="auto"/>
              <w:bottom w:val="single" w:sz="6" w:space="0" w:color="auto"/>
              <w:right w:val="single" w:sz="6" w:space="0" w:color="auto"/>
            </w:tcBorders>
          </w:tcPr>
          <w:p w14:paraId="0D995C5A" w14:textId="77777777" w:rsidR="00732ADB" w:rsidRDefault="00732ADB">
            <w:pPr>
              <w:keepNext/>
              <w:spacing w:before="120" w:after="120"/>
              <w:rPr>
                <w:rFonts w:ascii="Arial" w:hAnsi="Arial" w:cs="Arial"/>
                <w:b/>
                <w:iCs/>
                <w:sz w:val="18"/>
              </w:rPr>
            </w:pPr>
            <w:r>
              <w:rPr>
                <w:rFonts w:ascii="Arial" w:hAnsi="Arial" w:cs="Arial"/>
                <w:b/>
                <w:iCs/>
                <w:sz w:val="18"/>
              </w:rPr>
              <w:t>GST excl.</w:t>
            </w:r>
          </w:p>
        </w:tc>
        <w:tc>
          <w:tcPr>
            <w:tcW w:w="1418" w:type="dxa"/>
            <w:tcBorders>
              <w:top w:val="single" w:sz="6" w:space="0" w:color="auto"/>
              <w:bottom w:val="single" w:sz="6" w:space="0" w:color="auto"/>
              <w:right w:val="single" w:sz="6" w:space="0" w:color="auto"/>
            </w:tcBorders>
          </w:tcPr>
          <w:p w14:paraId="4F78A0AB" w14:textId="77777777" w:rsidR="00732ADB" w:rsidRDefault="00732ADB">
            <w:pPr>
              <w:keepNext/>
              <w:spacing w:before="120" w:after="120"/>
              <w:rPr>
                <w:rFonts w:ascii="Arial" w:hAnsi="Arial" w:cs="Arial"/>
                <w:b/>
                <w:iCs/>
                <w:sz w:val="18"/>
              </w:rPr>
            </w:pPr>
            <w:r>
              <w:rPr>
                <w:rFonts w:ascii="Arial" w:hAnsi="Arial" w:cs="Arial"/>
                <w:b/>
                <w:iCs/>
                <w:sz w:val="18"/>
              </w:rPr>
              <w:t>GST incl.</w:t>
            </w:r>
          </w:p>
        </w:tc>
      </w:tr>
      <w:tr w:rsidR="00732ADB" w14:paraId="4C949683" w14:textId="77777777">
        <w:trPr>
          <w:cantSplit/>
        </w:trPr>
        <w:tc>
          <w:tcPr>
            <w:tcW w:w="3402" w:type="dxa"/>
            <w:tcBorders>
              <w:left w:val="single" w:sz="6" w:space="0" w:color="auto"/>
              <w:bottom w:val="single" w:sz="6" w:space="0" w:color="auto"/>
              <w:right w:val="single" w:sz="6" w:space="0" w:color="auto"/>
            </w:tcBorders>
          </w:tcPr>
          <w:p w14:paraId="002878DD" w14:textId="77777777" w:rsidR="00732ADB" w:rsidRDefault="00732ADB">
            <w:pPr>
              <w:spacing w:before="120" w:after="120"/>
              <w:rPr>
                <w:rFonts w:ascii="Arial" w:hAnsi="Arial" w:cs="Arial"/>
                <w:iCs/>
                <w:sz w:val="18"/>
              </w:rPr>
            </w:pPr>
            <w:r>
              <w:rPr>
                <w:rFonts w:ascii="Arial" w:hAnsi="Arial" w:cs="Arial"/>
                <w:iCs/>
                <w:sz w:val="18"/>
              </w:rPr>
              <w:t>Individual mobile account (per mobile)</w:t>
            </w:r>
          </w:p>
        </w:tc>
        <w:tc>
          <w:tcPr>
            <w:tcW w:w="1418" w:type="dxa"/>
            <w:tcBorders>
              <w:top w:val="single" w:sz="6" w:space="0" w:color="auto"/>
              <w:bottom w:val="single" w:sz="6" w:space="0" w:color="auto"/>
              <w:right w:val="single" w:sz="6" w:space="0" w:color="auto"/>
            </w:tcBorders>
          </w:tcPr>
          <w:p w14:paraId="2BB174A1" w14:textId="77777777" w:rsidR="00732ADB" w:rsidRDefault="00732ADB">
            <w:pPr>
              <w:spacing w:before="120" w:after="120"/>
              <w:jc w:val="right"/>
              <w:rPr>
                <w:rFonts w:ascii="Arial" w:hAnsi="Arial" w:cs="Arial"/>
                <w:iCs/>
                <w:sz w:val="18"/>
              </w:rPr>
            </w:pPr>
            <w:r>
              <w:rPr>
                <w:rFonts w:ascii="Arial" w:hAnsi="Arial" w:cs="Arial"/>
                <w:iCs/>
                <w:sz w:val="18"/>
              </w:rPr>
              <w:t>$5.50</w:t>
            </w:r>
          </w:p>
        </w:tc>
        <w:tc>
          <w:tcPr>
            <w:tcW w:w="1418" w:type="dxa"/>
            <w:tcBorders>
              <w:top w:val="single" w:sz="6" w:space="0" w:color="auto"/>
              <w:bottom w:val="single" w:sz="6" w:space="0" w:color="auto"/>
              <w:right w:val="single" w:sz="6" w:space="0" w:color="auto"/>
            </w:tcBorders>
          </w:tcPr>
          <w:p w14:paraId="51D3FCC3" w14:textId="77777777" w:rsidR="00732ADB" w:rsidRDefault="00732ADB">
            <w:pPr>
              <w:pStyle w:val="Index1"/>
              <w:spacing w:before="120" w:after="120"/>
              <w:jc w:val="right"/>
              <w:rPr>
                <w:iCs/>
              </w:rPr>
            </w:pPr>
            <w:r>
              <w:rPr>
                <w:iCs/>
              </w:rPr>
              <w:t>$6.05</w:t>
            </w:r>
          </w:p>
        </w:tc>
      </w:tr>
    </w:tbl>
    <w:p w14:paraId="7B5EF8FA" w14:textId="77777777" w:rsidR="00732ADB" w:rsidRDefault="00732ADB">
      <w:pPr>
        <w:pStyle w:val="TableData"/>
      </w:pPr>
    </w:p>
    <w:p w14:paraId="0582836A" w14:textId="77777777" w:rsidR="00732ADB" w:rsidRDefault="00732ADB">
      <w:pPr>
        <w:pStyle w:val="Indent1"/>
        <w:rPr>
          <w:iCs/>
        </w:rPr>
      </w:pPr>
      <w:bookmarkStart w:id="127" w:name="_Toc74821861"/>
      <w:bookmarkStart w:id="128" w:name="_Toc256000030"/>
      <w:bookmarkStart w:id="129" w:name="_Toc256000061"/>
      <w:bookmarkStart w:id="130" w:name="_Toc157514666"/>
      <w:smartTag w:uri="urn:schemas-microsoft-com:office:smarttags" w:element="place">
        <w:smartTag w:uri="urn:schemas-microsoft-com:office:smarttags" w:element="City">
          <w:r>
            <w:rPr>
              <w:iCs/>
            </w:rPr>
            <w:t>Mobile</w:t>
          </w:r>
        </w:smartTag>
      </w:smartTag>
      <w:r>
        <w:rPr>
          <w:iCs/>
        </w:rPr>
        <w:t xml:space="preserve"> to mobile restricted access charges</w:t>
      </w:r>
      <w:bookmarkEnd w:id="127"/>
      <w:bookmarkEnd w:id="128"/>
      <w:bookmarkEnd w:id="129"/>
      <w:bookmarkEnd w:id="130"/>
    </w:p>
    <w:p w14:paraId="7AF81EE5" w14:textId="77777777" w:rsidR="00732ADB" w:rsidRDefault="00732ADB">
      <w:pPr>
        <w:pStyle w:val="Heading2"/>
        <w:rPr>
          <w:iCs/>
        </w:rPr>
      </w:pPr>
      <w:r>
        <w:rPr>
          <w:iCs/>
        </w:rPr>
        <w:t>You can set up your mobile access so that calls can only be made from the mobile to base, not between mobiles.  If you restrict your mobile access like this, the monthly access charges that we charge you for each mobile are reduced by the amounts set out in the table below (or by such other amount as agreed between us).</w:t>
      </w:r>
    </w:p>
    <w:p w14:paraId="1BC62989" w14:textId="77777777" w:rsidR="00732ADB" w:rsidRDefault="00732ADB">
      <w:pPr>
        <w:pStyle w:val="Heading2"/>
        <w:rPr>
          <w:iCs/>
        </w:rPr>
      </w:pPr>
      <w:r>
        <w:rPr>
          <w:iCs/>
        </w:rPr>
        <w:t>The reduction in access charges is not available to single site customers.</w:t>
      </w:r>
    </w:p>
    <w:tbl>
      <w:tblPr>
        <w:tblW w:w="6237" w:type="dxa"/>
        <w:tblInd w:w="817" w:type="dxa"/>
        <w:tblLayout w:type="fixed"/>
        <w:tblLook w:val="0000" w:firstRow="0" w:lastRow="0" w:firstColumn="0" w:lastColumn="0" w:noHBand="0" w:noVBand="0"/>
      </w:tblPr>
      <w:tblGrid>
        <w:gridCol w:w="3401"/>
        <w:gridCol w:w="1418"/>
        <w:gridCol w:w="1418"/>
      </w:tblGrid>
      <w:tr w:rsidR="00732ADB" w14:paraId="60EE284B" w14:textId="77777777">
        <w:trPr>
          <w:cantSplit/>
        </w:trPr>
        <w:tc>
          <w:tcPr>
            <w:tcW w:w="3402" w:type="dxa"/>
            <w:tcBorders>
              <w:top w:val="single" w:sz="6" w:space="0" w:color="auto"/>
              <w:left w:val="single" w:sz="6" w:space="0" w:color="auto"/>
              <w:bottom w:val="single" w:sz="6" w:space="0" w:color="auto"/>
              <w:right w:val="single" w:sz="6" w:space="0" w:color="auto"/>
            </w:tcBorders>
          </w:tcPr>
          <w:p w14:paraId="1C342771" w14:textId="77777777" w:rsidR="00732ADB" w:rsidRDefault="00732ADB">
            <w:pPr>
              <w:keepNext/>
              <w:spacing w:before="120" w:after="120"/>
              <w:rPr>
                <w:rFonts w:ascii="Arial" w:hAnsi="Arial" w:cs="Arial"/>
                <w:iCs/>
                <w:sz w:val="18"/>
              </w:rPr>
            </w:pPr>
            <w:r>
              <w:rPr>
                <w:rFonts w:ascii="Arial" w:hAnsi="Arial" w:cs="Arial"/>
                <w:b/>
                <w:bCs/>
                <w:iCs/>
                <w:sz w:val="18"/>
              </w:rPr>
              <w:t>Mobile to mobile Restricted Access</w:t>
            </w:r>
          </w:p>
        </w:tc>
        <w:tc>
          <w:tcPr>
            <w:tcW w:w="1418" w:type="dxa"/>
            <w:tcBorders>
              <w:top w:val="single" w:sz="6" w:space="0" w:color="auto"/>
              <w:bottom w:val="single" w:sz="6" w:space="0" w:color="auto"/>
              <w:right w:val="single" w:sz="6" w:space="0" w:color="auto"/>
            </w:tcBorders>
          </w:tcPr>
          <w:p w14:paraId="17D9D625" w14:textId="77777777" w:rsidR="00732ADB" w:rsidRDefault="00732ADB">
            <w:pPr>
              <w:keepNext/>
              <w:spacing w:before="120" w:after="120"/>
              <w:rPr>
                <w:rFonts w:ascii="Arial" w:hAnsi="Arial" w:cs="Arial"/>
                <w:b/>
                <w:iCs/>
                <w:sz w:val="18"/>
              </w:rPr>
            </w:pPr>
            <w:r>
              <w:rPr>
                <w:rFonts w:ascii="Arial" w:hAnsi="Arial" w:cs="Arial"/>
                <w:b/>
                <w:iCs/>
                <w:sz w:val="18"/>
              </w:rPr>
              <w:t>GST excl.</w:t>
            </w:r>
          </w:p>
        </w:tc>
        <w:tc>
          <w:tcPr>
            <w:tcW w:w="1418" w:type="dxa"/>
            <w:tcBorders>
              <w:top w:val="single" w:sz="6" w:space="0" w:color="auto"/>
              <w:bottom w:val="single" w:sz="6" w:space="0" w:color="auto"/>
              <w:right w:val="single" w:sz="6" w:space="0" w:color="auto"/>
            </w:tcBorders>
          </w:tcPr>
          <w:p w14:paraId="1AF916D8" w14:textId="77777777" w:rsidR="00732ADB" w:rsidRDefault="00732ADB">
            <w:pPr>
              <w:keepNext/>
              <w:spacing w:before="120" w:after="120"/>
              <w:rPr>
                <w:rFonts w:ascii="Arial" w:hAnsi="Arial" w:cs="Arial"/>
                <w:b/>
                <w:iCs/>
                <w:sz w:val="18"/>
              </w:rPr>
            </w:pPr>
            <w:r>
              <w:rPr>
                <w:rFonts w:ascii="Arial" w:hAnsi="Arial" w:cs="Arial"/>
                <w:b/>
                <w:iCs/>
                <w:sz w:val="18"/>
              </w:rPr>
              <w:t>GST incl.</w:t>
            </w:r>
          </w:p>
        </w:tc>
      </w:tr>
      <w:tr w:rsidR="00732ADB" w14:paraId="1C8B1C32" w14:textId="77777777">
        <w:trPr>
          <w:cantSplit/>
        </w:trPr>
        <w:tc>
          <w:tcPr>
            <w:tcW w:w="3402" w:type="dxa"/>
            <w:tcBorders>
              <w:left w:val="single" w:sz="6" w:space="0" w:color="auto"/>
              <w:bottom w:val="single" w:sz="6" w:space="0" w:color="auto"/>
              <w:right w:val="single" w:sz="6" w:space="0" w:color="auto"/>
            </w:tcBorders>
          </w:tcPr>
          <w:p w14:paraId="2B8CBE8E" w14:textId="77777777" w:rsidR="00732ADB" w:rsidRDefault="00732ADB">
            <w:pPr>
              <w:spacing w:before="120" w:after="120"/>
              <w:rPr>
                <w:rFonts w:ascii="Arial" w:hAnsi="Arial" w:cs="Arial"/>
                <w:iCs/>
                <w:sz w:val="18"/>
              </w:rPr>
            </w:pPr>
            <w:r>
              <w:rPr>
                <w:rFonts w:ascii="Arial" w:hAnsi="Arial" w:cs="Arial"/>
                <w:iCs/>
                <w:sz w:val="18"/>
              </w:rPr>
              <w:t>Reduction in the monthly access charge (per mobile)</w:t>
            </w:r>
          </w:p>
        </w:tc>
        <w:tc>
          <w:tcPr>
            <w:tcW w:w="1418" w:type="dxa"/>
            <w:tcBorders>
              <w:top w:val="single" w:sz="6" w:space="0" w:color="auto"/>
              <w:bottom w:val="single" w:sz="6" w:space="0" w:color="auto"/>
              <w:right w:val="single" w:sz="6" w:space="0" w:color="auto"/>
            </w:tcBorders>
          </w:tcPr>
          <w:p w14:paraId="51772A59" w14:textId="77777777" w:rsidR="00732ADB" w:rsidRDefault="00732ADB">
            <w:pPr>
              <w:spacing w:before="120" w:after="120"/>
              <w:jc w:val="right"/>
              <w:rPr>
                <w:rFonts w:ascii="Arial" w:hAnsi="Arial" w:cs="Arial"/>
                <w:iCs/>
                <w:sz w:val="18"/>
              </w:rPr>
            </w:pPr>
            <w:r>
              <w:rPr>
                <w:rFonts w:ascii="Arial" w:hAnsi="Arial" w:cs="Arial"/>
                <w:iCs/>
                <w:sz w:val="18"/>
              </w:rPr>
              <w:t>$3.30</w:t>
            </w:r>
          </w:p>
        </w:tc>
        <w:tc>
          <w:tcPr>
            <w:tcW w:w="1418" w:type="dxa"/>
            <w:tcBorders>
              <w:top w:val="single" w:sz="6" w:space="0" w:color="auto"/>
              <w:bottom w:val="single" w:sz="6" w:space="0" w:color="auto"/>
              <w:right w:val="single" w:sz="6" w:space="0" w:color="auto"/>
            </w:tcBorders>
          </w:tcPr>
          <w:p w14:paraId="63A06D39" w14:textId="77777777" w:rsidR="00732ADB" w:rsidRDefault="00732ADB">
            <w:pPr>
              <w:spacing w:before="120" w:after="120"/>
              <w:jc w:val="right"/>
              <w:rPr>
                <w:rFonts w:ascii="Arial" w:hAnsi="Arial" w:cs="Arial"/>
                <w:iCs/>
                <w:sz w:val="18"/>
              </w:rPr>
            </w:pPr>
            <w:r>
              <w:rPr>
                <w:rFonts w:ascii="Arial" w:hAnsi="Arial" w:cs="Arial"/>
                <w:iCs/>
                <w:sz w:val="18"/>
              </w:rPr>
              <w:t>$3.63</w:t>
            </w:r>
          </w:p>
        </w:tc>
      </w:tr>
    </w:tbl>
    <w:p w14:paraId="1FC560A4" w14:textId="77777777" w:rsidR="00732ADB" w:rsidRDefault="00732ADB">
      <w:pPr>
        <w:pStyle w:val="TableData"/>
      </w:pPr>
    </w:p>
    <w:sectPr w:rsidR="00732ADB">
      <w:headerReference w:type="default" r:id="rId14"/>
      <w:footerReference w:type="default" r:id="rId15"/>
      <w:headerReference w:type="first" r:id="rId16"/>
      <w:pgSz w:w="11906" w:h="16838"/>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CC5CF" w14:textId="77777777" w:rsidR="00477014" w:rsidRDefault="00477014" w:rsidP="00732ADB">
      <w:r>
        <w:separator/>
      </w:r>
    </w:p>
  </w:endnote>
  <w:endnote w:type="continuationSeparator" w:id="0">
    <w:p w14:paraId="74168A0A" w14:textId="77777777" w:rsidR="00477014" w:rsidRDefault="00477014" w:rsidP="0073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D575" w14:textId="21DE9825" w:rsidR="00732ADB" w:rsidRPr="005D02CD" w:rsidRDefault="00732ADB" w:rsidP="005D02CD">
    <w:pPr>
      <w:rPr>
        <w:sz w:val="20"/>
        <w:szCs w:val="16"/>
      </w:rPr>
    </w:pPr>
    <w:r w:rsidRPr="005D02CD">
      <w:rPr>
        <w:rFonts w:ascii="Arial" w:hAnsi="Arial"/>
        <w:bCs/>
        <w:sz w:val="18"/>
        <w:szCs w:val="16"/>
      </w:rPr>
      <w:t xml:space="preserve">SMR Commercial Section was last changed on </w:t>
    </w:r>
    <w:r w:rsidR="005D02CD" w:rsidRPr="005D02CD">
      <w:rPr>
        <w:rFonts w:ascii="Arial" w:hAnsi="Arial"/>
        <w:bCs/>
        <w:sz w:val="18"/>
        <w:szCs w:val="16"/>
      </w:rPr>
      <w:t>09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DFCE" w14:textId="77777777" w:rsidR="00477014" w:rsidRDefault="00477014" w:rsidP="00732ADB">
      <w:r>
        <w:separator/>
      </w:r>
    </w:p>
  </w:footnote>
  <w:footnote w:type="continuationSeparator" w:id="0">
    <w:p w14:paraId="372CD311" w14:textId="77777777" w:rsidR="00477014" w:rsidRDefault="00477014" w:rsidP="00732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C269" w14:textId="77777777" w:rsidR="00732ADB" w:rsidRDefault="00732ADB">
    <w:pPr>
      <w:pStyle w:val="Header"/>
      <w:tabs>
        <w:tab w:val="right" w:pos="8931"/>
      </w:tabs>
      <w:rPr>
        <w:rStyle w:val="PageNumber"/>
        <w:rFonts w:ascii="Courier New" w:hAnsi="Courier New" w:cs="Arial"/>
        <w:color w:val="FF0000"/>
        <w:sz w:val="4"/>
      </w:rPr>
    </w:pPr>
  </w:p>
  <w:p w14:paraId="61CF2C74" w14:textId="0D17C205" w:rsidR="00732ADB" w:rsidRDefault="00016C9B">
    <w:pPr>
      <w:pStyle w:val="Header"/>
      <w:tabs>
        <w:tab w:val="right" w:pos="8931"/>
      </w:tabs>
      <w:rPr>
        <w:rStyle w:val="PageNumber"/>
        <w:b w:val="0"/>
        <w:bCs/>
        <w:sz w:val="20"/>
      </w:rPr>
    </w:pPr>
    <w:r>
      <w:rPr>
        <w:rFonts w:cs="Arial"/>
        <w:noProof/>
      </w:rPr>
      <mc:AlternateContent>
        <mc:Choice Requires="wps">
          <w:drawing>
            <wp:anchor distT="0" distB="0" distL="114300" distR="114300" simplePos="0" relativeHeight="251657216" behindDoc="0" locked="0" layoutInCell="0" allowOverlap="1" wp14:anchorId="379F1FC3" wp14:editId="7AE580C8">
              <wp:simplePos x="0" y="0"/>
              <wp:positionH relativeFrom="column">
                <wp:posOffset>2498090</wp:posOffset>
              </wp:positionH>
              <wp:positionV relativeFrom="paragraph">
                <wp:posOffset>-1347470</wp:posOffset>
              </wp:positionV>
              <wp:extent cx="2835275" cy="549275"/>
              <wp:effectExtent l="0" t="0" r="0" b="0"/>
              <wp:wrapNone/>
              <wp:docPr id="301621010"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01B979" w14:textId="77777777" w:rsidR="00732ADB" w:rsidRDefault="00732ADB">
                          <w:pPr>
                            <w:jc w:val="right"/>
                            <w:rPr>
                              <w:rFonts w:ascii="Arial" w:hAnsi="Arial"/>
                              <w:sz w:val="18"/>
                            </w:rPr>
                          </w:pPr>
                          <w:r>
                            <w:rPr>
                              <w:rFonts w:ascii="Arial" w:hAnsi="Arial"/>
                              <w:sz w:val="18"/>
                            </w:rPr>
                            <w:t>DRAFT [NO.]: [Date]</w:t>
                          </w:r>
                        </w:p>
                        <w:p w14:paraId="5D34FE25" w14:textId="77777777" w:rsidR="00732ADB" w:rsidRDefault="00732ADB">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F1FC3" id="Rectangle 1" o:spid="_x0000_s1026" alt="&quot;&quot;"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0001B979" w14:textId="77777777" w:rsidR="00732ADB" w:rsidRDefault="00732ADB">
                    <w:pPr>
                      <w:jc w:val="right"/>
                      <w:rPr>
                        <w:rFonts w:ascii="Arial" w:hAnsi="Arial"/>
                        <w:sz w:val="18"/>
                      </w:rPr>
                    </w:pPr>
                    <w:r>
                      <w:rPr>
                        <w:rFonts w:ascii="Arial" w:hAnsi="Arial"/>
                        <w:sz w:val="18"/>
                      </w:rPr>
                      <w:t>DRAFT [NO.]: [Date]</w:t>
                    </w:r>
                  </w:p>
                  <w:p w14:paraId="5D34FE25" w14:textId="77777777" w:rsidR="00732ADB" w:rsidRDefault="00732ADB">
                    <w:pPr>
                      <w:jc w:val="right"/>
                      <w:rPr>
                        <w:rFonts w:ascii="Arial" w:hAnsi="Arial"/>
                        <w:sz w:val="18"/>
                      </w:rPr>
                    </w:pPr>
                    <w:r>
                      <w:rPr>
                        <w:rFonts w:ascii="Arial" w:hAnsi="Arial"/>
                        <w:sz w:val="18"/>
                      </w:rPr>
                      <w:t>Marked to show changes from draft [No.]: [Date]</w:t>
                    </w:r>
                  </w:p>
                </w:txbxContent>
              </v:textbox>
            </v:rect>
          </w:pict>
        </mc:Fallback>
      </mc:AlternateContent>
    </w:r>
    <w:r w:rsidR="00732ADB">
      <w:rPr>
        <w:rStyle w:val="PageNumber"/>
        <w:rFonts w:cs="Arial"/>
      </w:rPr>
      <w:t>Our Customer Terms</w:t>
    </w:r>
    <w:r w:rsidR="00732ADB">
      <w:rPr>
        <w:rStyle w:val="PageNumber"/>
        <w:rFonts w:cs="Arial"/>
      </w:rPr>
      <w:tab/>
    </w:r>
    <w:r w:rsidR="00732ADB">
      <w:rPr>
        <w:rStyle w:val="PageNumber"/>
        <w:rFonts w:cs="Arial"/>
        <w:b w:val="0"/>
        <w:bCs/>
        <w:sz w:val="20"/>
      </w:rPr>
      <w:t xml:space="preserve">Page </w:t>
    </w:r>
    <w:r w:rsidR="00732ADB">
      <w:rPr>
        <w:rStyle w:val="PageNumber"/>
        <w:b w:val="0"/>
        <w:bCs/>
        <w:sz w:val="20"/>
      </w:rPr>
      <w:fldChar w:fldCharType="begin"/>
    </w:r>
    <w:r w:rsidR="00732ADB">
      <w:rPr>
        <w:rStyle w:val="PageNumber"/>
        <w:b w:val="0"/>
        <w:bCs/>
        <w:sz w:val="20"/>
      </w:rPr>
      <w:instrText xml:space="preserve"> PAGE </w:instrText>
    </w:r>
    <w:r w:rsidR="00732ADB">
      <w:rPr>
        <w:rStyle w:val="PageNumber"/>
        <w:b w:val="0"/>
        <w:bCs/>
        <w:sz w:val="20"/>
      </w:rPr>
      <w:fldChar w:fldCharType="separate"/>
    </w:r>
    <w:r w:rsidR="00732ADB">
      <w:rPr>
        <w:rStyle w:val="PageNumber"/>
        <w:b w:val="0"/>
        <w:bCs/>
        <w:sz w:val="20"/>
      </w:rPr>
      <w:t>11</w:t>
    </w:r>
    <w:r w:rsidR="00732ADB">
      <w:rPr>
        <w:rStyle w:val="PageNumber"/>
        <w:b w:val="0"/>
        <w:bCs/>
        <w:sz w:val="20"/>
      </w:rPr>
      <w:fldChar w:fldCharType="end"/>
    </w:r>
    <w:r w:rsidR="00732ADB">
      <w:rPr>
        <w:rStyle w:val="PageNumber"/>
        <w:b w:val="0"/>
        <w:bCs/>
        <w:sz w:val="20"/>
      </w:rPr>
      <w:t xml:space="preserve"> of </w:t>
    </w:r>
    <w:r w:rsidR="00732ADB">
      <w:rPr>
        <w:rStyle w:val="PageNumber"/>
        <w:b w:val="0"/>
        <w:bCs/>
        <w:sz w:val="20"/>
      </w:rPr>
      <w:fldChar w:fldCharType="begin"/>
    </w:r>
    <w:r w:rsidR="00732ADB">
      <w:rPr>
        <w:rStyle w:val="PageNumber"/>
        <w:b w:val="0"/>
        <w:bCs/>
        <w:sz w:val="20"/>
      </w:rPr>
      <w:instrText xml:space="preserve"> NUMPAGES </w:instrText>
    </w:r>
    <w:r w:rsidR="00732ADB">
      <w:rPr>
        <w:rStyle w:val="PageNumber"/>
        <w:b w:val="0"/>
        <w:bCs/>
        <w:sz w:val="20"/>
      </w:rPr>
      <w:fldChar w:fldCharType="separate"/>
    </w:r>
    <w:r w:rsidR="00732ADB">
      <w:rPr>
        <w:rStyle w:val="PageNumber"/>
        <w:b w:val="0"/>
        <w:bCs/>
        <w:sz w:val="20"/>
      </w:rPr>
      <w:t>11</w:t>
    </w:r>
    <w:r w:rsidR="00732ADB">
      <w:rPr>
        <w:rStyle w:val="PageNumber"/>
        <w:b w:val="0"/>
        <w:bCs/>
        <w:sz w:val="20"/>
      </w:rPr>
      <w:fldChar w:fldCharType="end"/>
    </w:r>
  </w:p>
  <w:p w14:paraId="63E95726" w14:textId="77777777" w:rsidR="00732ADB" w:rsidRDefault="00732ADB">
    <w:pPr>
      <w:pStyle w:val="Headersub"/>
      <w:rPr>
        <w:b/>
      </w:rPr>
    </w:pPr>
    <w:r>
      <w:rPr>
        <w:rStyle w:val="PageNumber"/>
        <w:szCs w:val="36"/>
      </w:rPr>
      <w:t>SMR Commercial Service 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13A02" w14:textId="4770717D" w:rsidR="00732ADB" w:rsidRDefault="00016C9B">
    <w:pPr>
      <w:pStyle w:val="Header"/>
      <w:rPr>
        <w:rFonts w:ascii="Courier New" w:hAnsi="Courier New"/>
        <w:color w:val="FF0000"/>
        <w:sz w:val="4"/>
      </w:rPr>
    </w:pPr>
    <w:r>
      <w:rPr>
        <w:rFonts w:ascii="Courier New" w:hAnsi="Courier New"/>
        <w:noProof/>
        <w:color w:val="FF0000"/>
        <w:sz w:val="6"/>
        <w:lang w:val="en-US"/>
      </w:rPr>
      <mc:AlternateContent>
        <mc:Choice Requires="wps">
          <w:drawing>
            <wp:anchor distT="0" distB="0" distL="114300" distR="114300" simplePos="0" relativeHeight="251658240" behindDoc="1" locked="1" layoutInCell="1" allowOverlap="0" wp14:anchorId="6E925CDF" wp14:editId="518A7689">
              <wp:simplePos x="0" y="0"/>
              <wp:positionH relativeFrom="page">
                <wp:posOffset>1062355</wp:posOffset>
              </wp:positionH>
              <wp:positionV relativeFrom="page">
                <wp:posOffset>4761865</wp:posOffset>
              </wp:positionV>
              <wp:extent cx="4105275" cy="1892935"/>
              <wp:effectExtent l="0" t="0" r="0" b="0"/>
              <wp:wrapNone/>
              <wp:docPr id="584377374" name="WordAr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6F4BACF" w14:textId="77777777" w:rsidR="00016C9B" w:rsidRDefault="00016C9B" w:rsidP="00016C9B">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6E925CDF" id="_x0000_t202" coordsize="21600,21600" o:spt="202" path="m,l,21600r21600,l21600,xe">
              <v:stroke joinstyle="miter"/>
              <v:path gradientshapeok="t" o:connecttype="rect"/>
            </v:shapetype>
            <v:shape id="WordArt 2" o:spid="_x0000_s1027" type="#_x0000_t202" alt="&quot;&quot;" style="position:absolute;margin-left:83.65pt;margin-top:374.95pt;width:323.25pt;height:149.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30L+A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" o:allowoverlap="f" filled="f" stroked="f">
              <v:stroke joinstyle="round"/>
              <o:lock v:ext="edit" aspectratio="t" shapetype="t"/>
              <v:textbox style="mso-fit-shape-to-text:t">
                <w:txbxContent>
                  <w:p w14:paraId="46F4BACF" w14:textId="77777777" w:rsidR="00016C9B" w:rsidRDefault="00016C9B" w:rsidP="00016C9B">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v:textbox>
              <w10:wrap anchorx="page" anchory="page"/>
              <w10:anchorlock/>
            </v:shape>
          </w:pict>
        </mc:Fallback>
      </mc:AlternateContent>
    </w:r>
  </w:p>
  <w:p w14:paraId="7D2B2D2C" w14:textId="77777777" w:rsidR="00732ADB" w:rsidRDefault="00732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5094"/>
    <w:multiLevelType w:val="multilevel"/>
    <w:tmpl w:val="537E7A0C"/>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 w15:restartNumberingAfterBreak="0">
    <w:nsid w:val="10AD6BE9"/>
    <w:multiLevelType w:val="singleLevel"/>
    <w:tmpl w:val="7D88387A"/>
    <w:lvl w:ilvl="0">
      <w:start w:val="1"/>
      <w:numFmt w:val="bullet"/>
      <w:lvlText w:val=""/>
      <w:lvlJc w:val="left"/>
      <w:pPr>
        <w:tabs>
          <w:tab w:val="num" w:pos="737"/>
        </w:tabs>
        <w:ind w:left="737" w:hanging="737"/>
      </w:pPr>
      <w:rPr>
        <w:rFonts w:ascii="Symbol" w:hAnsi="Symbol" w:hint="default"/>
      </w:rPr>
    </w:lvl>
  </w:abstractNum>
  <w:abstractNum w:abstractNumId="2" w15:restartNumberingAfterBreak="0">
    <w:nsid w:val="16C07CC8"/>
    <w:multiLevelType w:val="singleLevel"/>
    <w:tmpl w:val="9A44B214"/>
    <w:lvl w:ilvl="0">
      <w:start w:val="1"/>
      <w:numFmt w:val="bullet"/>
      <w:lvlText w:val=""/>
      <w:lvlJc w:val="left"/>
      <w:pPr>
        <w:tabs>
          <w:tab w:val="num" w:pos="737"/>
        </w:tabs>
        <w:ind w:left="737" w:hanging="737"/>
      </w:pPr>
      <w:rPr>
        <w:rFonts w:ascii="Symbol" w:hAnsi="Symbol" w:hint="default"/>
      </w:rPr>
    </w:lvl>
  </w:abstractNum>
  <w:abstractNum w:abstractNumId="3" w15:restartNumberingAfterBreak="0">
    <w:nsid w:val="1B497874"/>
    <w:multiLevelType w:val="singleLevel"/>
    <w:tmpl w:val="ABAA188C"/>
    <w:lvl w:ilvl="0">
      <w:start w:val="1"/>
      <w:numFmt w:val="bullet"/>
      <w:lvlText w:val=""/>
      <w:lvlJc w:val="left"/>
      <w:pPr>
        <w:tabs>
          <w:tab w:val="num" w:pos="737"/>
        </w:tabs>
        <w:ind w:left="737" w:hanging="737"/>
      </w:pPr>
      <w:rPr>
        <w:rFonts w:ascii="Symbol" w:hAnsi="Symbol" w:hint="default"/>
      </w:rPr>
    </w:lvl>
  </w:abstractNum>
  <w:abstractNum w:abstractNumId="4" w15:restartNumberingAfterBreak="0">
    <w:nsid w:val="374103C7"/>
    <w:multiLevelType w:val="singleLevel"/>
    <w:tmpl w:val="E09ED18C"/>
    <w:lvl w:ilvl="0">
      <w:start w:val="1"/>
      <w:numFmt w:val="bullet"/>
      <w:lvlText w:val=""/>
      <w:lvlJc w:val="left"/>
      <w:pPr>
        <w:tabs>
          <w:tab w:val="num" w:pos="737"/>
        </w:tabs>
        <w:ind w:left="737" w:hanging="737"/>
      </w:pPr>
      <w:rPr>
        <w:rFonts w:ascii="Symbol" w:hAnsi="Symbol" w:hint="default"/>
      </w:rPr>
    </w:lvl>
  </w:abstractNum>
  <w:abstractNum w:abstractNumId="5" w15:restartNumberingAfterBreak="0">
    <w:nsid w:val="49602EC6"/>
    <w:multiLevelType w:val="multilevel"/>
    <w:tmpl w:val="F0C2F256"/>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 w15:restartNumberingAfterBreak="0">
    <w:nsid w:val="59321C25"/>
    <w:multiLevelType w:val="singleLevel"/>
    <w:tmpl w:val="B442F5DC"/>
    <w:lvl w:ilvl="0">
      <w:start w:val="1"/>
      <w:numFmt w:val="bullet"/>
      <w:lvlText w:val=""/>
      <w:lvlJc w:val="left"/>
      <w:pPr>
        <w:tabs>
          <w:tab w:val="num" w:pos="737"/>
        </w:tabs>
        <w:ind w:left="737" w:hanging="737"/>
      </w:pPr>
      <w:rPr>
        <w:rFonts w:ascii="Symbol" w:hAnsi="Symbol" w:hint="default"/>
      </w:rPr>
    </w:lvl>
  </w:abstractNum>
  <w:abstractNum w:abstractNumId="7" w15:restartNumberingAfterBreak="0">
    <w:nsid w:val="69EB3443"/>
    <w:multiLevelType w:val="hybridMultilevel"/>
    <w:tmpl w:val="622A6DD4"/>
    <w:lvl w:ilvl="0" w:tplc="8782FB10">
      <w:start w:val="1"/>
      <w:numFmt w:val="bullet"/>
      <w:lvlText w:val=""/>
      <w:lvlJc w:val="left"/>
      <w:pPr>
        <w:tabs>
          <w:tab w:val="num" w:pos="360"/>
        </w:tabs>
        <w:ind w:left="360" w:hanging="360"/>
      </w:pPr>
      <w:rPr>
        <w:rFonts w:ascii="Symbol" w:hAnsi="Symbol" w:hint="default"/>
      </w:rPr>
    </w:lvl>
    <w:lvl w:ilvl="1" w:tplc="25D0FED2" w:tentative="1">
      <w:start w:val="1"/>
      <w:numFmt w:val="bullet"/>
      <w:lvlText w:val="o"/>
      <w:lvlJc w:val="left"/>
      <w:pPr>
        <w:tabs>
          <w:tab w:val="num" w:pos="1080"/>
        </w:tabs>
        <w:ind w:left="1080" w:hanging="360"/>
      </w:pPr>
      <w:rPr>
        <w:rFonts w:ascii="Courier New" w:hAnsi="Courier New" w:hint="default"/>
      </w:rPr>
    </w:lvl>
    <w:lvl w:ilvl="2" w:tplc="4418CF18" w:tentative="1">
      <w:start w:val="1"/>
      <w:numFmt w:val="bullet"/>
      <w:lvlText w:val=""/>
      <w:lvlJc w:val="left"/>
      <w:pPr>
        <w:tabs>
          <w:tab w:val="num" w:pos="1800"/>
        </w:tabs>
        <w:ind w:left="1800" w:hanging="360"/>
      </w:pPr>
      <w:rPr>
        <w:rFonts w:ascii="Wingdings" w:hAnsi="Wingdings" w:hint="default"/>
      </w:rPr>
    </w:lvl>
    <w:lvl w:ilvl="3" w:tplc="6EA087E0" w:tentative="1">
      <w:start w:val="1"/>
      <w:numFmt w:val="bullet"/>
      <w:lvlText w:val=""/>
      <w:lvlJc w:val="left"/>
      <w:pPr>
        <w:tabs>
          <w:tab w:val="num" w:pos="2520"/>
        </w:tabs>
        <w:ind w:left="2520" w:hanging="360"/>
      </w:pPr>
      <w:rPr>
        <w:rFonts w:ascii="Symbol" w:hAnsi="Symbol" w:hint="default"/>
      </w:rPr>
    </w:lvl>
    <w:lvl w:ilvl="4" w:tplc="27343E82" w:tentative="1">
      <w:start w:val="1"/>
      <w:numFmt w:val="bullet"/>
      <w:lvlText w:val="o"/>
      <w:lvlJc w:val="left"/>
      <w:pPr>
        <w:tabs>
          <w:tab w:val="num" w:pos="3240"/>
        </w:tabs>
        <w:ind w:left="3240" w:hanging="360"/>
      </w:pPr>
      <w:rPr>
        <w:rFonts w:ascii="Courier New" w:hAnsi="Courier New" w:hint="default"/>
      </w:rPr>
    </w:lvl>
    <w:lvl w:ilvl="5" w:tplc="8FB496C8" w:tentative="1">
      <w:start w:val="1"/>
      <w:numFmt w:val="bullet"/>
      <w:lvlText w:val=""/>
      <w:lvlJc w:val="left"/>
      <w:pPr>
        <w:tabs>
          <w:tab w:val="num" w:pos="3960"/>
        </w:tabs>
        <w:ind w:left="3960" w:hanging="360"/>
      </w:pPr>
      <w:rPr>
        <w:rFonts w:ascii="Wingdings" w:hAnsi="Wingdings" w:hint="default"/>
      </w:rPr>
    </w:lvl>
    <w:lvl w:ilvl="6" w:tplc="DF9AAF24" w:tentative="1">
      <w:start w:val="1"/>
      <w:numFmt w:val="bullet"/>
      <w:lvlText w:val=""/>
      <w:lvlJc w:val="left"/>
      <w:pPr>
        <w:tabs>
          <w:tab w:val="num" w:pos="4680"/>
        </w:tabs>
        <w:ind w:left="4680" w:hanging="360"/>
      </w:pPr>
      <w:rPr>
        <w:rFonts w:ascii="Symbol" w:hAnsi="Symbol" w:hint="default"/>
      </w:rPr>
    </w:lvl>
    <w:lvl w:ilvl="7" w:tplc="A18634CE" w:tentative="1">
      <w:start w:val="1"/>
      <w:numFmt w:val="bullet"/>
      <w:lvlText w:val="o"/>
      <w:lvlJc w:val="left"/>
      <w:pPr>
        <w:tabs>
          <w:tab w:val="num" w:pos="5400"/>
        </w:tabs>
        <w:ind w:left="5400" w:hanging="360"/>
      </w:pPr>
      <w:rPr>
        <w:rFonts w:ascii="Courier New" w:hAnsi="Courier New" w:hint="default"/>
      </w:rPr>
    </w:lvl>
    <w:lvl w:ilvl="8" w:tplc="4AAC0F44"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BEF71F6"/>
    <w:multiLevelType w:val="multilevel"/>
    <w:tmpl w:val="178EF3D8"/>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734814409">
    <w:abstractNumId w:val="0"/>
  </w:num>
  <w:num w:numId="2" w16cid:durableId="1562643177">
    <w:abstractNumId w:val="5"/>
  </w:num>
  <w:num w:numId="3" w16cid:durableId="1189634890">
    <w:abstractNumId w:val="5"/>
  </w:num>
  <w:num w:numId="4" w16cid:durableId="1441149621">
    <w:abstractNumId w:val="5"/>
  </w:num>
  <w:num w:numId="5" w16cid:durableId="85460723">
    <w:abstractNumId w:val="8"/>
  </w:num>
  <w:num w:numId="6" w16cid:durableId="981807310">
    <w:abstractNumId w:val="8"/>
  </w:num>
  <w:num w:numId="7" w16cid:durableId="9335837">
    <w:abstractNumId w:val="4"/>
  </w:num>
  <w:num w:numId="8" w16cid:durableId="1120077110">
    <w:abstractNumId w:val="3"/>
  </w:num>
  <w:num w:numId="9" w16cid:durableId="539710558">
    <w:abstractNumId w:val="2"/>
  </w:num>
  <w:num w:numId="10" w16cid:durableId="1433092671">
    <w:abstractNumId w:val="6"/>
  </w:num>
  <w:num w:numId="11" w16cid:durableId="1045183330">
    <w:abstractNumId w:val="1"/>
  </w:num>
  <w:num w:numId="12" w16cid:durableId="1524127660">
    <w:abstractNumId w:val="7"/>
  </w:num>
  <w:num w:numId="13" w16cid:durableId="565602390">
    <w:abstractNumId w:val="0"/>
  </w:num>
  <w:num w:numId="14" w16cid:durableId="147020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92"/>
    <w:rsid w:val="00016C9B"/>
    <w:rsid w:val="000D3A9E"/>
    <w:rsid w:val="00146D78"/>
    <w:rsid w:val="00241CD4"/>
    <w:rsid w:val="00274605"/>
    <w:rsid w:val="00426110"/>
    <w:rsid w:val="00477014"/>
    <w:rsid w:val="005D02CD"/>
    <w:rsid w:val="00732ADB"/>
    <w:rsid w:val="009E2392"/>
    <w:rsid w:val="00BF29EF"/>
    <w:rsid w:val="00FF38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F0D09A6"/>
  <w15:chartTrackingRefBased/>
  <w15:docId w15:val="{722BD7ED-73C4-47FA-B16A-6266B4A3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3"/>
      <w:lang w:eastAsia="en-US"/>
    </w:rPr>
  </w:style>
  <w:style w:type="paragraph" w:styleId="Heading1">
    <w:name w:val="heading 1"/>
    <w:aliases w:val="A MAJOR/BOLD,H1,No numbers,Para,Part,h1"/>
    <w:basedOn w:val="Normal"/>
    <w:next w:val="Heading2"/>
    <w:qFormat/>
    <w:pPr>
      <w:keepNext/>
      <w:numPr>
        <w:numId w:val="1"/>
      </w:numPr>
      <w:pBdr>
        <w:top w:val="single" w:sz="4" w:space="1" w:color="auto"/>
      </w:pBdr>
      <w:spacing w:before="240" w:after="240"/>
      <w:outlineLvl w:val="0"/>
    </w:pPr>
    <w:rPr>
      <w:rFonts w:ascii="Arial" w:hAnsi="Arial"/>
      <w:b/>
      <w:sz w:val="28"/>
      <w:szCs w:val="32"/>
    </w:rPr>
  </w:style>
  <w:style w:type="paragraph" w:styleId="Heading2">
    <w:name w:val="heading 2"/>
    <w:aliases w:val="1.1,2,B Sub/Bold,B Sub/Bold1,B Sub/Bold11,B Sub/Bold12,B Sub/Bold13,B Sub/Bold2,B Sub/Bold3,B Sub/Bold4,H2,Para2,Section,SubPara,UNDERRUBRIK 1-2,body,h2,h2 main heading,h2 main heading1,h2 main heading2,h2 main heading3,h2.H2,h21,h22,l2,test"/>
    <w:basedOn w:val="Normal"/>
    <w:qFormat/>
    <w:pPr>
      <w:numPr>
        <w:ilvl w:val="1"/>
        <w:numId w:val="1"/>
      </w:numPr>
      <w:spacing w:after="240"/>
      <w:outlineLvl w:val="1"/>
    </w:pPr>
    <w:rPr>
      <w:bCs/>
    </w:rPr>
  </w:style>
  <w:style w:type="paragraph" w:styleId="Heading3">
    <w:name w:val="heading 3"/>
    <w:aliases w:val="3,C Sub-Sub/Italic,C Sub-Sub/Italic1,H3,Head 3,Head 31,Head 32,Heading 3A,Sub2Para,h3,h3 sub heading,proj3,proj31,proj310,proj311,proj312,proj32,proj321,proj33,proj331,proj34,proj341,proj35,proj351,proj36,proj361,proj37,proj371,proj38,proj39"/>
    <w:basedOn w:val="Normal"/>
    <w:qFormat/>
    <w:pPr>
      <w:numPr>
        <w:ilvl w:val="2"/>
        <w:numId w:val="1"/>
      </w:numPr>
      <w:spacing w:after="240"/>
      <w:outlineLvl w:val="2"/>
    </w:pPr>
  </w:style>
  <w:style w:type="paragraph" w:styleId="Heading4">
    <w:name w:val="heading 4"/>
    <w:aliases w:val="(Alt+4),(Alt+4)1,(Alt+4)11,(Alt+4)12,(Alt+4)2,(Alt+4)21,(Alt+4)22,(Alt+4)3,(Alt+4)31,(Alt+4)32,(Alt+4)4,(Alt+4)5,(Alt+4)6,(Alt+4)7,(Alt+4)8,H4,H41,H411,H412,H42,H421,H422,H43,H431,H432,H44,H45,H46,H47,H48,Level 4,Para4,h4,h41,h42,heading 4,l4"/>
    <w:basedOn w:val="Normal"/>
    <w:qFormat/>
    <w:pPr>
      <w:numPr>
        <w:ilvl w:val="3"/>
        <w:numId w:val="1"/>
      </w:numPr>
      <w:spacing w:after="240"/>
      <w:outlineLvl w:val="3"/>
    </w:pPr>
  </w:style>
  <w:style w:type="paragraph" w:styleId="Heading5">
    <w:name w:val="heading 5"/>
    <w:aliases w:val="5,Block Label,H5,Level 5,Para5,Sub4Para,h5,l5"/>
    <w:basedOn w:val="Normal"/>
    <w:qFormat/>
    <w:pPr>
      <w:numPr>
        <w:ilvl w:val="4"/>
        <w:numId w:val="1"/>
      </w:numPr>
      <w:spacing w:after="240"/>
      <w:outlineLvl w:val="4"/>
    </w:pPr>
  </w:style>
  <w:style w:type="paragraph" w:styleId="Heading6">
    <w:name w:val="heading 6"/>
    <w:aliases w:val="H6,L1 PIP,Sub5Para,a,b"/>
    <w:basedOn w:val="Normal"/>
    <w:qFormat/>
    <w:pPr>
      <w:numPr>
        <w:ilvl w:val="5"/>
        <w:numId w:val="1"/>
      </w:numPr>
      <w:spacing w:after="240"/>
      <w:outlineLvl w:val="5"/>
    </w:pPr>
  </w:style>
  <w:style w:type="paragraph" w:styleId="Heading7">
    <w:name w:val="heading 7"/>
    <w:aliases w:val="H7,L2 PIP"/>
    <w:basedOn w:val="Normal"/>
    <w:qFormat/>
    <w:pPr>
      <w:spacing w:after="240"/>
      <w:outlineLvl w:val="6"/>
    </w:pPr>
    <w:rPr>
      <w:rFonts w:ascii="Arial" w:hAnsi="Arial" w:cs="Arial"/>
      <w:b/>
      <w:sz w:val="18"/>
    </w:rPr>
  </w:style>
  <w:style w:type="paragraph" w:styleId="Heading8">
    <w:name w:val="heading 8"/>
    <w:aliases w:val="H8,L3 PIP"/>
    <w:basedOn w:val="Normal"/>
    <w:qFormat/>
    <w:pPr>
      <w:numPr>
        <w:ilvl w:val="7"/>
        <w:numId w:val="1"/>
      </w:numPr>
      <w:spacing w:after="240"/>
      <w:outlineLvl w:val="7"/>
    </w:pPr>
  </w:style>
  <w:style w:type="paragraph" w:styleId="Heading9">
    <w:name w:val="heading 9"/>
    <w:aliases w:val="H9"/>
    <w:basedOn w:val="Normal"/>
    <w:qFormat/>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NormalIndent">
    <w:name w:val="Normal Indent"/>
    <w:basedOn w:val="Normal"/>
    <w:pPr>
      <w:ind w:left="720"/>
    </w:pPr>
    <w:rPr>
      <w:sz w:val="20"/>
    </w:rPr>
  </w:style>
  <w:style w:type="paragraph" w:customStyle="1" w:styleId="Indent1">
    <w:name w:val="Indent 1"/>
    <w:basedOn w:val="Normal"/>
    <w:next w:val="Normal"/>
    <w:pPr>
      <w:keepNext/>
      <w:spacing w:after="240"/>
      <w:ind w:left="737"/>
    </w:pPr>
    <w:rPr>
      <w:rFonts w:ascii="Arial" w:hAnsi="Arial" w:cs="Arial"/>
      <w:b/>
      <w:bCs/>
      <w:sz w:val="21"/>
    </w:rPr>
  </w:style>
  <w:style w:type="paragraph" w:customStyle="1" w:styleId="Indent2">
    <w:name w:val="Indent 2"/>
    <w:basedOn w:val="Normal"/>
    <w:pPr>
      <w:spacing w:after="240"/>
      <w:ind w:left="737"/>
    </w:pPr>
    <w:rPr>
      <w:iCs/>
    </w:rPr>
  </w:style>
  <w:style w:type="paragraph" w:customStyle="1" w:styleId="Indent00">
    <w:name w:val="Indent0"/>
    <w:basedOn w:val="Normal"/>
    <w:next w:val="Normal"/>
    <w:pPr>
      <w:spacing w:before="120" w:after="120"/>
      <w:ind w:left="737" w:hanging="737"/>
    </w:pPr>
    <w:rPr>
      <w:lang w:val="en-US"/>
    </w:rPr>
  </w:style>
  <w:style w:type="paragraph" w:customStyle="1" w:styleId="Indent3">
    <w:name w:val="Indent 3"/>
    <w:basedOn w:val="Normal"/>
    <w:pPr>
      <w:spacing w:after="240"/>
      <w:ind w:left="1474"/>
    </w:pPr>
  </w:style>
  <w:style w:type="paragraph" w:styleId="BodyText">
    <w:name w:val="Body Text"/>
    <w:basedOn w:val="Normal"/>
    <w:pPr>
      <w:spacing w:after="240"/>
    </w:pPr>
  </w:style>
  <w:style w:type="paragraph" w:styleId="Index1">
    <w:name w:val="index 1"/>
    <w:basedOn w:val="Normal"/>
    <w:next w:val="Normal"/>
    <w:autoRedefine/>
    <w:semiHidden/>
    <w:pPr>
      <w:spacing w:before="60" w:after="60"/>
    </w:pPr>
    <w:rPr>
      <w:rFonts w:ascii="Arial" w:hAnsi="Arial" w:cs="Arial"/>
      <w:sz w:val="18"/>
    </w:rPr>
  </w:style>
  <w:style w:type="paragraph" w:customStyle="1" w:styleId="NormalIndent2">
    <w:name w:val="Normal Indent2"/>
    <w:basedOn w:val="Normal"/>
    <w:next w:val="NormalIndent"/>
    <w:pPr>
      <w:ind w:left="1474"/>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paragraph" w:customStyle="1" w:styleId="ContentsTitle">
    <w:name w:val="ContentsTitle"/>
    <w:basedOn w:val="Normal"/>
    <w:next w:val="Normal"/>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Pr>
      <w:rFonts w:ascii="Arial Narrow" w:hAnsi="Arial Narrow"/>
      <w:b/>
      <w:sz w:val="32"/>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customStyle="1" w:styleId="DocTitle">
    <w:name w:val="DocTitle"/>
    <w:basedOn w:val="Normal"/>
    <w:next w:val="Normal"/>
    <w:pPr>
      <w:tabs>
        <w:tab w:val="left" w:pos="2722"/>
      </w:tabs>
      <w:ind w:left="2722"/>
    </w:pPr>
    <w:rPr>
      <w:rFonts w:ascii="Arial Narrow" w:hAnsi="Arial Narrow"/>
      <w:b/>
      <w:sz w:val="34"/>
    </w:rPr>
  </w:style>
  <w:style w:type="paragraph" w:customStyle="1" w:styleId="SchedTitle">
    <w:name w:val="SchedTitle"/>
    <w:basedOn w:val="Normal"/>
    <w:next w:val="Normal"/>
    <w:pPr>
      <w:spacing w:after="240"/>
    </w:pPr>
    <w:rPr>
      <w:rFonts w:ascii="Arial" w:hAnsi="Arial"/>
      <w:sz w:val="36"/>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spacing w:after="240"/>
      <w:ind w:left="2948" w:hanging="741"/>
    </w:pPr>
  </w:style>
  <w:style w:type="paragraph" w:styleId="BodyTextIndent2">
    <w:name w:val="Body Text Indent 2"/>
    <w:basedOn w:val="Normal"/>
    <w:pPr>
      <w:spacing w:after="240"/>
      <w:ind w:left="1418"/>
    </w:pPr>
  </w:style>
  <w:style w:type="character" w:styleId="Hyperlink">
    <w:name w:val="Hyperlink"/>
    <w:uiPriority w:val="99"/>
    <w:rPr>
      <w:color w:val="0000FF"/>
      <w:u w:val="single"/>
    </w:rPr>
  </w:style>
  <w:style w:type="paragraph" w:styleId="BodyText2">
    <w:name w:val="Body Text 2"/>
    <w:basedOn w:val="Normal"/>
    <w:pPr>
      <w:ind w:left="720"/>
    </w:pPr>
  </w:style>
  <w:style w:type="paragraph" w:styleId="TOC8">
    <w:name w:val="toc 8"/>
    <w:basedOn w:val="Normal"/>
    <w:next w:val="Normal"/>
    <w:autoRedefine/>
    <w:semiHidden/>
    <w:pPr>
      <w:ind w:left="1610"/>
    </w:pPr>
  </w:style>
  <w:style w:type="paragraph" w:styleId="TOC7">
    <w:name w:val="toc 7"/>
    <w:basedOn w:val="Normal"/>
    <w:next w:val="Normal"/>
    <w:autoRedefine/>
    <w:semiHidden/>
    <w:pPr>
      <w:ind w:left="1380"/>
    </w:pPr>
  </w:style>
  <w:style w:type="paragraph" w:styleId="TOC6">
    <w:name w:val="toc 6"/>
    <w:basedOn w:val="Normal"/>
    <w:next w:val="Normal"/>
    <w:autoRedefine/>
    <w:semiHidden/>
    <w:pPr>
      <w:ind w:left="1150"/>
    </w:pPr>
  </w:style>
  <w:style w:type="paragraph" w:styleId="TOC5">
    <w:name w:val="toc 5"/>
    <w:basedOn w:val="Normal"/>
    <w:next w:val="Normal"/>
    <w:autoRedefine/>
    <w:semiHidden/>
    <w:pPr>
      <w:ind w:left="920"/>
    </w:pPr>
  </w:style>
  <w:style w:type="paragraph" w:styleId="TOC4">
    <w:name w:val="toc 4"/>
    <w:basedOn w:val="Normal"/>
    <w:next w:val="Normal"/>
    <w:autoRedefine/>
    <w:semiHidden/>
    <w:pPr>
      <w:ind w:left="690"/>
    </w:pPr>
  </w:style>
  <w:style w:type="paragraph" w:styleId="TOC3">
    <w:name w:val="toc 3"/>
    <w:basedOn w:val="Normal"/>
    <w:next w:val="Normal"/>
    <w:semiHidden/>
    <w:pPr>
      <w:tabs>
        <w:tab w:val="left" w:pos="2268"/>
        <w:tab w:val="right" w:pos="7797"/>
      </w:tabs>
      <w:spacing w:before="120"/>
      <w:ind w:left="1440" w:right="1701"/>
    </w:pPr>
    <w:rPr>
      <w:rFonts w:ascii="Arial" w:hAnsi="Arial"/>
      <w:b/>
      <w:noProof/>
      <w:sz w:val="20"/>
    </w:r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pPr>
      <w:ind w:left="1698"/>
    </w:pPr>
  </w:style>
  <w:style w:type="paragraph" w:styleId="Index6">
    <w:name w:val="index 6"/>
    <w:basedOn w:val="Normal"/>
    <w:next w:val="Normal"/>
    <w:autoRedefine/>
    <w:semiHidden/>
    <w:pPr>
      <w:ind w:left="1415"/>
    </w:pPr>
  </w:style>
  <w:style w:type="paragraph" w:styleId="Index5">
    <w:name w:val="index 5"/>
    <w:basedOn w:val="Normal"/>
    <w:next w:val="Normal"/>
    <w:autoRedefine/>
    <w:semiHidden/>
    <w:pPr>
      <w:ind w:left="1132"/>
    </w:pPr>
  </w:style>
  <w:style w:type="paragraph" w:styleId="Index4">
    <w:name w:val="index 4"/>
    <w:basedOn w:val="Normal"/>
    <w:next w:val="Normal"/>
    <w:autoRedefine/>
    <w:semiHidden/>
    <w:pPr>
      <w:ind w:left="849"/>
    </w:pPr>
  </w:style>
  <w:style w:type="paragraph" w:styleId="Index3">
    <w:name w:val="index 3"/>
    <w:basedOn w:val="Normal"/>
    <w:next w:val="Normal"/>
    <w:autoRedefine/>
    <w:semiHidden/>
    <w:pPr>
      <w:ind w:left="566"/>
    </w:pPr>
  </w:style>
  <w:style w:type="paragraph" w:styleId="Index2">
    <w:name w:val="index 2"/>
    <w:basedOn w:val="Normal"/>
    <w:next w:val="Normal"/>
    <w:autoRedefine/>
    <w:semiHidden/>
    <w:pPr>
      <w:ind w:left="283"/>
    </w:pPr>
  </w:style>
  <w:style w:type="character" w:styleId="LineNumber">
    <w:name w:val="line number"/>
    <w:rPr>
      <w:sz w:val="20"/>
    </w:rPr>
  </w:style>
  <w:style w:type="paragraph" w:styleId="IndexHeading">
    <w:name w:val="index heading"/>
    <w:basedOn w:val="Normal"/>
    <w:next w:val="Normal"/>
    <w:semiHidden/>
  </w:style>
  <w:style w:type="character" w:styleId="FootnoteReference">
    <w:name w:val="footnote reference"/>
    <w:semiHidden/>
    <w:rPr>
      <w:vertAlign w:val="superscript"/>
    </w:rPr>
  </w:style>
  <w:style w:type="paragraph" w:styleId="FootnoteText">
    <w:name w:val="footnote text"/>
    <w:basedOn w:val="Normal"/>
    <w:semiHidden/>
    <w:pPr>
      <w:spacing w:after="60"/>
      <w:ind w:left="284" w:hanging="284"/>
    </w:pPr>
    <w:rPr>
      <w:rFonts w:ascii="Arial" w:hAnsi="Arial"/>
      <w:sz w:val="18"/>
    </w:rPr>
  </w:style>
  <w:style w:type="paragraph" w:customStyle="1" w:styleId="Title1">
    <w:name w:val="Title1"/>
    <w:basedOn w:val="Normal"/>
    <w:pPr>
      <w:jc w:val="center"/>
    </w:pPr>
    <w:rPr>
      <w:rFonts w:ascii="Arial Narrow" w:hAnsi="Arial Narrow"/>
      <w:b/>
      <w:sz w:val="32"/>
    </w:rPr>
  </w:style>
  <w:style w:type="paragraph" w:styleId="TOC9">
    <w:name w:val="toc 9"/>
    <w:basedOn w:val="Normal"/>
    <w:next w:val="Normal"/>
    <w:autoRedefine/>
    <w:semiHidden/>
    <w:pPr>
      <w:ind w:left="1840"/>
    </w:pPr>
  </w:style>
  <w:style w:type="paragraph" w:styleId="BodyTextIndent3">
    <w:name w:val="Body Text Indent 3"/>
    <w:basedOn w:val="Normal"/>
    <w:pPr>
      <w:spacing w:after="240"/>
      <w:ind w:left="2977" w:hanging="850"/>
    </w:p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Caption">
    <w:name w:val="caption"/>
    <w:basedOn w:val="Normal"/>
    <w:next w:val="Normal"/>
    <w:qFormat/>
    <w:rPr>
      <w:rFonts w:ascii="Arial Narrow" w:hAnsi="Arial Narrow"/>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4"/>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5"/>
      </w:numPr>
      <w:spacing w:before="120" w:after="12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Heading2Text">
    <w:name w:val="Heading 2 Text"/>
    <w:basedOn w:val="Normal"/>
    <w:pPr>
      <w:spacing w:after="60"/>
      <w:ind w:left="567"/>
    </w:pPr>
    <w:rPr>
      <w:rFonts w:ascii="Arial" w:hAnsi="Arial"/>
      <w:sz w:val="17"/>
    </w:rPr>
  </w:style>
  <w:style w:type="paragraph" w:styleId="BalloonText">
    <w:name w:val="Balloon Text"/>
    <w:basedOn w:val="Normal"/>
    <w:semiHidden/>
    <w:rPr>
      <w:rFonts w:ascii="Tahoma" w:hAnsi="Tahoma" w:cs="Tahoma"/>
      <w:sz w:val="16"/>
      <w:szCs w:val="16"/>
    </w:rPr>
  </w:style>
  <w:style w:type="paragraph" w:customStyle="1" w:styleId="bullet">
    <w:name w:val="bullet"/>
    <w:basedOn w:val="text"/>
    <w:pPr>
      <w:tabs>
        <w:tab w:val="clear" w:pos="709"/>
      </w:tabs>
      <w:spacing w:before="0" w:after="60"/>
      <w:ind w:left="1775" w:hanging="357"/>
    </w:pPr>
    <w:rPr>
      <w:rFonts w:ascii="Times New Roman" w:hAnsi="Times New Roman"/>
    </w:rPr>
  </w:style>
  <w:style w:type="character" w:customStyle="1" w:styleId="Choice">
    <w:name w:val="Choice"/>
    <w:rPr>
      <w:rFonts w:ascii="Arial" w:hAnsi="Arial"/>
      <w:b/>
      <w:noProof w:val="0"/>
      <w:sz w:val="18"/>
      <w:vertAlign w:val="baseline"/>
      <w:lang w:val="en-AU"/>
    </w:rPr>
  </w:style>
  <w:style w:type="paragraph" w:customStyle="1" w:styleId="FPtext">
    <w:name w:val="FPtext"/>
    <w:basedOn w:val="Normal"/>
    <w:pPr>
      <w:spacing w:line="260" w:lineRule="atLeast"/>
      <w:ind w:left="624" w:right="-567"/>
    </w:pPr>
    <w:rPr>
      <w:rFonts w:ascii="Arial" w:hAnsi="Arial"/>
      <w:sz w:val="20"/>
    </w:rPr>
  </w:style>
  <w:style w:type="paragraph" w:customStyle="1" w:styleId="CoverText">
    <w:name w:val="CoverText"/>
    <w:basedOn w:val="FPtext"/>
    <w:pPr>
      <w:ind w:left="57" w:right="0"/>
    </w:pPr>
  </w:style>
  <w:style w:type="paragraph" w:customStyle="1" w:styleId="Details">
    <w:name w:val="Details"/>
    <w:basedOn w:val="Normal"/>
    <w:next w:val="Normal"/>
    <w:pPr>
      <w:spacing w:before="120" w:after="120" w:line="260" w:lineRule="atLeast"/>
    </w:pPr>
  </w:style>
  <w:style w:type="paragraph" w:customStyle="1" w:styleId="DetailsFollower">
    <w:name w:val="DetailsFollower"/>
    <w:basedOn w:val="Normal"/>
    <w:pPr>
      <w:spacing w:before="120" w:after="120" w:line="260" w:lineRule="atLeast"/>
    </w:pPr>
  </w:style>
  <w:style w:type="character" w:styleId="FollowedHyperlink">
    <w:name w:val="FollowedHyperlink"/>
    <w:rPr>
      <w:color w:val="800080"/>
      <w:u w:val="single"/>
    </w:rPr>
  </w:style>
  <w:style w:type="paragraph" w:customStyle="1" w:styleId="FPbullet">
    <w:name w:val="FPbullet"/>
    <w:basedOn w:val="Normal"/>
    <w:pPr>
      <w:numPr>
        <w:ilvl w:val="10"/>
      </w:numPr>
      <w:spacing w:before="120" w:line="260" w:lineRule="atLeast"/>
      <w:ind w:left="624" w:right="-567" w:hanging="284"/>
    </w:pPr>
    <w:rPr>
      <w:rFonts w:ascii="Arial" w:hAnsi="Arial"/>
      <w:sz w:val="20"/>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FSbullet">
    <w:name w:val="FSbullet"/>
    <w:basedOn w:val="Normal"/>
    <w:pPr>
      <w:numPr>
        <w:ilvl w:val="10"/>
      </w:numPr>
      <w:spacing w:after="120" w:line="260" w:lineRule="atLeast"/>
      <w:ind w:left="737" w:hanging="510"/>
    </w:pPr>
    <w:rPr>
      <w:rFonts w:ascii="Arial" w:hAnsi="Arial"/>
      <w:sz w:val="20"/>
    </w:r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pPr>
      <w:numPr>
        <w:ilvl w:val="10"/>
      </w:numPr>
      <w:ind w:left="709" w:hanging="284"/>
    </w:pPr>
  </w:style>
  <w:style w:type="paragraph" w:customStyle="1" w:styleId="FScheckNoYes">
    <w:name w:val="FScheckNoYes"/>
    <w:basedOn w:val="FScheck1"/>
    <w:pPr>
      <w:ind w:left="0" w:firstLine="0"/>
    </w:pPr>
  </w:style>
  <w:style w:type="paragraph" w:customStyle="1" w:styleId="FStext">
    <w:name w:val="FStext"/>
    <w:basedOn w:val="Normal"/>
    <w:pPr>
      <w:spacing w:after="120" w:line="260" w:lineRule="atLeast"/>
      <w:ind w:left="737"/>
    </w:pPr>
    <w:rPr>
      <w:rFonts w:ascii="Arial" w:hAnsi="Arial"/>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Indent-First">
    <w:name w:val="Indent-First"/>
    <w:basedOn w:val="text"/>
    <w:pPr>
      <w:tabs>
        <w:tab w:val="clear" w:pos="709"/>
      </w:tabs>
      <w:spacing w:before="0"/>
    </w:pPr>
    <w:rPr>
      <w:rFonts w:ascii="Times New Roman" w:hAnsi="Times New Roman"/>
    </w:rPr>
  </w:style>
  <w:style w:type="paragraph" w:customStyle="1" w:styleId="Normal1">
    <w:name w:val="Normal 1"/>
    <w:basedOn w:val="Normal"/>
    <w:pPr>
      <w:ind w:left="709"/>
    </w:pPr>
  </w:style>
  <w:style w:type="paragraph" w:customStyle="1" w:styleId="NormalDeed">
    <w:name w:val="Normal Deed"/>
    <w:basedOn w:val="Normal"/>
    <w:pPr>
      <w:spacing w:after="240"/>
    </w:pPr>
  </w:style>
  <w:style w:type="character" w:styleId="PageNumber">
    <w:name w:val="page number"/>
    <w:basedOn w:val="DefaultParagraphFont"/>
  </w:style>
  <w:style w:type="paragraph" w:customStyle="1" w:styleId="PartHeading">
    <w:name w:val="Part Heading"/>
    <w:basedOn w:val="Normal"/>
    <w:pPr>
      <w:spacing w:before="240" w:after="240"/>
    </w:pPr>
    <w:rPr>
      <w:rFonts w:ascii="Arial" w:hAnsi="Arial"/>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PrecNameCover">
    <w:name w:val="PrecNameCover"/>
    <w:basedOn w:val="PrecName"/>
    <w:pPr>
      <w:ind w:left="57"/>
    </w:p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SchedH5">
    <w:name w:val="SchedH5"/>
    <w:basedOn w:val="Normal"/>
    <w:pPr>
      <w:numPr>
        <w:ilvl w:val="4"/>
        <w:numId w:val="6"/>
      </w:numPr>
      <w:spacing w:after="240"/>
    </w:pPr>
  </w:style>
  <w:style w:type="paragraph" w:customStyle="1" w:styleId="TableData">
    <w:name w:val="TableData"/>
    <w:basedOn w:val="Normal"/>
    <w:pPr>
      <w:spacing w:before="120" w:after="120"/>
    </w:pPr>
    <w:rPr>
      <w:rFonts w:ascii="Arial" w:hAnsi="Arial"/>
      <w:sz w:val="18"/>
    </w:rPr>
  </w:style>
  <w:style w:type="paragraph" w:customStyle="1" w:styleId="TableHead">
    <w:name w:val="TableHead"/>
    <w:basedOn w:val="Normal"/>
    <w:next w:val="TableData"/>
    <w:pPr>
      <w:spacing w:before="60" w:after="60"/>
    </w:pPr>
    <w:rPr>
      <w:rFonts w:ascii="Arial" w:hAnsi="Arial"/>
      <w:b/>
      <w:sz w:val="18"/>
    </w:rPr>
  </w:style>
  <w:style w:type="paragraph" w:styleId="TOCHeading">
    <w:name w:val="TOC Heading"/>
    <w:basedOn w:val="Heading1"/>
    <w:next w:val="Normal"/>
    <w:qFormat/>
    <w:pPr>
      <w:numPr>
        <w:numId w:val="0"/>
      </w:numPr>
      <w:ind w:firstLine="737"/>
    </w:pPr>
    <w:rPr>
      <w:bCs/>
    </w:rPr>
  </w:style>
  <w:style w:type="paragraph" w:styleId="BodyText3">
    <w:name w:val="Body Text 3"/>
    <w:basedOn w:val="Normal"/>
    <w:pPr>
      <w:ind w:right="-37"/>
      <w:jc w:val="center"/>
    </w:pPr>
    <w:rPr>
      <w:color w:val="000000"/>
      <w:sz w:val="20"/>
    </w:rPr>
  </w:style>
  <w:style w:type="paragraph" w:styleId="CommentSubject">
    <w:name w:val="annotation subject"/>
    <w:basedOn w:val="CommentText"/>
    <w:next w:val="CommentText"/>
    <w:link w:val="CommentSubjectChar"/>
    <w:rsid w:val="00462650"/>
    <w:rPr>
      <w:b/>
      <w:bCs/>
      <w:sz w:val="20"/>
    </w:rPr>
  </w:style>
  <w:style w:type="character" w:customStyle="1" w:styleId="CommentTextChar">
    <w:name w:val="Comment Text Char"/>
    <w:link w:val="CommentText"/>
    <w:semiHidden/>
    <w:rsid w:val="00462650"/>
    <w:rPr>
      <w:sz w:val="23"/>
      <w:lang w:val="en-AU" w:eastAsia="en-US"/>
    </w:rPr>
  </w:style>
  <w:style w:type="character" w:customStyle="1" w:styleId="CommentSubjectChar">
    <w:name w:val="Comment Subject Char"/>
    <w:link w:val="CommentSubject"/>
    <w:rsid w:val="00462650"/>
    <w:rPr>
      <w:b/>
      <w:bCs/>
      <w:sz w:val="23"/>
      <w:lang w:val="en-AU" w:eastAsia="en-US"/>
    </w:rPr>
  </w:style>
  <w:style w:type="paragraph" w:styleId="Revision">
    <w:name w:val="Revision"/>
    <w:hidden/>
    <w:uiPriority w:val="99"/>
    <w:semiHidden/>
    <w:rsid w:val="00016C9B"/>
    <w:rPr>
      <w:sz w:val="23"/>
      <w:lang w:eastAsia="en-US"/>
    </w:rPr>
  </w:style>
  <w:style w:type="character" w:customStyle="1" w:styleId="ui-provider">
    <w:name w:val="ui-provider"/>
    <w:basedOn w:val="DefaultParagraphFont"/>
    <w:rsid w:val="00016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lstra.com.au/customerterms/bus_vgdl.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lstra.com.au/customerterms/bus_government.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lstra.com.au/customerterms/bus_government.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C8B6BB09BBD48BA73A63BD4A5EC35" ma:contentTypeVersion="13" ma:contentTypeDescription="Create a new document." ma:contentTypeScope="" ma:versionID="d3e0e5f57923092dbb4566c38156c4df">
  <xsd:schema xmlns:xsd="http://www.w3.org/2001/XMLSchema" xmlns:xs="http://www.w3.org/2001/XMLSchema" xmlns:p="http://schemas.microsoft.com/office/2006/metadata/properties" xmlns:ns3="c10d789f-d412-49b1-b8bd-e5d31886c4bd" xmlns:ns4="adb00b1f-75fc-48f0-964b-2527c3f0b741" targetNamespace="http://schemas.microsoft.com/office/2006/metadata/properties" ma:root="true" ma:fieldsID="bab6c5f9007f5da08ae1f8eb3a9b0ccd" ns3:_="" ns4:_="">
    <xsd:import namespace="c10d789f-d412-49b1-b8bd-e5d31886c4bd"/>
    <xsd:import namespace="adb00b1f-75fc-48f0-964b-2527c3f0b7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d789f-d412-49b1-b8bd-e5d31886c4b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b00b1f-75fc-48f0-964b-2527c3f0b7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AB211-2697-45BE-8D18-891D77A6A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d789f-d412-49b1-b8bd-e5d31886c4bd"/>
    <ds:schemaRef ds:uri="adb00b1f-75fc-48f0-964b-2527c3f0b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46A4F-5B31-4E89-94B4-AAA21F61BD2F}">
  <ds:schemaRefs>
    <ds:schemaRef ds:uri="http://schemas.microsoft.com/sharepoint/v3/contenttype/forms"/>
  </ds:schemaRefs>
</ds:datastoreItem>
</file>

<file path=customXml/itemProps3.xml><?xml version="1.0" encoding="utf-8"?>
<ds:datastoreItem xmlns:ds="http://schemas.openxmlformats.org/officeDocument/2006/customXml" ds:itemID="{0885F0F3-1986-4FA8-B122-6DDD17CE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322B8D-1D02-42AF-B9F0-468B24171AB6}">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2627</Words>
  <Characters>14976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Telstra Our Customer Terms SMR Commercial Service Section</vt:lpstr>
    </vt:vector>
  </TitlesOfParts>
  <Manager/>
  <Company/>
  <LinksUpToDate>false</LinksUpToDate>
  <CharactersWithSpaces>17568</CharactersWithSpaces>
  <SharedDoc>false</SharedDoc>
  <HLinks>
    <vt:vector size="198" baseType="variant">
      <vt:variant>
        <vt:i4>8060952</vt:i4>
      </vt:variant>
      <vt:variant>
        <vt:i4>189</vt:i4>
      </vt:variant>
      <vt:variant>
        <vt:i4>0</vt:i4>
      </vt:variant>
      <vt:variant>
        <vt:i4>5</vt:i4>
      </vt:variant>
      <vt:variant>
        <vt:lpwstr>http://www.telstra.com.au/customerterms/bus_vgdl.htm</vt:lpwstr>
      </vt:variant>
      <vt:variant>
        <vt:lpwstr/>
      </vt:variant>
      <vt:variant>
        <vt:i4>327786</vt:i4>
      </vt:variant>
      <vt:variant>
        <vt:i4>186</vt:i4>
      </vt:variant>
      <vt:variant>
        <vt:i4>0</vt:i4>
      </vt:variant>
      <vt:variant>
        <vt:i4>5</vt:i4>
      </vt:variant>
      <vt:variant>
        <vt:lpwstr>http://www.telstra.com.au/customerterms/bus_government.htm</vt:lpwstr>
      </vt:variant>
      <vt:variant>
        <vt:lpwstr/>
      </vt:variant>
      <vt:variant>
        <vt:i4>327786</vt:i4>
      </vt:variant>
      <vt:variant>
        <vt:i4>183</vt:i4>
      </vt:variant>
      <vt:variant>
        <vt:i4>0</vt:i4>
      </vt:variant>
      <vt:variant>
        <vt:i4>5</vt:i4>
      </vt:variant>
      <vt:variant>
        <vt:lpwstr>http://www.telstra.com.au/customerterms/bus_government.htm</vt:lpwstr>
      </vt:variant>
      <vt:variant>
        <vt:lpwstr/>
      </vt:variant>
      <vt:variant>
        <vt:i4>1769524</vt:i4>
      </vt:variant>
      <vt:variant>
        <vt:i4>176</vt:i4>
      </vt:variant>
      <vt:variant>
        <vt:i4>0</vt:i4>
      </vt:variant>
      <vt:variant>
        <vt:i4>5</vt:i4>
      </vt:variant>
      <vt:variant>
        <vt:lpwstr/>
      </vt:variant>
      <vt:variant>
        <vt:lpwstr>_Toc256000092</vt:lpwstr>
      </vt:variant>
      <vt:variant>
        <vt:i4>1769524</vt:i4>
      </vt:variant>
      <vt:variant>
        <vt:i4>170</vt:i4>
      </vt:variant>
      <vt:variant>
        <vt:i4>0</vt:i4>
      </vt:variant>
      <vt:variant>
        <vt:i4>5</vt:i4>
      </vt:variant>
      <vt:variant>
        <vt:lpwstr/>
      </vt:variant>
      <vt:variant>
        <vt:lpwstr>_Toc256000091</vt:lpwstr>
      </vt:variant>
      <vt:variant>
        <vt:i4>1769524</vt:i4>
      </vt:variant>
      <vt:variant>
        <vt:i4>164</vt:i4>
      </vt:variant>
      <vt:variant>
        <vt:i4>0</vt:i4>
      </vt:variant>
      <vt:variant>
        <vt:i4>5</vt:i4>
      </vt:variant>
      <vt:variant>
        <vt:lpwstr/>
      </vt:variant>
      <vt:variant>
        <vt:lpwstr>_Toc256000090</vt:lpwstr>
      </vt:variant>
      <vt:variant>
        <vt:i4>1703988</vt:i4>
      </vt:variant>
      <vt:variant>
        <vt:i4>158</vt:i4>
      </vt:variant>
      <vt:variant>
        <vt:i4>0</vt:i4>
      </vt:variant>
      <vt:variant>
        <vt:i4>5</vt:i4>
      </vt:variant>
      <vt:variant>
        <vt:lpwstr/>
      </vt:variant>
      <vt:variant>
        <vt:lpwstr>_Toc256000089</vt:lpwstr>
      </vt:variant>
      <vt:variant>
        <vt:i4>1703988</vt:i4>
      </vt:variant>
      <vt:variant>
        <vt:i4>152</vt:i4>
      </vt:variant>
      <vt:variant>
        <vt:i4>0</vt:i4>
      </vt:variant>
      <vt:variant>
        <vt:i4>5</vt:i4>
      </vt:variant>
      <vt:variant>
        <vt:lpwstr/>
      </vt:variant>
      <vt:variant>
        <vt:lpwstr>_Toc256000088</vt:lpwstr>
      </vt:variant>
      <vt:variant>
        <vt:i4>1703988</vt:i4>
      </vt:variant>
      <vt:variant>
        <vt:i4>146</vt:i4>
      </vt:variant>
      <vt:variant>
        <vt:i4>0</vt:i4>
      </vt:variant>
      <vt:variant>
        <vt:i4>5</vt:i4>
      </vt:variant>
      <vt:variant>
        <vt:lpwstr/>
      </vt:variant>
      <vt:variant>
        <vt:lpwstr>_Toc256000087</vt:lpwstr>
      </vt:variant>
      <vt:variant>
        <vt:i4>1703988</vt:i4>
      </vt:variant>
      <vt:variant>
        <vt:i4>140</vt:i4>
      </vt:variant>
      <vt:variant>
        <vt:i4>0</vt:i4>
      </vt:variant>
      <vt:variant>
        <vt:i4>5</vt:i4>
      </vt:variant>
      <vt:variant>
        <vt:lpwstr/>
      </vt:variant>
      <vt:variant>
        <vt:lpwstr>_Toc256000086</vt:lpwstr>
      </vt:variant>
      <vt:variant>
        <vt:i4>1703988</vt:i4>
      </vt:variant>
      <vt:variant>
        <vt:i4>134</vt:i4>
      </vt:variant>
      <vt:variant>
        <vt:i4>0</vt:i4>
      </vt:variant>
      <vt:variant>
        <vt:i4>5</vt:i4>
      </vt:variant>
      <vt:variant>
        <vt:lpwstr/>
      </vt:variant>
      <vt:variant>
        <vt:lpwstr>_Toc256000085</vt:lpwstr>
      </vt:variant>
      <vt:variant>
        <vt:i4>1703988</vt:i4>
      </vt:variant>
      <vt:variant>
        <vt:i4>128</vt:i4>
      </vt:variant>
      <vt:variant>
        <vt:i4>0</vt:i4>
      </vt:variant>
      <vt:variant>
        <vt:i4>5</vt:i4>
      </vt:variant>
      <vt:variant>
        <vt:lpwstr/>
      </vt:variant>
      <vt:variant>
        <vt:lpwstr>_Toc256000084</vt:lpwstr>
      </vt:variant>
      <vt:variant>
        <vt:i4>1703988</vt:i4>
      </vt:variant>
      <vt:variant>
        <vt:i4>122</vt:i4>
      </vt:variant>
      <vt:variant>
        <vt:i4>0</vt:i4>
      </vt:variant>
      <vt:variant>
        <vt:i4>5</vt:i4>
      </vt:variant>
      <vt:variant>
        <vt:lpwstr/>
      </vt:variant>
      <vt:variant>
        <vt:lpwstr>_Toc256000083</vt:lpwstr>
      </vt:variant>
      <vt:variant>
        <vt:i4>1703988</vt:i4>
      </vt:variant>
      <vt:variant>
        <vt:i4>116</vt:i4>
      </vt:variant>
      <vt:variant>
        <vt:i4>0</vt:i4>
      </vt:variant>
      <vt:variant>
        <vt:i4>5</vt:i4>
      </vt:variant>
      <vt:variant>
        <vt:lpwstr/>
      </vt:variant>
      <vt:variant>
        <vt:lpwstr>_Toc256000082</vt:lpwstr>
      </vt:variant>
      <vt:variant>
        <vt:i4>1703988</vt:i4>
      </vt:variant>
      <vt:variant>
        <vt:i4>110</vt:i4>
      </vt:variant>
      <vt:variant>
        <vt:i4>0</vt:i4>
      </vt:variant>
      <vt:variant>
        <vt:i4>5</vt:i4>
      </vt:variant>
      <vt:variant>
        <vt:lpwstr/>
      </vt:variant>
      <vt:variant>
        <vt:lpwstr>_Toc256000081</vt:lpwstr>
      </vt:variant>
      <vt:variant>
        <vt:i4>1703988</vt:i4>
      </vt:variant>
      <vt:variant>
        <vt:i4>104</vt:i4>
      </vt:variant>
      <vt:variant>
        <vt:i4>0</vt:i4>
      </vt:variant>
      <vt:variant>
        <vt:i4>5</vt:i4>
      </vt:variant>
      <vt:variant>
        <vt:lpwstr/>
      </vt:variant>
      <vt:variant>
        <vt:lpwstr>_Toc256000080</vt:lpwstr>
      </vt:variant>
      <vt:variant>
        <vt:i4>1376308</vt:i4>
      </vt:variant>
      <vt:variant>
        <vt:i4>98</vt:i4>
      </vt:variant>
      <vt:variant>
        <vt:i4>0</vt:i4>
      </vt:variant>
      <vt:variant>
        <vt:i4>5</vt:i4>
      </vt:variant>
      <vt:variant>
        <vt:lpwstr/>
      </vt:variant>
      <vt:variant>
        <vt:lpwstr>_Toc256000079</vt:lpwstr>
      </vt:variant>
      <vt:variant>
        <vt:i4>1376308</vt:i4>
      </vt:variant>
      <vt:variant>
        <vt:i4>92</vt:i4>
      </vt:variant>
      <vt:variant>
        <vt:i4>0</vt:i4>
      </vt:variant>
      <vt:variant>
        <vt:i4>5</vt:i4>
      </vt:variant>
      <vt:variant>
        <vt:lpwstr/>
      </vt:variant>
      <vt:variant>
        <vt:lpwstr>_Toc256000078</vt:lpwstr>
      </vt:variant>
      <vt:variant>
        <vt:i4>1376308</vt:i4>
      </vt:variant>
      <vt:variant>
        <vt:i4>86</vt:i4>
      </vt:variant>
      <vt:variant>
        <vt:i4>0</vt:i4>
      </vt:variant>
      <vt:variant>
        <vt:i4>5</vt:i4>
      </vt:variant>
      <vt:variant>
        <vt:lpwstr/>
      </vt:variant>
      <vt:variant>
        <vt:lpwstr>_Toc256000077</vt:lpwstr>
      </vt:variant>
      <vt:variant>
        <vt:i4>1376308</vt:i4>
      </vt:variant>
      <vt:variant>
        <vt:i4>80</vt:i4>
      </vt:variant>
      <vt:variant>
        <vt:i4>0</vt:i4>
      </vt:variant>
      <vt:variant>
        <vt:i4>5</vt:i4>
      </vt:variant>
      <vt:variant>
        <vt:lpwstr/>
      </vt:variant>
      <vt:variant>
        <vt:lpwstr>_Toc256000076</vt:lpwstr>
      </vt:variant>
      <vt:variant>
        <vt:i4>1376308</vt:i4>
      </vt:variant>
      <vt:variant>
        <vt:i4>74</vt:i4>
      </vt:variant>
      <vt:variant>
        <vt:i4>0</vt:i4>
      </vt:variant>
      <vt:variant>
        <vt:i4>5</vt:i4>
      </vt:variant>
      <vt:variant>
        <vt:lpwstr/>
      </vt:variant>
      <vt:variant>
        <vt:lpwstr>_Toc256000075</vt:lpwstr>
      </vt:variant>
      <vt:variant>
        <vt:i4>1376308</vt:i4>
      </vt:variant>
      <vt:variant>
        <vt:i4>68</vt:i4>
      </vt:variant>
      <vt:variant>
        <vt:i4>0</vt:i4>
      </vt:variant>
      <vt:variant>
        <vt:i4>5</vt:i4>
      </vt:variant>
      <vt:variant>
        <vt:lpwstr/>
      </vt:variant>
      <vt:variant>
        <vt:lpwstr>_Toc256000074</vt:lpwstr>
      </vt:variant>
      <vt:variant>
        <vt:i4>1376308</vt:i4>
      </vt:variant>
      <vt:variant>
        <vt:i4>62</vt:i4>
      </vt:variant>
      <vt:variant>
        <vt:i4>0</vt:i4>
      </vt:variant>
      <vt:variant>
        <vt:i4>5</vt:i4>
      </vt:variant>
      <vt:variant>
        <vt:lpwstr/>
      </vt:variant>
      <vt:variant>
        <vt:lpwstr>_Toc256000073</vt:lpwstr>
      </vt:variant>
      <vt:variant>
        <vt:i4>1376308</vt:i4>
      </vt:variant>
      <vt:variant>
        <vt:i4>56</vt:i4>
      </vt:variant>
      <vt:variant>
        <vt:i4>0</vt:i4>
      </vt:variant>
      <vt:variant>
        <vt:i4>5</vt:i4>
      </vt:variant>
      <vt:variant>
        <vt:lpwstr/>
      </vt:variant>
      <vt:variant>
        <vt:lpwstr>_Toc256000072</vt:lpwstr>
      </vt:variant>
      <vt:variant>
        <vt:i4>1376308</vt:i4>
      </vt:variant>
      <vt:variant>
        <vt:i4>50</vt:i4>
      </vt:variant>
      <vt:variant>
        <vt:i4>0</vt:i4>
      </vt:variant>
      <vt:variant>
        <vt:i4>5</vt:i4>
      </vt:variant>
      <vt:variant>
        <vt:lpwstr/>
      </vt:variant>
      <vt:variant>
        <vt:lpwstr>_Toc256000071</vt:lpwstr>
      </vt:variant>
      <vt:variant>
        <vt:i4>1376308</vt:i4>
      </vt:variant>
      <vt:variant>
        <vt:i4>44</vt:i4>
      </vt:variant>
      <vt:variant>
        <vt:i4>0</vt:i4>
      </vt:variant>
      <vt:variant>
        <vt:i4>5</vt:i4>
      </vt:variant>
      <vt:variant>
        <vt:lpwstr/>
      </vt:variant>
      <vt:variant>
        <vt:lpwstr>_Toc256000070</vt:lpwstr>
      </vt:variant>
      <vt:variant>
        <vt:i4>1310772</vt:i4>
      </vt:variant>
      <vt:variant>
        <vt:i4>38</vt:i4>
      </vt:variant>
      <vt:variant>
        <vt:i4>0</vt:i4>
      </vt:variant>
      <vt:variant>
        <vt:i4>5</vt:i4>
      </vt:variant>
      <vt:variant>
        <vt:lpwstr/>
      </vt:variant>
      <vt:variant>
        <vt:lpwstr>_Toc256000069</vt:lpwstr>
      </vt:variant>
      <vt:variant>
        <vt:i4>1310772</vt:i4>
      </vt:variant>
      <vt:variant>
        <vt:i4>32</vt:i4>
      </vt:variant>
      <vt:variant>
        <vt:i4>0</vt:i4>
      </vt:variant>
      <vt:variant>
        <vt:i4>5</vt:i4>
      </vt:variant>
      <vt:variant>
        <vt:lpwstr/>
      </vt:variant>
      <vt:variant>
        <vt:lpwstr>_Toc256000068</vt:lpwstr>
      </vt:variant>
      <vt:variant>
        <vt:i4>1310772</vt:i4>
      </vt:variant>
      <vt:variant>
        <vt:i4>26</vt:i4>
      </vt:variant>
      <vt:variant>
        <vt:i4>0</vt:i4>
      </vt:variant>
      <vt:variant>
        <vt:i4>5</vt:i4>
      </vt:variant>
      <vt:variant>
        <vt:lpwstr/>
      </vt:variant>
      <vt:variant>
        <vt:lpwstr>_Toc256000067</vt:lpwstr>
      </vt:variant>
      <vt:variant>
        <vt:i4>1310772</vt:i4>
      </vt:variant>
      <vt:variant>
        <vt:i4>20</vt:i4>
      </vt:variant>
      <vt:variant>
        <vt:i4>0</vt:i4>
      </vt:variant>
      <vt:variant>
        <vt:i4>5</vt:i4>
      </vt:variant>
      <vt:variant>
        <vt:lpwstr/>
      </vt:variant>
      <vt:variant>
        <vt:lpwstr>_Toc256000066</vt:lpwstr>
      </vt:variant>
      <vt:variant>
        <vt:i4>1310772</vt:i4>
      </vt:variant>
      <vt:variant>
        <vt:i4>14</vt:i4>
      </vt:variant>
      <vt:variant>
        <vt:i4>0</vt:i4>
      </vt:variant>
      <vt:variant>
        <vt:i4>5</vt:i4>
      </vt:variant>
      <vt:variant>
        <vt:lpwstr/>
      </vt:variant>
      <vt:variant>
        <vt:lpwstr>_Toc256000065</vt:lpwstr>
      </vt:variant>
      <vt:variant>
        <vt:i4>1310772</vt:i4>
      </vt:variant>
      <vt:variant>
        <vt:i4>8</vt:i4>
      </vt:variant>
      <vt:variant>
        <vt:i4>0</vt:i4>
      </vt:variant>
      <vt:variant>
        <vt:i4>5</vt:i4>
      </vt:variant>
      <vt:variant>
        <vt:lpwstr/>
      </vt:variant>
      <vt:variant>
        <vt:lpwstr>_Toc256000064</vt:lpwstr>
      </vt:variant>
      <vt:variant>
        <vt:i4>1310772</vt:i4>
      </vt:variant>
      <vt:variant>
        <vt:i4>2</vt:i4>
      </vt:variant>
      <vt:variant>
        <vt:i4>0</vt:i4>
      </vt:variant>
      <vt:variant>
        <vt:i4>5</vt:i4>
      </vt:variant>
      <vt:variant>
        <vt:lpwstr/>
      </vt:variant>
      <vt:variant>
        <vt:lpwstr>_Toc256000063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SMR Commercial Service Section</dc:title>
  <dc:subject/>
  <dc:creator>Telstra Limited</dc:creator>
  <cp:keywords>telstra, oct, our customer terms, smr, commercial, service, charges, value added, coverage, discounts, allowances, limitations</cp:keywords>
  <dc:description/>
  <cp:lastModifiedBy>Greenaway, Liam</cp:lastModifiedBy>
  <cp:revision>3</cp:revision>
  <cp:lastPrinted>2024-01-30T02:44:00Z</cp:lastPrinted>
  <dcterms:created xsi:type="dcterms:W3CDTF">2024-01-30T21:55:00Z</dcterms:created>
  <dcterms:modified xsi:type="dcterms:W3CDTF">2024-01-30T21:58:00Z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52444132_4</vt:lpwstr>
  </property>
  <property fmtid="{D5CDD505-2E9C-101B-9397-08002B2CF9AE}" pid="3" name="ContentTypeId">
    <vt:lpwstr>0x010100603C8B6BB09BBD48BA73A63BD4A5EC35</vt:lpwstr>
  </property>
  <property fmtid="{D5CDD505-2E9C-101B-9397-08002B2CF9AE}" pid="4" name="MSIP_Label_f4ab56b7-6ec4-4073-8d92-ac7cc2e7a5df_Enabled">
    <vt:lpwstr>true</vt:lpwstr>
  </property>
  <property fmtid="{D5CDD505-2E9C-101B-9397-08002B2CF9AE}" pid="5" name="MSIP_Label_f4ab56b7-6ec4-4073-8d92-ac7cc2e7a5df_SetDate">
    <vt:lpwstr>2024-01-30T00:20:13Z</vt:lpwstr>
  </property>
  <property fmtid="{D5CDD505-2E9C-101B-9397-08002B2CF9AE}" pid="6" name="MSIP_Label_f4ab56b7-6ec4-4073-8d92-ac7cc2e7a5df_Method">
    <vt:lpwstr>Standard</vt:lpwstr>
  </property>
  <property fmtid="{D5CDD505-2E9C-101B-9397-08002B2CF9AE}" pid="7" name="MSIP_Label_f4ab56b7-6ec4-4073-8d92-ac7cc2e7a5df_Name">
    <vt:lpwstr>mipsl_General</vt:lpwstr>
  </property>
  <property fmtid="{D5CDD505-2E9C-101B-9397-08002B2CF9AE}" pid="8" name="MSIP_Label_f4ab56b7-6ec4-4073-8d92-ac7cc2e7a5df_SiteId">
    <vt:lpwstr>49dfc6a3-5fb7-49f4-adea-c54e725bb854</vt:lpwstr>
  </property>
  <property fmtid="{D5CDD505-2E9C-101B-9397-08002B2CF9AE}" pid="9" name="MSIP_Label_f4ab56b7-6ec4-4073-8d92-ac7cc2e7a5df_ActionId">
    <vt:lpwstr>0371c674-951e-4897-bcec-1019a8ad0ac6</vt:lpwstr>
  </property>
  <property fmtid="{D5CDD505-2E9C-101B-9397-08002B2CF9AE}" pid="10" name="MSIP_Label_f4ab56b7-6ec4-4073-8d92-ac7cc2e7a5df_ContentBits">
    <vt:lpwstr>0</vt:lpwstr>
  </property>
</Properties>
</file>