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CA8C" w14:textId="77777777" w:rsidR="00921CA8" w:rsidRPr="00577363" w:rsidRDefault="00921CA8" w:rsidP="00577363">
      <w:pPr>
        <w:ind w:left="737"/>
        <w:rPr>
          <w:rFonts w:ascii="Arial" w:hAnsi="Arial" w:cs="Arial"/>
          <w:b/>
          <w:sz w:val="28"/>
        </w:rPr>
      </w:pPr>
      <w:r w:rsidRPr="00577363">
        <w:rPr>
          <w:rFonts w:ascii="Arial" w:hAnsi="Arial" w:cs="Arial"/>
          <w:b/>
          <w:sz w:val="28"/>
        </w:rPr>
        <w:t>Contents</w:t>
      </w:r>
    </w:p>
    <w:p w14:paraId="71F36321" w14:textId="77777777" w:rsidR="00921CA8" w:rsidRPr="001D6FD3" w:rsidRDefault="00921CA8" w:rsidP="00AB0FEA">
      <w:pPr>
        <w:pStyle w:val="TOC1"/>
        <w:spacing w:before="240" w:after="120"/>
        <w:rPr>
          <w:b w:val="0"/>
        </w:rPr>
      </w:pPr>
      <w:r w:rsidRPr="001D6FD3">
        <w:rPr>
          <w:b w:val="0"/>
        </w:rPr>
        <w:t>Click on the section that you are interested in.</w:t>
      </w:r>
    </w:p>
    <w:p w14:paraId="7DB814DA" w14:textId="335B6666" w:rsidR="00B0578B" w:rsidRDefault="00577363">
      <w:pPr>
        <w:pStyle w:val="TOC1"/>
        <w:tabs>
          <w:tab w:val="left" w:pos="1474"/>
        </w:tabs>
        <w:rPr>
          <w:rFonts w:asciiTheme="minorHAnsi" w:eastAsiaTheme="minorEastAsia" w:hAnsiTheme="minorHAnsi" w:cstheme="minorBidi"/>
          <w:b w:val="0"/>
          <w:sz w:val="22"/>
          <w:szCs w:val="22"/>
          <w:lang w:eastAsia="en-AU"/>
        </w:rPr>
      </w:pPr>
      <w:r>
        <w:fldChar w:fldCharType="begin"/>
      </w:r>
      <w:r>
        <w:instrText xml:space="preserve"> TOC \h \z \t "Heading 1,1,Indent 1,2,TOC Heading,1,SectionHeading,3" </w:instrText>
      </w:r>
      <w:r>
        <w:fldChar w:fldCharType="separate"/>
      </w:r>
      <w:hyperlink w:anchor="_Toc486819569" w:history="1">
        <w:r w:rsidR="00B0578B" w:rsidRPr="001034D2">
          <w:rPr>
            <w:rStyle w:val="Hyperlink"/>
          </w:rPr>
          <w:t>1</w:t>
        </w:r>
        <w:r w:rsidR="00B0578B">
          <w:rPr>
            <w:rFonts w:asciiTheme="minorHAnsi" w:eastAsiaTheme="minorEastAsia" w:hAnsiTheme="minorHAnsi" w:cstheme="minorBidi"/>
            <w:b w:val="0"/>
            <w:sz w:val="22"/>
            <w:szCs w:val="22"/>
            <w:lang w:eastAsia="en-AU"/>
          </w:rPr>
          <w:tab/>
        </w:r>
        <w:r w:rsidR="00B0578B" w:rsidRPr="001034D2">
          <w:rPr>
            <w:rStyle w:val="Hyperlink"/>
          </w:rPr>
          <w:t>About Integrated Service Management</w:t>
        </w:r>
        <w:r w:rsidR="00B0578B">
          <w:rPr>
            <w:webHidden/>
          </w:rPr>
          <w:tab/>
        </w:r>
        <w:r w:rsidR="00B0578B">
          <w:rPr>
            <w:webHidden/>
          </w:rPr>
          <w:fldChar w:fldCharType="begin"/>
        </w:r>
        <w:r w:rsidR="00B0578B">
          <w:rPr>
            <w:webHidden/>
          </w:rPr>
          <w:instrText xml:space="preserve"> PAGEREF _Toc486819569 \h </w:instrText>
        </w:r>
        <w:r w:rsidR="00B0578B">
          <w:rPr>
            <w:webHidden/>
          </w:rPr>
        </w:r>
        <w:r w:rsidR="00B0578B">
          <w:rPr>
            <w:webHidden/>
          </w:rPr>
          <w:fldChar w:fldCharType="separate"/>
        </w:r>
        <w:r w:rsidR="00876C01">
          <w:rPr>
            <w:webHidden/>
          </w:rPr>
          <w:t>2</w:t>
        </w:r>
        <w:r w:rsidR="00B0578B">
          <w:rPr>
            <w:webHidden/>
          </w:rPr>
          <w:fldChar w:fldCharType="end"/>
        </w:r>
      </w:hyperlink>
    </w:p>
    <w:p w14:paraId="1A04E31D" w14:textId="1146E43E" w:rsidR="00B0578B" w:rsidRDefault="007E178B">
      <w:pPr>
        <w:pStyle w:val="TOC2"/>
        <w:rPr>
          <w:rFonts w:asciiTheme="minorHAnsi" w:eastAsiaTheme="minorEastAsia" w:hAnsiTheme="minorHAnsi" w:cstheme="minorBidi"/>
          <w:sz w:val="22"/>
          <w:szCs w:val="22"/>
          <w:lang w:eastAsia="en-AU"/>
        </w:rPr>
      </w:pPr>
      <w:hyperlink w:anchor="_Toc486819570" w:history="1">
        <w:r w:rsidR="00B0578B" w:rsidRPr="001034D2">
          <w:rPr>
            <w:rStyle w:val="Hyperlink"/>
          </w:rPr>
          <w:t>Our Customer Terms</w:t>
        </w:r>
        <w:r w:rsidR="00B0578B">
          <w:rPr>
            <w:webHidden/>
          </w:rPr>
          <w:tab/>
        </w:r>
        <w:r w:rsidR="00B0578B">
          <w:rPr>
            <w:webHidden/>
          </w:rPr>
          <w:fldChar w:fldCharType="begin"/>
        </w:r>
        <w:r w:rsidR="00B0578B">
          <w:rPr>
            <w:webHidden/>
          </w:rPr>
          <w:instrText xml:space="preserve"> PAGEREF _Toc486819570 \h </w:instrText>
        </w:r>
        <w:r w:rsidR="00B0578B">
          <w:rPr>
            <w:webHidden/>
          </w:rPr>
        </w:r>
        <w:r w:rsidR="00B0578B">
          <w:rPr>
            <w:webHidden/>
          </w:rPr>
          <w:fldChar w:fldCharType="separate"/>
        </w:r>
        <w:r w:rsidR="00876C01">
          <w:rPr>
            <w:webHidden/>
          </w:rPr>
          <w:t>2</w:t>
        </w:r>
        <w:r w:rsidR="00B0578B">
          <w:rPr>
            <w:webHidden/>
          </w:rPr>
          <w:fldChar w:fldCharType="end"/>
        </w:r>
      </w:hyperlink>
    </w:p>
    <w:p w14:paraId="48898303" w14:textId="59BB6293" w:rsidR="00B0578B" w:rsidRDefault="007E178B">
      <w:pPr>
        <w:pStyle w:val="TOC2"/>
        <w:rPr>
          <w:rFonts w:asciiTheme="minorHAnsi" w:eastAsiaTheme="minorEastAsia" w:hAnsiTheme="minorHAnsi" w:cstheme="minorBidi"/>
          <w:sz w:val="22"/>
          <w:szCs w:val="22"/>
          <w:lang w:eastAsia="en-AU"/>
        </w:rPr>
      </w:pPr>
      <w:hyperlink w:anchor="_Toc486819571" w:history="1">
        <w:r w:rsidR="00B0578B" w:rsidRPr="001034D2">
          <w:rPr>
            <w:rStyle w:val="Hyperlink"/>
          </w:rPr>
          <w:t>ISM Handbook</w:t>
        </w:r>
        <w:r w:rsidR="00B0578B">
          <w:rPr>
            <w:webHidden/>
          </w:rPr>
          <w:tab/>
        </w:r>
        <w:r w:rsidR="00B0578B">
          <w:rPr>
            <w:webHidden/>
          </w:rPr>
          <w:fldChar w:fldCharType="begin"/>
        </w:r>
        <w:r w:rsidR="00B0578B">
          <w:rPr>
            <w:webHidden/>
          </w:rPr>
          <w:instrText xml:space="preserve"> PAGEREF _Toc486819571 \h </w:instrText>
        </w:r>
        <w:r w:rsidR="00B0578B">
          <w:rPr>
            <w:webHidden/>
          </w:rPr>
        </w:r>
        <w:r w:rsidR="00B0578B">
          <w:rPr>
            <w:webHidden/>
          </w:rPr>
          <w:fldChar w:fldCharType="separate"/>
        </w:r>
        <w:r w:rsidR="00876C01">
          <w:rPr>
            <w:webHidden/>
          </w:rPr>
          <w:t>2</w:t>
        </w:r>
        <w:r w:rsidR="00B0578B">
          <w:rPr>
            <w:webHidden/>
          </w:rPr>
          <w:fldChar w:fldCharType="end"/>
        </w:r>
      </w:hyperlink>
    </w:p>
    <w:p w14:paraId="5E73DBC3" w14:textId="1200A27D" w:rsidR="00B0578B" w:rsidRDefault="007E178B">
      <w:pPr>
        <w:pStyle w:val="TOC2"/>
        <w:rPr>
          <w:rFonts w:asciiTheme="minorHAnsi" w:eastAsiaTheme="minorEastAsia" w:hAnsiTheme="minorHAnsi" w:cstheme="minorBidi"/>
          <w:sz w:val="22"/>
          <w:szCs w:val="22"/>
          <w:lang w:eastAsia="en-AU"/>
        </w:rPr>
      </w:pPr>
      <w:hyperlink w:anchor="_Toc486819572" w:history="1">
        <w:r w:rsidR="00B0578B" w:rsidRPr="001034D2">
          <w:rPr>
            <w:rStyle w:val="Hyperlink"/>
          </w:rPr>
          <w:t>Inconsistencies</w:t>
        </w:r>
        <w:r w:rsidR="00B0578B">
          <w:rPr>
            <w:webHidden/>
          </w:rPr>
          <w:tab/>
        </w:r>
        <w:r w:rsidR="00B0578B">
          <w:rPr>
            <w:webHidden/>
          </w:rPr>
          <w:fldChar w:fldCharType="begin"/>
        </w:r>
        <w:r w:rsidR="00B0578B">
          <w:rPr>
            <w:webHidden/>
          </w:rPr>
          <w:instrText xml:space="preserve"> PAGEREF _Toc486819572 \h </w:instrText>
        </w:r>
        <w:r w:rsidR="00B0578B">
          <w:rPr>
            <w:webHidden/>
          </w:rPr>
        </w:r>
        <w:r w:rsidR="00B0578B">
          <w:rPr>
            <w:webHidden/>
          </w:rPr>
          <w:fldChar w:fldCharType="separate"/>
        </w:r>
        <w:r w:rsidR="00876C01">
          <w:rPr>
            <w:webHidden/>
          </w:rPr>
          <w:t>2</w:t>
        </w:r>
        <w:r w:rsidR="00B0578B">
          <w:rPr>
            <w:webHidden/>
          </w:rPr>
          <w:fldChar w:fldCharType="end"/>
        </w:r>
      </w:hyperlink>
    </w:p>
    <w:p w14:paraId="1DC2A13B" w14:textId="439981A8" w:rsidR="00B0578B" w:rsidRDefault="007E178B">
      <w:pPr>
        <w:pStyle w:val="TOC1"/>
        <w:tabs>
          <w:tab w:val="left" w:pos="1474"/>
        </w:tabs>
        <w:rPr>
          <w:rFonts w:asciiTheme="minorHAnsi" w:eastAsiaTheme="minorEastAsia" w:hAnsiTheme="minorHAnsi" w:cstheme="minorBidi"/>
          <w:b w:val="0"/>
          <w:sz w:val="22"/>
          <w:szCs w:val="22"/>
          <w:lang w:eastAsia="en-AU"/>
        </w:rPr>
      </w:pPr>
      <w:hyperlink w:anchor="_Toc486819573" w:history="1">
        <w:r w:rsidR="00B0578B" w:rsidRPr="001034D2">
          <w:rPr>
            <w:rStyle w:val="Hyperlink"/>
          </w:rPr>
          <w:t>2</w:t>
        </w:r>
        <w:r w:rsidR="00B0578B">
          <w:rPr>
            <w:rFonts w:asciiTheme="minorHAnsi" w:eastAsiaTheme="minorEastAsia" w:hAnsiTheme="minorHAnsi" w:cstheme="minorBidi"/>
            <w:b w:val="0"/>
            <w:sz w:val="22"/>
            <w:szCs w:val="22"/>
            <w:lang w:eastAsia="en-AU"/>
          </w:rPr>
          <w:tab/>
        </w:r>
        <w:r w:rsidR="00B0578B" w:rsidRPr="001034D2">
          <w:rPr>
            <w:rStyle w:val="Hyperlink"/>
          </w:rPr>
          <w:t>Integrated Service Management</w:t>
        </w:r>
        <w:r w:rsidR="00B0578B">
          <w:rPr>
            <w:webHidden/>
          </w:rPr>
          <w:tab/>
        </w:r>
        <w:r w:rsidR="00B0578B">
          <w:rPr>
            <w:webHidden/>
          </w:rPr>
          <w:fldChar w:fldCharType="begin"/>
        </w:r>
        <w:r w:rsidR="00B0578B">
          <w:rPr>
            <w:webHidden/>
          </w:rPr>
          <w:instrText xml:space="preserve"> PAGEREF _Toc486819573 \h </w:instrText>
        </w:r>
        <w:r w:rsidR="00B0578B">
          <w:rPr>
            <w:webHidden/>
          </w:rPr>
        </w:r>
        <w:r w:rsidR="00B0578B">
          <w:rPr>
            <w:webHidden/>
          </w:rPr>
          <w:fldChar w:fldCharType="separate"/>
        </w:r>
        <w:r w:rsidR="00876C01">
          <w:rPr>
            <w:webHidden/>
          </w:rPr>
          <w:t>2</w:t>
        </w:r>
        <w:r w:rsidR="00B0578B">
          <w:rPr>
            <w:webHidden/>
          </w:rPr>
          <w:fldChar w:fldCharType="end"/>
        </w:r>
      </w:hyperlink>
    </w:p>
    <w:p w14:paraId="4EB022A8" w14:textId="18D55C28" w:rsidR="00B0578B" w:rsidRDefault="007E178B">
      <w:pPr>
        <w:pStyle w:val="TOC2"/>
        <w:rPr>
          <w:rFonts w:asciiTheme="minorHAnsi" w:eastAsiaTheme="minorEastAsia" w:hAnsiTheme="minorHAnsi" w:cstheme="minorBidi"/>
          <w:sz w:val="22"/>
          <w:szCs w:val="22"/>
          <w:lang w:eastAsia="en-AU"/>
        </w:rPr>
      </w:pPr>
      <w:hyperlink w:anchor="_Toc486819574" w:history="1">
        <w:r w:rsidR="00B0578B" w:rsidRPr="001034D2">
          <w:rPr>
            <w:rStyle w:val="Hyperlink"/>
          </w:rPr>
          <w:t>What is Integrated Service Management?</w:t>
        </w:r>
        <w:r w:rsidR="00B0578B">
          <w:rPr>
            <w:webHidden/>
          </w:rPr>
          <w:tab/>
        </w:r>
        <w:r w:rsidR="00B0578B">
          <w:rPr>
            <w:webHidden/>
          </w:rPr>
          <w:fldChar w:fldCharType="begin"/>
        </w:r>
        <w:r w:rsidR="00B0578B">
          <w:rPr>
            <w:webHidden/>
          </w:rPr>
          <w:instrText xml:space="preserve"> PAGEREF _Toc486819574 \h </w:instrText>
        </w:r>
        <w:r w:rsidR="00B0578B">
          <w:rPr>
            <w:webHidden/>
          </w:rPr>
        </w:r>
        <w:r w:rsidR="00B0578B">
          <w:rPr>
            <w:webHidden/>
          </w:rPr>
          <w:fldChar w:fldCharType="separate"/>
        </w:r>
        <w:r w:rsidR="00876C01">
          <w:rPr>
            <w:webHidden/>
          </w:rPr>
          <w:t>2</w:t>
        </w:r>
        <w:r w:rsidR="00B0578B">
          <w:rPr>
            <w:webHidden/>
          </w:rPr>
          <w:fldChar w:fldCharType="end"/>
        </w:r>
      </w:hyperlink>
    </w:p>
    <w:p w14:paraId="562E7925" w14:textId="29AD1583" w:rsidR="00B0578B" w:rsidRDefault="007E178B">
      <w:pPr>
        <w:pStyle w:val="TOC2"/>
        <w:rPr>
          <w:rFonts w:asciiTheme="minorHAnsi" w:eastAsiaTheme="minorEastAsia" w:hAnsiTheme="minorHAnsi" w:cstheme="minorBidi"/>
          <w:sz w:val="22"/>
          <w:szCs w:val="22"/>
          <w:lang w:eastAsia="en-AU"/>
        </w:rPr>
      </w:pPr>
      <w:hyperlink w:anchor="_Toc486819575" w:history="1">
        <w:r w:rsidR="00B0578B" w:rsidRPr="001034D2">
          <w:rPr>
            <w:rStyle w:val="Hyperlink"/>
          </w:rPr>
          <w:t>Prices</w:t>
        </w:r>
        <w:r w:rsidR="00B0578B">
          <w:rPr>
            <w:webHidden/>
          </w:rPr>
          <w:tab/>
        </w:r>
        <w:r w:rsidR="00B0578B">
          <w:rPr>
            <w:webHidden/>
          </w:rPr>
          <w:fldChar w:fldCharType="begin"/>
        </w:r>
        <w:r w:rsidR="00B0578B">
          <w:rPr>
            <w:webHidden/>
          </w:rPr>
          <w:instrText xml:space="preserve"> PAGEREF _Toc486819575 \h </w:instrText>
        </w:r>
        <w:r w:rsidR="00B0578B">
          <w:rPr>
            <w:webHidden/>
          </w:rPr>
        </w:r>
        <w:r w:rsidR="00B0578B">
          <w:rPr>
            <w:webHidden/>
          </w:rPr>
          <w:fldChar w:fldCharType="separate"/>
        </w:r>
        <w:r w:rsidR="00876C01">
          <w:rPr>
            <w:webHidden/>
          </w:rPr>
          <w:t>3</w:t>
        </w:r>
        <w:r w:rsidR="00B0578B">
          <w:rPr>
            <w:webHidden/>
          </w:rPr>
          <w:fldChar w:fldCharType="end"/>
        </w:r>
      </w:hyperlink>
    </w:p>
    <w:p w14:paraId="4FEA72C8" w14:textId="0CD4D442" w:rsidR="00B0578B" w:rsidRDefault="007E178B">
      <w:pPr>
        <w:pStyle w:val="TOC2"/>
        <w:rPr>
          <w:rFonts w:asciiTheme="minorHAnsi" w:eastAsiaTheme="minorEastAsia" w:hAnsiTheme="minorHAnsi" w:cstheme="minorBidi"/>
          <w:sz w:val="22"/>
          <w:szCs w:val="22"/>
          <w:lang w:eastAsia="en-AU"/>
        </w:rPr>
      </w:pPr>
      <w:hyperlink w:anchor="_Toc486819576" w:history="1">
        <w:r w:rsidR="00B0578B" w:rsidRPr="001034D2">
          <w:rPr>
            <w:rStyle w:val="Hyperlink"/>
          </w:rPr>
          <w:t>Eligibility</w:t>
        </w:r>
        <w:r w:rsidR="00B0578B">
          <w:rPr>
            <w:webHidden/>
          </w:rPr>
          <w:tab/>
        </w:r>
        <w:r w:rsidR="00B0578B">
          <w:rPr>
            <w:webHidden/>
          </w:rPr>
          <w:fldChar w:fldCharType="begin"/>
        </w:r>
        <w:r w:rsidR="00B0578B">
          <w:rPr>
            <w:webHidden/>
          </w:rPr>
          <w:instrText xml:space="preserve"> PAGEREF _Toc486819576 \h </w:instrText>
        </w:r>
        <w:r w:rsidR="00B0578B">
          <w:rPr>
            <w:webHidden/>
          </w:rPr>
        </w:r>
        <w:r w:rsidR="00B0578B">
          <w:rPr>
            <w:webHidden/>
          </w:rPr>
          <w:fldChar w:fldCharType="separate"/>
        </w:r>
        <w:r w:rsidR="00876C01">
          <w:rPr>
            <w:webHidden/>
          </w:rPr>
          <w:t>4</w:t>
        </w:r>
        <w:r w:rsidR="00B0578B">
          <w:rPr>
            <w:webHidden/>
          </w:rPr>
          <w:fldChar w:fldCharType="end"/>
        </w:r>
      </w:hyperlink>
    </w:p>
    <w:p w14:paraId="70424389" w14:textId="22B8D7F7" w:rsidR="00B0578B" w:rsidRDefault="007E178B">
      <w:pPr>
        <w:pStyle w:val="TOC2"/>
        <w:rPr>
          <w:rFonts w:asciiTheme="minorHAnsi" w:eastAsiaTheme="minorEastAsia" w:hAnsiTheme="minorHAnsi" w:cstheme="minorBidi"/>
          <w:sz w:val="22"/>
          <w:szCs w:val="22"/>
          <w:lang w:eastAsia="en-AU"/>
        </w:rPr>
      </w:pPr>
      <w:hyperlink w:anchor="_Toc486819577" w:history="1">
        <w:r w:rsidR="00B0578B" w:rsidRPr="001034D2">
          <w:rPr>
            <w:rStyle w:val="Hyperlink"/>
          </w:rPr>
          <w:t>Service Levels</w:t>
        </w:r>
        <w:r w:rsidR="00B0578B">
          <w:rPr>
            <w:webHidden/>
          </w:rPr>
          <w:tab/>
        </w:r>
        <w:r w:rsidR="00B0578B">
          <w:rPr>
            <w:webHidden/>
          </w:rPr>
          <w:fldChar w:fldCharType="begin"/>
        </w:r>
        <w:r w:rsidR="00B0578B">
          <w:rPr>
            <w:webHidden/>
          </w:rPr>
          <w:instrText xml:space="preserve"> PAGEREF _Toc486819577 \h </w:instrText>
        </w:r>
        <w:r w:rsidR="00B0578B">
          <w:rPr>
            <w:webHidden/>
          </w:rPr>
        </w:r>
        <w:r w:rsidR="00B0578B">
          <w:rPr>
            <w:webHidden/>
          </w:rPr>
          <w:fldChar w:fldCharType="separate"/>
        </w:r>
        <w:r w:rsidR="00876C01">
          <w:rPr>
            <w:webHidden/>
          </w:rPr>
          <w:t>4</w:t>
        </w:r>
        <w:r w:rsidR="00B0578B">
          <w:rPr>
            <w:webHidden/>
          </w:rPr>
          <w:fldChar w:fldCharType="end"/>
        </w:r>
      </w:hyperlink>
    </w:p>
    <w:p w14:paraId="3925D9A7" w14:textId="15AEF28C" w:rsidR="00B0578B" w:rsidRDefault="007E178B">
      <w:pPr>
        <w:pStyle w:val="TOC1"/>
        <w:tabs>
          <w:tab w:val="left" w:pos="1474"/>
        </w:tabs>
        <w:rPr>
          <w:rFonts w:asciiTheme="minorHAnsi" w:eastAsiaTheme="minorEastAsia" w:hAnsiTheme="minorHAnsi" w:cstheme="minorBidi"/>
          <w:b w:val="0"/>
          <w:sz w:val="22"/>
          <w:szCs w:val="22"/>
          <w:lang w:eastAsia="en-AU"/>
        </w:rPr>
      </w:pPr>
      <w:hyperlink w:anchor="_Toc486819578" w:history="1">
        <w:r w:rsidR="00B0578B" w:rsidRPr="001034D2">
          <w:rPr>
            <w:rStyle w:val="Hyperlink"/>
          </w:rPr>
          <w:t>3</w:t>
        </w:r>
        <w:r w:rsidR="00B0578B">
          <w:rPr>
            <w:rFonts w:asciiTheme="minorHAnsi" w:eastAsiaTheme="minorEastAsia" w:hAnsiTheme="minorHAnsi" w:cstheme="minorBidi"/>
            <w:b w:val="0"/>
            <w:sz w:val="22"/>
            <w:szCs w:val="22"/>
            <w:lang w:eastAsia="en-AU"/>
          </w:rPr>
          <w:tab/>
        </w:r>
        <w:r w:rsidR="00B0578B" w:rsidRPr="001034D2">
          <w:rPr>
            <w:rStyle w:val="Hyperlink"/>
          </w:rPr>
          <w:t>General Terms</w:t>
        </w:r>
        <w:r w:rsidR="00B0578B">
          <w:rPr>
            <w:webHidden/>
          </w:rPr>
          <w:tab/>
        </w:r>
        <w:r w:rsidR="00B0578B">
          <w:rPr>
            <w:webHidden/>
          </w:rPr>
          <w:fldChar w:fldCharType="begin"/>
        </w:r>
        <w:r w:rsidR="00B0578B">
          <w:rPr>
            <w:webHidden/>
          </w:rPr>
          <w:instrText xml:space="preserve"> PAGEREF _Toc486819578 \h </w:instrText>
        </w:r>
        <w:r w:rsidR="00B0578B">
          <w:rPr>
            <w:webHidden/>
          </w:rPr>
        </w:r>
        <w:r w:rsidR="00B0578B">
          <w:rPr>
            <w:webHidden/>
          </w:rPr>
          <w:fldChar w:fldCharType="separate"/>
        </w:r>
        <w:r w:rsidR="00876C01">
          <w:rPr>
            <w:webHidden/>
          </w:rPr>
          <w:t>4</w:t>
        </w:r>
        <w:r w:rsidR="00B0578B">
          <w:rPr>
            <w:webHidden/>
          </w:rPr>
          <w:fldChar w:fldCharType="end"/>
        </w:r>
      </w:hyperlink>
    </w:p>
    <w:p w14:paraId="7C1BB14F" w14:textId="12E8C131" w:rsidR="00B0578B" w:rsidRDefault="007E178B">
      <w:pPr>
        <w:pStyle w:val="TOC2"/>
        <w:rPr>
          <w:rFonts w:asciiTheme="minorHAnsi" w:eastAsiaTheme="minorEastAsia" w:hAnsiTheme="minorHAnsi" w:cstheme="minorBidi"/>
          <w:sz w:val="22"/>
          <w:szCs w:val="22"/>
          <w:lang w:eastAsia="en-AU"/>
        </w:rPr>
      </w:pPr>
      <w:hyperlink w:anchor="_Toc486819579" w:history="1">
        <w:r w:rsidR="00B0578B" w:rsidRPr="001034D2">
          <w:rPr>
            <w:rStyle w:val="Hyperlink"/>
          </w:rPr>
          <w:t>Your Responsibilities</w:t>
        </w:r>
        <w:r w:rsidR="00B0578B">
          <w:rPr>
            <w:webHidden/>
          </w:rPr>
          <w:tab/>
        </w:r>
        <w:r w:rsidR="00B0578B">
          <w:rPr>
            <w:webHidden/>
          </w:rPr>
          <w:fldChar w:fldCharType="begin"/>
        </w:r>
        <w:r w:rsidR="00B0578B">
          <w:rPr>
            <w:webHidden/>
          </w:rPr>
          <w:instrText xml:space="preserve"> PAGEREF _Toc486819579 \h </w:instrText>
        </w:r>
        <w:r w:rsidR="00B0578B">
          <w:rPr>
            <w:webHidden/>
          </w:rPr>
        </w:r>
        <w:r w:rsidR="00B0578B">
          <w:rPr>
            <w:webHidden/>
          </w:rPr>
          <w:fldChar w:fldCharType="separate"/>
        </w:r>
        <w:r w:rsidR="00876C01">
          <w:rPr>
            <w:webHidden/>
          </w:rPr>
          <w:t>4</w:t>
        </w:r>
        <w:r w:rsidR="00B0578B">
          <w:rPr>
            <w:webHidden/>
          </w:rPr>
          <w:fldChar w:fldCharType="end"/>
        </w:r>
      </w:hyperlink>
    </w:p>
    <w:p w14:paraId="4D6E1524" w14:textId="0712C789" w:rsidR="00B0578B" w:rsidRDefault="007E178B">
      <w:pPr>
        <w:pStyle w:val="TOC2"/>
        <w:rPr>
          <w:rFonts w:asciiTheme="minorHAnsi" w:eastAsiaTheme="minorEastAsia" w:hAnsiTheme="minorHAnsi" w:cstheme="minorBidi"/>
          <w:sz w:val="22"/>
          <w:szCs w:val="22"/>
          <w:lang w:eastAsia="en-AU"/>
        </w:rPr>
      </w:pPr>
      <w:hyperlink w:anchor="_Toc486819580" w:history="1">
        <w:r w:rsidR="00B0578B" w:rsidRPr="001034D2">
          <w:rPr>
            <w:rStyle w:val="Hyperlink"/>
          </w:rPr>
          <w:t>Service Catalogue</w:t>
        </w:r>
        <w:r w:rsidR="00B0578B">
          <w:rPr>
            <w:webHidden/>
          </w:rPr>
          <w:tab/>
        </w:r>
        <w:r w:rsidR="00B0578B">
          <w:rPr>
            <w:webHidden/>
          </w:rPr>
          <w:fldChar w:fldCharType="begin"/>
        </w:r>
        <w:r w:rsidR="00B0578B">
          <w:rPr>
            <w:webHidden/>
          </w:rPr>
          <w:instrText xml:space="preserve"> PAGEREF _Toc486819580 \h </w:instrText>
        </w:r>
        <w:r w:rsidR="00B0578B">
          <w:rPr>
            <w:webHidden/>
          </w:rPr>
        </w:r>
        <w:r w:rsidR="00B0578B">
          <w:rPr>
            <w:webHidden/>
          </w:rPr>
          <w:fldChar w:fldCharType="separate"/>
        </w:r>
        <w:r w:rsidR="00876C01">
          <w:rPr>
            <w:webHidden/>
          </w:rPr>
          <w:t>5</w:t>
        </w:r>
        <w:r w:rsidR="00B0578B">
          <w:rPr>
            <w:webHidden/>
          </w:rPr>
          <w:fldChar w:fldCharType="end"/>
        </w:r>
      </w:hyperlink>
    </w:p>
    <w:p w14:paraId="132DE038" w14:textId="63FE43F9" w:rsidR="00B0578B" w:rsidRDefault="007E178B">
      <w:pPr>
        <w:pStyle w:val="TOC2"/>
        <w:rPr>
          <w:rFonts w:asciiTheme="minorHAnsi" w:eastAsiaTheme="minorEastAsia" w:hAnsiTheme="minorHAnsi" w:cstheme="minorBidi"/>
          <w:sz w:val="22"/>
          <w:szCs w:val="22"/>
          <w:lang w:eastAsia="en-AU"/>
        </w:rPr>
      </w:pPr>
      <w:hyperlink w:anchor="_Toc486819581" w:history="1">
        <w:r w:rsidR="00B0578B" w:rsidRPr="001034D2">
          <w:rPr>
            <w:rStyle w:val="Hyperlink"/>
          </w:rPr>
          <w:t>ISM Handbook</w:t>
        </w:r>
        <w:r w:rsidR="00B0578B">
          <w:rPr>
            <w:webHidden/>
          </w:rPr>
          <w:tab/>
        </w:r>
        <w:r w:rsidR="00B0578B">
          <w:rPr>
            <w:webHidden/>
          </w:rPr>
          <w:fldChar w:fldCharType="begin"/>
        </w:r>
        <w:r w:rsidR="00B0578B">
          <w:rPr>
            <w:webHidden/>
          </w:rPr>
          <w:instrText xml:space="preserve"> PAGEREF _Toc486819581 \h </w:instrText>
        </w:r>
        <w:r w:rsidR="00B0578B">
          <w:rPr>
            <w:webHidden/>
          </w:rPr>
        </w:r>
        <w:r w:rsidR="00B0578B">
          <w:rPr>
            <w:webHidden/>
          </w:rPr>
          <w:fldChar w:fldCharType="separate"/>
        </w:r>
        <w:r w:rsidR="00876C01">
          <w:rPr>
            <w:webHidden/>
          </w:rPr>
          <w:t>5</w:t>
        </w:r>
        <w:r w:rsidR="00B0578B">
          <w:rPr>
            <w:webHidden/>
          </w:rPr>
          <w:fldChar w:fldCharType="end"/>
        </w:r>
      </w:hyperlink>
    </w:p>
    <w:p w14:paraId="61FF8B86" w14:textId="798D84EC" w:rsidR="00B0578B" w:rsidRDefault="007E178B">
      <w:pPr>
        <w:pStyle w:val="TOC2"/>
        <w:rPr>
          <w:rFonts w:asciiTheme="minorHAnsi" w:eastAsiaTheme="minorEastAsia" w:hAnsiTheme="minorHAnsi" w:cstheme="minorBidi"/>
          <w:sz w:val="22"/>
          <w:szCs w:val="22"/>
          <w:lang w:eastAsia="en-AU"/>
        </w:rPr>
      </w:pPr>
      <w:hyperlink w:anchor="_Toc486819582" w:history="1">
        <w:r w:rsidR="00B0578B" w:rsidRPr="001034D2">
          <w:rPr>
            <w:rStyle w:val="Hyperlink"/>
          </w:rPr>
          <w:t>Intellectual Property and Confidentiality</w:t>
        </w:r>
        <w:r w:rsidR="00B0578B">
          <w:rPr>
            <w:webHidden/>
          </w:rPr>
          <w:tab/>
        </w:r>
        <w:r w:rsidR="00B0578B">
          <w:rPr>
            <w:webHidden/>
          </w:rPr>
          <w:fldChar w:fldCharType="begin"/>
        </w:r>
        <w:r w:rsidR="00B0578B">
          <w:rPr>
            <w:webHidden/>
          </w:rPr>
          <w:instrText xml:space="preserve"> PAGEREF _Toc486819582 \h </w:instrText>
        </w:r>
        <w:r w:rsidR="00B0578B">
          <w:rPr>
            <w:webHidden/>
          </w:rPr>
        </w:r>
        <w:r w:rsidR="00B0578B">
          <w:rPr>
            <w:webHidden/>
          </w:rPr>
          <w:fldChar w:fldCharType="separate"/>
        </w:r>
        <w:r w:rsidR="00876C01">
          <w:rPr>
            <w:webHidden/>
          </w:rPr>
          <w:t>5</w:t>
        </w:r>
        <w:r w:rsidR="00B0578B">
          <w:rPr>
            <w:webHidden/>
          </w:rPr>
          <w:fldChar w:fldCharType="end"/>
        </w:r>
      </w:hyperlink>
    </w:p>
    <w:p w14:paraId="239882F3" w14:textId="21AD1B75" w:rsidR="00B0578B" w:rsidRDefault="007E178B">
      <w:pPr>
        <w:pStyle w:val="TOC1"/>
        <w:tabs>
          <w:tab w:val="left" w:pos="1474"/>
        </w:tabs>
        <w:rPr>
          <w:rFonts w:asciiTheme="minorHAnsi" w:eastAsiaTheme="minorEastAsia" w:hAnsiTheme="minorHAnsi" w:cstheme="minorBidi"/>
          <w:b w:val="0"/>
          <w:sz w:val="22"/>
          <w:szCs w:val="22"/>
          <w:lang w:eastAsia="en-AU"/>
        </w:rPr>
      </w:pPr>
      <w:hyperlink w:anchor="_Toc486819583" w:history="1">
        <w:r w:rsidR="00B0578B" w:rsidRPr="001034D2">
          <w:rPr>
            <w:rStyle w:val="Hyperlink"/>
          </w:rPr>
          <w:t>4</w:t>
        </w:r>
        <w:r w:rsidR="00B0578B">
          <w:rPr>
            <w:rFonts w:asciiTheme="minorHAnsi" w:eastAsiaTheme="minorEastAsia" w:hAnsiTheme="minorHAnsi" w:cstheme="minorBidi"/>
            <w:b w:val="0"/>
            <w:sz w:val="22"/>
            <w:szCs w:val="22"/>
            <w:lang w:eastAsia="en-AU"/>
          </w:rPr>
          <w:tab/>
        </w:r>
        <w:r w:rsidR="00B0578B" w:rsidRPr="001034D2">
          <w:rPr>
            <w:rStyle w:val="Hyperlink"/>
          </w:rPr>
          <w:t>Contact Channels</w:t>
        </w:r>
        <w:r w:rsidR="00B0578B">
          <w:rPr>
            <w:webHidden/>
          </w:rPr>
          <w:tab/>
        </w:r>
        <w:r w:rsidR="00B0578B">
          <w:rPr>
            <w:webHidden/>
          </w:rPr>
          <w:fldChar w:fldCharType="begin"/>
        </w:r>
        <w:r w:rsidR="00B0578B">
          <w:rPr>
            <w:webHidden/>
          </w:rPr>
          <w:instrText xml:space="preserve"> PAGEREF _Toc486819583 \h </w:instrText>
        </w:r>
        <w:r w:rsidR="00B0578B">
          <w:rPr>
            <w:webHidden/>
          </w:rPr>
        </w:r>
        <w:r w:rsidR="00B0578B">
          <w:rPr>
            <w:webHidden/>
          </w:rPr>
          <w:fldChar w:fldCharType="separate"/>
        </w:r>
        <w:r w:rsidR="00876C01">
          <w:rPr>
            <w:webHidden/>
          </w:rPr>
          <w:t>6</w:t>
        </w:r>
        <w:r w:rsidR="00B0578B">
          <w:rPr>
            <w:webHidden/>
          </w:rPr>
          <w:fldChar w:fldCharType="end"/>
        </w:r>
      </w:hyperlink>
    </w:p>
    <w:p w14:paraId="2CE47401" w14:textId="33E619EF" w:rsidR="00B0578B" w:rsidRDefault="007E178B">
      <w:pPr>
        <w:pStyle w:val="TOC1"/>
        <w:tabs>
          <w:tab w:val="left" w:pos="1474"/>
        </w:tabs>
        <w:rPr>
          <w:rFonts w:asciiTheme="minorHAnsi" w:eastAsiaTheme="minorEastAsia" w:hAnsiTheme="minorHAnsi" w:cstheme="minorBidi"/>
          <w:b w:val="0"/>
          <w:sz w:val="22"/>
          <w:szCs w:val="22"/>
          <w:lang w:eastAsia="en-AU"/>
        </w:rPr>
      </w:pPr>
      <w:hyperlink w:anchor="_Toc486819584" w:history="1">
        <w:r w:rsidR="00B0578B" w:rsidRPr="001034D2">
          <w:rPr>
            <w:rStyle w:val="Hyperlink"/>
          </w:rPr>
          <w:t>5</w:t>
        </w:r>
        <w:r w:rsidR="00B0578B">
          <w:rPr>
            <w:rFonts w:asciiTheme="minorHAnsi" w:eastAsiaTheme="minorEastAsia" w:hAnsiTheme="minorHAnsi" w:cstheme="minorBidi"/>
            <w:b w:val="0"/>
            <w:sz w:val="22"/>
            <w:szCs w:val="22"/>
            <w:lang w:eastAsia="en-AU"/>
          </w:rPr>
          <w:tab/>
        </w:r>
        <w:r w:rsidR="00B0578B" w:rsidRPr="001034D2">
          <w:rPr>
            <w:rStyle w:val="Hyperlink"/>
          </w:rPr>
          <w:t>Incident Management</w:t>
        </w:r>
        <w:r w:rsidR="00B0578B">
          <w:rPr>
            <w:webHidden/>
          </w:rPr>
          <w:tab/>
        </w:r>
        <w:r w:rsidR="00B0578B">
          <w:rPr>
            <w:webHidden/>
          </w:rPr>
          <w:fldChar w:fldCharType="begin"/>
        </w:r>
        <w:r w:rsidR="00B0578B">
          <w:rPr>
            <w:webHidden/>
          </w:rPr>
          <w:instrText xml:space="preserve"> PAGEREF _Toc486819584 \h </w:instrText>
        </w:r>
        <w:r w:rsidR="00B0578B">
          <w:rPr>
            <w:webHidden/>
          </w:rPr>
        </w:r>
        <w:r w:rsidR="00B0578B">
          <w:rPr>
            <w:webHidden/>
          </w:rPr>
          <w:fldChar w:fldCharType="separate"/>
        </w:r>
        <w:r w:rsidR="00876C01">
          <w:rPr>
            <w:webHidden/>
          </w:rPr>
          <w:t>8</w:t>
        </w:r>
        <w:r w:rsidR="00B0578B">
          <w:rPr>
            <w:webHidden/>
          </w:rPr>
          <w:fldChar w:fldCharType="end"/>
        </w:r>
      </w:hyperlink>
    </w:p>
    <w:p w14:paraId="53430807" w14:textId="2A913C14" w:rsidR="00B0578B" w:rsidRDefault="007E178B">
      <w:pPr>
        <w:pStyle w:val="TOC1"/>
        <w:tabs>
          <w:tab w:val="left" w:pos="1474"/>
        </w:tabs>
        <w:rPr>
          <w:rFonts w:asciiTheme="minorHAnsi" w:eastAsiaTheme="minorEastAsia" w:hAnsiTheme="minorHAnsi" w:cstheme="minorBidi"/>
          <w:b w:val="0"/>
          <w:sz w:val="22"/>
          <w:szCs w:val="22"/>
          <w:lang w:eastAsia="en-AU"/>
        </w:rPr>
      </w:pPr>
      <w:hyperlink w:anchor="_Toc486819585" w:history="1">
        <w:r w:rsidR="00B0578B" w:rsidRPr="001034D2">
          <w:rPr>
            <w:rStyle w:val="Hyperlink"/>
          </w:rPr>
          <w:t>6</w:t>
        </w:r>
        <w:r w:rsidR="00B0578B">
          <w:rPr>
            <w:rFonts w:asciiTheme="minorHAnsi" w:eastAsiaTheme="minorEastAsia" w:hAnsiTheme="minorHAnsi" w:cstheme="minorBidi"/>
            <w:b w:val="0"/>
            <w:sz w:val="22"/>
            <w:szCs w:val="22"/>
            <w:lang w:eastAsia="en-AU"/>
          </w:rPr>
          <w:tab/>
        </w:r>
        <w:r w:rsidR="00B0578B" w:rsidRPr="001034D2">
          <w:rPr>
            <w:rStyle w:val="Hyperlink"/>
          </w:rPr>
          <w:t>Request Fulfilment</w:t>
        </w:r>
        <w:r w:rsidR="00B0578B">
          <w:rPr>
            <w:webHidden/>
          </w:rPr>
          <w:tab/>
        </w:r>
        <w:r w:rsidR="00B0578B">
          <w:rPr>
            <w:webHidden/>
          </w:rPr>
          <w:fldChar w:fldCharType="begin"/>
        </w:r>
        <w:r w:rsidR="00B0578B">
          <w:rPr>
            <w:webHidden/>
          </w:rPr>
          <w:instrText xml:space="preserve"> PAGEREF _Toc486819585 \h </w:instrText>
        </w:r>
        <w:r w:rsidR="00B0578B">
          <w:rPr>
            <w:webHidden/>
          </w:rPr>
        </w:r>
        <w:r w:rsidR="00B0578B">
          <w:rPr>
            <w:webHidden/>
          </w:rPr>
          <w:fldChar w:fldCharType="separate"/>
        </w:r>
        <w:r w:rsidR="00876C01">
          <w:rPr>
            <w:webHidden/>
          </w:rPr>
          <w:t>10</w:t>
        </w:r>
        <w:r w:rsidR="00B0578B">
          <w:rPr>
            <w:webHidden/>
          </w:rPr>
          <w:fldChar w:fldCharType="end"/>
        </w:r>
      </w:hyperlink>
    </w:p>
    <w:p w14:paraId="4D97E130" w14:textId="34B956CE" w:rsidR="00B0578B" w:rsidRDefault="007E178B">
      <w:pPr>
        <w:pStyle w:val="TOC1"/>
        <w:tabs>
          <w:tab w:val="left" w:pos="1474"/>
        </w:tabs>
        <w:rPr>
          <w:rFonts w:asciiTheme="minorHAnsi" w:eastAsiaTheme="minorEastAsia" w:hAnsiTheme="minorHAnsi" w:cstheme="minorBidi"/>
          <w:b w:val="0"/>
          <w:sz w:val="22"/>
          <w:szCs w:val="22"/>
          <w:lang w:eastAsia="en-AU"/>
        </w:rPr>
      </w:pPr>
      <w:hyperlink w:anchor="_Toc486819586" w:history="1">
        <w:r w:rsidR="00B0578B" w:rsidRPr="001034D2">
          <w:rPr>
            <w:rStyle w:val="Hyperlink"/>
          </w:rPr>
          <w:t>7</w:t>
        </w:r>
        <w:r w:rsidR="00B0578B">
          <w:rPr>
            <w:rFonts w:asciiTheme="minorHAnsi" w:eastAsiaTheme="minorEastAsia" w:hAnsiTheme="minorHAnsi" w:cstheme="minorBidi"/>
            <w:b w:val="0"/>
            <w:sz w:val="22"/>
            <w:szCs w:val="22"/>
            <w:lang w:eastAsia="en-AU"/>
          </w:rPr>
          <w:tab/>
        </w:r>
        <w:r w:rsidR="00B0578B" w:rsidRPr="001034D2">
          <w:rPr>
            <w:rStyle w:val="Hyperlink"/>
          </w:rPr>
          <w:t>Knowledge Management</w:t>
        </w:r>
        <w:r w:rsidR="00B0578B">
          <w:rPr>
            <w:webHidden/>
          </w:rPr>
          <w:tab/>
        </w:r>
        <w:r w:rsidR="00B0578B">
          <w:rPr>
            <w:webHidden/>
          </w:rPr>
          <w:fldChar w:fldCharType="begin"/>
        </w:r>
        <w:r w:rsidR="00B0578B">
          <w:rPr>
            <w:webHidden/>
          </w:rPr>
          <w:instrText xml:space="preserve"> PAGEREF _Toc486819586 \h </w:instrText>
        </w:r>
        <w:r w:rsidR="00B0578B">
          <w:rPr>
            <w:webHidden/>
          </w:rPr>
        </w:r>
        <w:r w:rsidR="00B0578B">
          <w:rPr>
            <w:webHidden/>
          </w:rPr>
          <w:fldChar w:fldCharType="separate"/>
        </w:r>
        <w:r w:rsidR="00876C01">
          <w:rPr>
            <w:webHidden/>
          </w:rPr>
          <w:t>12</w:t>
        </w:r>
        <w:r w:rsidR="00B0578B">
          <w:rPr>
            <w:webHidden/>
          </w:rPr>
          <w:fldChar w:fldCharType="end"/>
        </w:r>
      </w:hyperlink>
    </w:p>
    <w:p w14:paraId="56A6D6D0" w14:textId="18206328" w:rsidR="00B0578B" w:rsidRDefault="007E178B">
      <w:pPr>
        <w:pStyle w:val="TOC1"/>
        <w:tabs>
          <w:tab w:val="left" w:pos="1474"/>
        </w:tabs>
        <w:rPr>
          <w:rFonts w:asciiTheme="minorHAnsi" w:eastAsiaTheme="minorEastAsia" w:hAnsiTheme="minorHAnsi" w:cstheme="minorBidi"/>
          <w:b w:val="0"/>
          <w:sz w:val="22"/>
          <w:szCs w:val="22"/>
          <w:lang w:eastAsia="en-AU"/>
        </w:rPr>
      </w:pPr>
      <w:hyperlink w:anchor="_Toc486819587" w:history="1">
        <w:r w:rsidR="00B0578B" w:rsidRPr="001034D2">
          <w:rPr>
            <w:rStyle w:val="Hyperlink"/>
          </w:rPr>
          <w:t>8</w:t>
        </w:r>
        <w:r w:rsidR="00B0578B">
          <w:rPr>
            <w:rFonts w:asciiTheme="minorHAnsi" w:eastAsiaTheme="minorEastAsia" w:hAnsiTheme="minorHAnsi" w:cstheme="minorBidi"/>
            <w:b w:val="0"/>
            <w:sz w:val="22"/>
            <w:szCs w:val="22"/>
            <w:lang w:eastAsia="en-AU"/>
          </w:rPr>
          <w:tab/>
        </w:r>
        <w:r w:rsidR="00B0578B" w:rsidRPr="001034D2">
          <w:rPr>
            <w:rStyle w:val="Hyperlink"/>
          </w:rPr>
          <w:t>Access Management</w:t>
        </w:r>
        <w:r w:rsidR="00B0578B">
          <w:rPr>
            <w:webHidden/>
          </w:rPr>
          <w:tab/>
        </w:r>
        <w:r w:rsidR="00B0578B">
          <w:rPr>
            <w:webHidden/>
          </w:rPr>
          <w:fldChar w:fldCharType="begin"/>
        </w:r>
        <w:r w:rsidR="00B0578B">
          <w:rPr>
            <w:webHidden/>
          </w:rPr>
          <w:instrText xml:space="preserve"> PAGEREF _Toc486819587 \h </w:instrText>
        </w:r>
        <w:r w:rsidR="00B0578B">
          <w:rPr>
            <w:webHidden/>
          </w:rPr>
        </w:r>
        <w:r w:rsidR="00B0578B">
          <w:rPr>
            <w:webHidden/>
          </w:rPr>
          <w:fldChar w:fldCharType="separate"/>
        </w:r>
        <w:r w:rsidR="00876C01">
          <w:rPr>
            <w:webHidden/>
          </w:rPr>
          <w:t>13</w:t>
        </w:r>
        <w:r w:rsidR="00B0578B">
          <w:rPr>
            <w:webHidden/>
          </w:rPr>
          <w:fldChar w:fldCharType="end"/>
        </w:r>
      </w:hyperlink>
    </w:p>
    <w:p w14:paraId="598BC460" w14:textId="6CE20891" w:rsidR="00B0578B" w:rsidRDefault="007E178B">
      <w:pPr>
        <w:pStyle w:val="TOC1"/>
        <w:tabs>
          <w:tab w:val="left" w:pos="1474"/>
        </w:tabs>
        <w:rPr>
          <w:rFonts w:asciiTheme="minorHAnsi" w:eastAsiaTheme="minorEastAsia" w:hAnsiTheme="minorHAnsi" w:cstheme="minorBidi"/>
          <w:b w:val="0"/>
          <w:sz w:val="22"/>
          <w:szCs w:val="22"/>
          <w:lang w:eastAsia="en-AU"/>
        </w:rPr>
      </w:pPr>
      <w:hyperlink w:anchor="_Toc486819588" w:history="1">
        <w:r w:rsidR="00B0578B" w:rsidRPr="001034D2">
          <w:rPr>
            <w:rStyle w:val="Hyperlink"/>
          </w:rPr>
          <w:t>9</w:t>
        </w:r>
        <w:r w:rsidR="00B0578B">
          <w:rPr>
            <w:rFonts w:asciiTheme="minorHAnsi" w:eastAsiaTheme="minorEastAsia" w:hAnsiTheme="minorHAnsi" w:cstheme="minorBidi"/>
            <w:b w:val="0"/>
            <w:sz w:val="22"/>
            <w:szCs w:val="22"/>
            <w:lang w:eastAsia="en-AU"/>
          </w:rPr>
          <w:tab/>
        </w:r>
        <w:r w:rsidR="00B0578B" w:rsidRPr="001034D2">
          <w:rPr>
            <w:rStyle w:val="Hyperlink"/>
          </w:rPr>
          <w:t>Reporting</w:t>
        </w:r>
        <w:r w:rsidR="00B0578B">
          <w:rPr>
            <w:webHidden/>
          </w:rPr>
          <w:tab/>
        </w:r>
        <w:r w:rsidR="00B0578B">
          <w:rPr>
            <w:webHidden/>
          </w:rPr>
          <w:fldChar w:fldCharType="begin"/>
        </w:r>
        <w:r w:rsidR="00B0578B">
          <w:rPr>
            <w:webHidden/>
          </w:rPr>
          <w:instrText xml:space="preserve"> PAGEREF _Toc486819588 \h </w:instrText>
        </w:r>
        <w:r w:rsidR="00B0578B">
          <w:rPr>
            <w:webHidden/>
          </w:rPr>
        </w:r>
        <w:r w:rsidR="00B0578B">
          <w:rPr>
            <w:webHidden/>
          </w:rPr>
          <w:fldChar w:fldCharType="separate"/>
        </w:r>
        <w:r w:rsidR="00876C01">
          <w:rPr>
            <w:webHidden/>
          </w:rPr>
          <w:t>13</w:t>
        </w:r>
        <w:r w:rsidR="00B0578B">
          <w:rPr>
            <w:webHidden/>
          </w:rPr>
          <w:fldChar w:fldCharType="end"/>
        </w:r>
      </w:hyperlink>
    </w:p>
    <w:p w14:paraId="61F97668" w14:textId="4E61E9F1" w:rsidR="00B0578B" w:rsidRDefault="007E178B">
      <w:pPr>
        <w:pStyle w:val="TOC1"/>
        <w:tabs>
          <w:tab w:val="left" w:pos="1474"/>
        </w:tabs>
        <w:rPr>
          <w:rFonts w:asciiTheme="minorHAnsi" w:eastAsiaTheme="minorEastAsia" w:hAnsiTheme="minorHAnsi" w:cstheme="minorBidi"/>
          <w:b w:val="0"/>
          <w:sz w:val="22"/>
          <w:szCs w:val="22"/>
          <w:lang w:eastAsia="en-AU"/>
        </w:rPr>
      </w:pPr>
      <w:hyperlink w:anchor="_Toc486819589" w:history="1">
        <w:r w:rsidR="00B0578B" w:rsidRPr="001034D2">
          <w:rPr>
            <w:rStyle w:val="Hyperlink"/>
          </w:rPr>
          <w:t>10</w:t>
        </w:r>
        <w:r w:rsidR="00B0578B">
          <w:rPr>
            <w:rFonts w:asciiTheme="minorHAnsi" w:eastAsiaTheme="minorEastAsia" w:hAnsiTheme="minorHAnsi" w:cstheme="minorBidi"/>
            <w:b w:val="0"/>
            <w:sz w:val="22"/>
            <w:szCs w:val="22"/>
            <w:lang w:eastAsia="en-AU"/>
          </w:rPr>
          <w:tab/>
        </w:r>
        <w:r w:rsidR="00B0578B" w:rsidRPr="001034D2">
          <w:rPr>
            <w:rStyle w:val="Hyperlink"/>
          </w:rPr>
          <w:t>Major Incident Management</w:t>
        </w:r>
        <w:r w:rsidR="00B0578B">
          <w:rPr>
            <w:webHidden/>
          </w:rPr>
          <w:tab/>
        </w:r>
        <w:r w:rsidR="00B0578B">
          <w:rPr>
            <w:webHidden/>
          </w:rPr>
          <w:fldChar w:fldCharType="begin"/>
        </w:r>
        <w:r w:rsidR="00B0578B">
          <w:rPr>
            <w:webHidden/>
          </w:rPr>
          <w:instrText xml:space="preserve"> PAGEREF _Toc486819589 \h </w:instrText>
        </w:r>
        <w:r w:rsidR="00B0578B">
          <w:rPr>
            <w:webHidden/>
          </w:rPr>
        </w:r>
        <w:r w:rsidR="00B0578B">
          <w:rPr>
            <w:webHidden/>
          </w:rPr>
          <w:fldChar w:fldCharType="separate"/>
        </w:r>
        <w:r w:rsidR="00876C01">
          <w:rPr>
            <w:webHidden/>
          </w:rPr>
          <w:t>13</w:t>
        </w:r>
        <w:r w:rsidR="00B0578B">
          <w:rPr>
            <w:webHidden/>
          </w:rPr>
          <w:fldChar w:fldCharType="end"/>
        </w:r>
      </w:hyperlink>
    </w:p>
    <w:p w14:paraId="3A406453" w14:textId="3F7AD20D" w:rsidR="00B0578B" w:rsidRDefault="007E178B">
      <w:pPr>
        <w:pStyle w:val="TOC1"/>
        <w:tabs>
          <w:tab w:val="left" w:pos="1474"/>
        </w:tabs>
        <w:rPr>
          <w:rFonts w:asciiTheme="minorHAnsi" w:eastAsiaTheme="minorEastAsia" w:hAnsiTheme="minorHAnsi" w:cstheme="minorBidi"/>
          <w:b w:val="0"/>
          <w:sz w:val="22"/>
          <w:szCs w:val="22"/>
          <w:lang w:eastAsia="en-AU"/>
        </w:rPr>
      </w:pPr>
      <w:hyperlink w:anchor="_Toc486819590" w:history="1">
        <w:r w:rsidR="00B0578B" w:rsidRPr="001034D2">
          <w:rPr>
            <w:rStyle w:val="Hyperlink"/>
          </w:rPr>
          <w:t>11</w:t>
        </w:r>
        <w:r w:rsidR="00B0578B">
          <w:rPr>
            <w:rFonts w:asciiTheme="minorHAnsi" w:eastAsiaTheme="minorEastAsia" w:hAnsiTheme="minorHAnsi" w:cstheme="minorBidi"/>
            <w:b w:val="0"/>
            <w:sz w:val="22"/>
            <w:szCs w:val="22"/>
            <w:lang w:eastAsia="en-AU"/>
          </w:rPr>
          <w:tab/>
        </w:r>
        <w:r w:rsidR="00B0578B" w:rsidRPr="001034D2">
          <w:rPr>
            <w:rStyle w:val="Hyperlink"/>
          </w:rPr>
          <w:t>Problem Management</w:t>
        </w:r>
        <w:r w:rsidR="00B0578B">
          <w:rPr>
            <w:webHidden/>
          </w:rPr>
          <w:tab/>
        </w:r>
        <w:r w:rsidR="00B0578B">
          <w:rPr>
            <w:webHidden/>
          </w:rPr>
          <w:fldChar w:fldCharType="begin"/>
        </w:r>
        <w:r w:rsidR="00B0578B">
          <w:rPr>
            <w:webHidden/>
          </w:rPr>
          <w:instrText xml:space="preserve"> PAGEREF _Toc486819590 \h </w:instrText>
        </w:r>
        <w:r w:rsidR="00B0578B">
          <w:rPr>
            <w:webHidden/>
          </w:rPr>
        </w:r>
        <w:r w:rsidR="00B0578B">
          <w:rPr>
            <w:webHidden/>
          </w:rPr>
          <w:fldChar w:fldCharType="separate"/>
        </w:r>
        <w:r w:rsidR="00876C01">
          <w:rPr>
            <w:webHidden/>
          </w:rPr>
          <w:t>15</w:t>
        </w:r>
        <w:r w:rsidR="00B0578B">
          <w:rPr>
            <w:webHidden/>
          </w:rPr>
          <w:fldChar w:fldCharType="end"/>
        </w:r>
      </w:hyperlink>
    </w:p>
    <w:p w14:paraId="5355973F" w14:textId="7A802FA7" w:rsidR="00B0578B" w:rsidRDefault="007E178B">
      <w:pPr>
        <w:pStyle w:val="TOC1"/>
        <w:tabs>
          <w:tab w:val="left" w:pos="1474"/>
        </w:tabs>
        <w:rPr>
          <w:rFonts w:asciiTheme="minorHAnsi" w:eastAsiaTheme="minorEastAsia" w:hAnsiTheme="minorHAnsi" w:cstheme="minorBidi"/>
          <w:b w:val="0"/>
          <w:sz w:val="22"/>
          <w:szCs w:val="22"/>
          <w:lang w:eastAsia="en-AU"/>
        </w:rPr>
      </w:pPr>
      <w:hyperlink w:anchor="_Toc486819591" w:history="1">
        <w:r w:rsidR="00B0578B" w:rsidRPr="001034D2">
          <w:rPr>
            <w:rStyle w:val="Hyperlink"/>
          </w:rPr>
          <w:t>12</w:t>
        </w:r>
        <w:r w:rsidR="00B0578B">
          <w:rPr>
            <w:rFonts w:asciiTheme="minorHAnsi" w:eastAsiaTheme="minorEastAsia" w:hAnsiTheme="minorHAnsi" w:cstheme="minorBidi"/>
            <w:b w:val="0"/>
            <w:sz w:val="22"/>
            <w:szCs w:val="22"/>
            <w:lang w:eastAsia="en-AU"/>
          </w:rPr>
          <w:tab/>
        </w:r>
        <w:r w:rsidR="00B0578B" w:rsidRPr="001034D2">
          <w:rPr>
            <w:rStyle w:val="Hyperlink"/>
          </w:rPr>
          <w:t>Service Asset &amp; Configuration Management</w:t>
        </w:r>
        <w:r w:rsidR="00B0578B">
          <w:rPr>
            <w:webHidden/>
          </w:rPr>
          <w:tab/>
        </w:r>
        <w:r w:rsidR="00B0578B">
          <w:rPr>
            <w:webHidden/>
          </w:rPr>
          <w:fldChar w:fldCharType="begin"/>
        </w:r>
        <w:r w:rsidR="00B0578B">
          <w:rPr>
            <w:webHidden/>
          </w:rPr>
          <w:instrText xml:space="preserve"> PAGEREF _Toc486819591 \h </w:instrText>
        </w:r>
        <w:r w:rsidR="00B0578B">
          <w:rPr>
            <w:webHidden/>
          </w:rPr>
        </w:r>
        <w:r w:rsidR="00B0578B">
          <w:rPr>
            <w:webHidden/>
          </w:rPr>
          <w:fldChar w:fldCharType="separate"/>
        </w:r>
        <w:r w:rsidR="00876C01">
          <w:rPr>
            <w:webHidden/>
          </w:rPr>
          <w:t>18</w:t>
        </w:r>
        <w:r w:rsidR="00B0578B">
          <w:rPr>
            <w:webHidden/>
          </w:rPr>
          <w:fldChar w:fldCharType="end"/>
        </w:r>
      </w:hyperlink>
    </w:p>
    <w:p w14:paraId="15983696" w14:textId="29F6AFE2" w:rsidR="00B0578B" w:rsidRDefault="007E178B">
      <w:pPr>
        <w:pStyle w:val="TOC1"/>
        <w:tabs>
          <w:tab w:val="left" w:pos="1474"/>
        </w:tabs>
        <w:rPr>
          <w:rFonts w:asciiTheme="minorHAnsi" w:eastAsiaTheme="minorEastAsia" w:hAnsiTheme="minorHAnsi" w:cstheme="minorBidi"/>
          <w:b w:val="0"/>
          <w:sz w:val="22"/>
          <w:szCs w:val="22"/>
          <w:lang w:eastAsia="en-AU"/>
        </w:rPr>
      </w:pPr>
      <w:hyperlink w:anchor="_Toc486819592" w:history="1">
        <w:r w:rsidR="00B0578B" w:rsidRPr="001034D2">
          <w:rPr>
            <w:rStyle w:val="Hyperlink"/>
          </w:rPr>
          <w:t>13</w:t>
        </w:r>
        <w:r w:rsidR="00B0578B">
          <w:rPr>
            <w:rFonts w:asciiTheme="minorHAnsi" w:eastAsiaTheme="minorEastAsia" w:hAnsiTheme="minorHAnsi" w:cstheme="minorBidi"/>
            <w:b w:val="0"/>
            <w:sz w:val="22"/>
            <w:szCs w:val="22"/>
            <w:lang w:eastAsia="en-AU"/>
          </w:rPr>
          <w:tab/>
        </w:r>
        <w:r w:rsidR="00B0578B" w:rsidRPr="001034D2">
          <w:rPr>
            <w:rStyle w:val="Hyperlink"/>
          </w:rPr>
          <w:t>Change Management</w:t>
        </w:r>
        <w:r w:rsidR="00B0578B">
          <w:rPr>
            <w:webHidden/>
          </w:rPr>
          <w:tab/>
        </w:r>
        <w:r w:rsidR="00B0578B">
          <w:rPr>
            <w:webHidden/>
          </w:rPr>
          <w:fldChar w:fldCharType="begin"/>
        </w:r>
        <w:r w:rsidR="00B0578B">
          <w:rPr>
            <w:webHidden/>
          </w:rPr>
          <w:instrText xml:space="preserve"> PAGEREF _Toc486819592 \h </w:instrText>
        </w:r>
        <w:r w:rsidR="00B0578B">
          <w:rPr>
            <w:webHidden/>
          </w:rPr>
        </w:r>
        <w:r w:rsidR="00B0578B">
          <w:rPr>
            <w:webHidden/>
          </w:rPr>
          <w:fldChar w:fldCharType="separate"/>
        </w:r>
        <w:r w:rsidR="00876C01">
          <w:rPr>
            <w:webHidden/>
          </w:rPr>
          <w:t>19</w:t>
        </w:r>
        <w:r w:rsidR="00B0578B">
          <w:rPr>
            <w:webHidden/>
          </w:rPr>
          <w:fldChar w:fldCharType="end"/>
        </w:r>
      </w:hyperlink>
    </w:p>
    <w:p w14:paraId="0B72E526" w14:textId="156BA233" w:rsidR="00B0578B" w:rsidRDefault="007E178B">
      <w:pPr>
        <w:pStyle w:val="TOC1"/>
        <w:tabs>
          <w:tab w:val="left" w:pos="1474"/>
        </w:tabs>
        <w:rPr>
          <w:rFonts w:asciiTheme="minorHAnsi" w:eastAsiaTheme="minorEastAsia" w:hAnsiTheme="minorHAnsi" w:cstheme="minorBidi"/>
          <w:b w:val="0"/>
          <w:sz w:val="22"/>
          <w:szCs w:val="22"/>
          <w:lang w:eastAsia="en-AU"/>
        </w:rPr>
      </w:pPr>
      <w:hyperlink w:anchor="_Toc486819593" w:history="1">
        <w:r w:rsidR="00B0578B" w:rsidRPr="001034D2">
          <w:rPr>
            <w:rStyle w:val="Hyperlink"/>
          </w:rPr>
          <w:t>14</w:t>
        </w:r>
        <w:r w:rsidR="00B0578B">
          <w:rPr>
            <w:rFonts w:asciiTheme="minorHAnsi" w:eastAsiaTheme="minorEastAsia" w:hAnsiTheme="minorHAnsi" w:cstheme="minorBidi"/>
            <w:b w:val="0"/>
            <w:sz w:val="22"/>
            <w:szCs w:val="22"/>
            <w:lang w:eastAsia="en-AU"/>
          </w:rPr>
          <w:tab/>
        </w:r>
        <w:r w:rsidR="00B0578B" w:rsidRPr="001034D2">
          <w:rPr>
            <w:rStyle w:val="Hyperlink"/>
          </w:rPr>
          <w:t>Capacity Management</w:t>
        </w:r>
        <w:r w:rsidR="00B0578B">
          <w:rPr>
            <w:webHidden/>
          </w:rPr>
          <w:tab/>
        </w:r>
        <w:r w:rsidR="00B0578B">
          <w:rPr>
            <w:webHidden/>
          </w:rPr>
          <w:fldChar w:fldCharType="begin"/>
        </w:r>
        <w:r w:rsidR="00B0578B">
          <w:rPr>
            <w:webHidden/>
          </w:rPr>
          <w:instrText xml:space="preserve"> PAGEREF _Toc486819593 \h </w:instrText>
        </w:r>
        <w:r w:rsidR="00B0578B">
          <w:rPr>
            <w:webHidden/>
          </w:rPr>
        </w:r>
        <w:r w:rsidR="00B0578B">
          <w:rPr>
            <w:webHidden/>
          </w:rPr>
          <w:fldChar w:fldCharType="separate"/>
        </w:r>
        <w:r w:rsidR="00876C01">
          <w:rPr>
            <w:webHidden/>
          </w:rPr>
          <w:t>20</w:t>
        </w:r>
        <w:r w:rsidR="00B0578B">
          <w:rPr>
            <w:webHidden/>
          </w:rPr>
          <w:fldChar w:fldCharType="end"/>
        </w:r>
      </w:hyperlink>
    </w:p>
    <w:p w14:paraId="51CD8F50" w14:textId="2816C9CA" w:rsidR="00B0578B" w:rsidRDefault="007E178B">
      <w:pPr>
        <w:pStyle w:val="TOC1"/>
        <w:tabs>
          <w:tab w:val="left" w:pos="1474"/>
        </w:tabs>
        <w:rPr>
          <w:rFonts w:asciiTheme="minorHAnsi" w:eastAsiaTheme="minorEastAsia" w:hAnsiTheme="minorHAnsi" w:cstheme="minorBidi"/>
          <w:b w:val="0"/>
          <w:sz w:val="22"/>
          <w:szCs w:val="22"/>
          <w:lang w:eastAsia="en-AU"/>
        </w:rPr>
      </w:pPr>
      <w:hyperlink w:anchor="_Toc486819594" w:history="1">
        <w:r w:rsidR="00B0578B" w:rsidRPr="001034D2">
          <w:rPr>
            <w:rStyle w:val="Hyperlink"/>
          </w:rPr>
          <w:t>15</w:t>
        </w:r>
        <w:r w:rsidR="00B0578B">
          <w:rPr>
            <w:rFonts w:asciiTheme="minorHAnsi" w:eastAsiaTheme="minorEastAsia" w:hAnsiTheme="minorHAnsi" w:cstheme="minorBidi"/>
            <w:b w:val="0"/>
            <w:sz w:val="22"/>
            <w:szCs w:val="22"/>
            <w:lang w:eastAsia="en-AU"/>
          </w:rPr>
          <w:tab/>
        </w:r>
        <w:r w:rsidR="00B0578B" w:rsidRPr="001034D2">
          <w:rPr>
            <w:rStyle w:val="Hyperlink"/>
          </w:rPr>
          <w:t>Third Party Management</w:t>
        </w:r>
        <w:r w:rsidR="00B0578B">
          <w:rPr>
            <w:webHidden/>
          </w:rPr>
          <w:tab/>
        </w:r>
        <w:r w:rsidR="00B0578B">
          <w:rPr>
            <w:webHidden/>
          </w:rPr>
          <w:fldChar w:fldCharType="begin"/>
        </w:r>
        <w:r w:rsidR="00B0578B">
          <w:rPr>
            <w:webHidden/>
          </w:rPr>
          <w:instrText xml:space="preserve"> PAGEREF _Toc486819594 \h </w:instrText>
        </w:r>
        <w:r w:rsidR="00B0578B">
          <w:rPr>
            <w:webHidden/>
          </w:rPr>
        </w:r>
        <w:r w:rsidR="00B0578B">
          <w:rPr>
            <w:webHidden/>
          </w:rPr>
          <w:fldChar w:fldCharType="separate"/>
        </w:r>
        <w:r w:rsidR="00876C01">
          <w:rPr>
            <w:webHidden/>
          </w:rPr>
          <w:t>22</w:t>
        </w:r>
        <w:r w:rsidR="00B0578B">
          <w:rPr>
            <w:webHidden/>
          </w:rPr>
          <w:fldChar w:fldCharType="end"/>
        </w:r>
      </w:hyperlink>
    </w:p>
    <w:p w14:paraId="55FFC5DB" w14:textId="36511DE0" w:rsidR="00B0578B" w:rsidRDefault="007E178B">
      <w:pPr>
        <w:pStyle w:val="TOC1"/>
        <w:tabs>
          <w:tab w:val="left" w:pos="1474"/>
        </w:tabs>
        <w:rPr>
          <w:rFonts w:asciiTheme="minorHAnsi" w:eastAsiaTheme="minorEastAsia" w:hAnsiTheme="minorHAnsi" w:cstheme="minorBidi"/>
          <w:b w:val="0"/>
          <w:sz w:val="22"/>
          <w:szCs w:val="22"/>
          <w:lang w:eastAsia="en-AU"/>
        </w:rPr>
      </w:pPr>
      <w:hyperlink w:anchor="_Toc486819595" w:history="1">
        <w:r w:rsidR="00B0578B" w:rsidRPr="001034D2">
          <w:rPr>
            <w:rStyle w:val="Hyperlink"/>
          </w:rPr>
          <w:t>16</w:t>
        </w:r>
        <w:r w:rsidR="00B0578B">
          <w:rPr>
            <w:rFonts w:asciiTheme="minorHAnsi" w:eastAsiaTheme="minorEastAsia" w:hAnsiTheme="minorHAnsi" w:cstheme="minorBidi"/>
            <w:b w:val="0"/>
            <w:sz w:val="22"/>
            <w:szCs w:val="22"/>
            <w:lang w:eastAsia="en-AU"/>
          </w:rPr>
          <w:tab/>
        </w:r>
        <w:r w:rsidR="00B0578B" w:rsidRPr="001034D2">
          <w:rPr>
            <w:rStyle w:val="Hyperlink"/>
          </w:rPr>
          <w:t>Special Meanings</w:t>
        </w:r>
        <w:r w:rsidR="00B0578B">
          <w:rPr>
            <w:webHidden/>
          </w:rPr>
          <w:tab/>
        </w:r>
        <w:r w:rsidR="00B0578B">
          <w:rPr>
            <w:webHidden/>
          </w:rPr>
          <w:fldChar w:fldCharType="begin"/>
        </w:r>
        <w:r w:rsidR="00B0578B">
          <w:rPr>
            <w:webHidden/>
          </w:rPr>
          <w:instrText xml:space="preserve"> PAGEREF _Toc486819595 \h </w:instrText>
        </w:r>
        <w:r w:rsidR="00B0578B">
          <w:rPr>
            <w:webHidden/>
          </w:rPr>
        </w:r>
        <w:r w:rsidR="00B0578B">
          <w:rPr>
            <w:webHidden/>
          </w:rPr>
          <w:fldChar w:fldCharType="separate"/>
        </w:r>
        <w:r w:rsidR="00876C01">
          <w:rPr>
            <w:webHidden/>
          </w:rPr>
          <w:t>22</w:t>
        </w:r>
        <w:r w:rsidR="00B0578B">
          <w:rPr>
            <w:webHidden/>
          </w:rPr>
          <w:fldChar w:fldCharType="end"/>
        </w:r>
      </w:hyperlink>
    </w:p>
    <w:p w14:paraId="6FD57559" w14:textId="77777777" w:rsidR="00921CA8" w:rsidRPr="002164BE" w:rsidRDefault="00577363" w:rsidP="00921CA8">
      <w:pPr>
        <w:sectPr w:rsidR="00921CA8" w:rsidRPr="002164BE" w:rsidSect="00B91107">
          <w:headerReference w:type="even" r:id="rId9"/>
          <w:headerReference w:type="default" r:id="rId10"/>
          <w:footerReference w:type="even" r:id="rId11"/>
          <w:footerReference w:type="default" r:id="rId12"/>
          <w:headerReference w:type="first" r:id="rId13"/>
          <w:footerReference w:type="first" r:id="rId14"/>
          <w:pgSz w:w="11907" w:h="16840" w:code="9"/>
          <w:pgMar w:top="1134" w:right="1559" w:bottom="1276" w:left="1843" w:header="425" w:footer="567" w:gutter="0"/>
          <w:cols w:space="720"/>
        </w:sectPr>
      </w:pPr>
      <w:r>
        <w:rPr>
          <w:rFonts w:ascii="Arial" w:hAnsi="Arial"/>
          <w:sz w:val="21"/>
        </w:rPr>
        <w:fldChar w:fldCharType="end"/>
      </w:r>
    </w:p>
    <w:p w14:paraId="6B03BC7C" w14:textId="77777777" w:rsidR="00E76688" w:rsidRDefault="00E76688" w:rsidP="00E76688">
      <w:pPr>
        <w:pStyle w:val="NoSpacing"/>
      </w:pPr>
      <w:r>
        <w:lastRenderedPageBreak/>
        <w:t xml:space="preserve">Certain words are used with the specific meanings set out </w:t>
      </w:r>
      <w:r w:rsidR="009A772F">
        <w:t xml:space="preserve">in section </w:t>
      </w:r>
      <w:r w:rsidR="009A772F">
        <w:fldChar w:fldCharType="begin"/>
      </w:r>
      <w:r w:rsidR="009A772F">
        <w:instrText xml:space="preserve"> REF _Ref485857985 \r \h </w:instrText>
      </w:r>
      <w:r w:rsidR="009A772F">
        <w:fldChar w:fldCharType="separate"/>
      </w:r>
      <w:r w:rsidR="00F672EB">
        <w:t>16</w:t>
      </w:r>
      <w:r w:rsidR="009A772F">
        <w:fldChar w:fldCharType="end"/>
      </w:r>
      <w:r w:rsidR="009A772F">
        <w:t xml:space="preserve"> </w:t>
      </w:r>
      <w:r>
        <w:t xml:space="preserve">and in the </w:t>
      </w:r>
      <w:hyperlink r:id="rId15" w:history="1">
        <w:r w:rsidRPr="00E76688">
          <w:rPr>
            <w:rStyle w:val="Hyperlink"/>
          </w:rPr>
          <w:t>General Terms of Our Customer Terms</w:t>
        </w:r>
      </w:hyperlink>
      <w:r>
        <w:t xml:space="preserve"> (“</w:t>
      </w:r>
      <w:r w:rsidRPr="00E76688">
        <w:rPr>
          <w:b/>
        </w:rPr>
        <w:t>General Terms</w:t>
      </w:r>
      <w:r>
        <w:t>”).</w:t>
      </w:r>
    </w:p>
    <w:p w14:paraId="0962C348" w14:textId="77777777" w:rsidR="00592CE3" w:rsidRPr="002164BE" w:rsidRDefault="00592CE3" w:rsidP="00FB4CB1">
      <w:pPr>
        <w:pStyle w:val="Heading1"/>
        <w:tabs>
          <w:tab w:val="clear" w:pos="737"/>
        </w:tabs>
      </w:pPr>
      <w:bookmarkStart w:id="0" w:name="_Toc486819569"/>
      <w:r w:rsidRPr="002164BE">
        <w:t xml:space="preserve">About </w:t>
      </w:r>
      <w:r w:rsidR="00E53D8A">
        <w:t>Integrated Service Management</w:t>
      </w:r>
      <w:bookmarkEnd w:id="0"/>
    </w:p>
    <w:p w14:paraId="2CEA59BB" w14:textId="77777777" w:rsidR="00592CE3" w:rsidRPr="002164BE" w:rsidRDefault="00592CE3" w:rsidP="00FB4CB1">
      <w:pPr>
        <w:pStyle w:val="Indent1"/>
      </w:pPr>
      <w:bookmarkStart w:id="1" w:name="_Toc486819570"/>
      <w:r w:rsidRPr="002164BE">
        <w:t>Our Customer Terms</w:t>
      </w:r>
      <w:bookmarkEnd w:id="1"/>
    </w:p>
    <w:p w14:paraId="358113BB" w14:textId="77777777" w:rsidR="00592CE3" w:rsidRPr="002164BE" w:rsidRDefault="00592CE3" w:rsidP="009A29A4">
      <w:pPr>
        <w:pStyle w:val="Heading2"/>
      </w:pPr>
      <w:r w:rsidRPr="002164BE">
        <w:t xml:space="preserve">This is </w:t>
      </w:r>
      <w:r w:rsidR="00E53D8A">
        <w:t>Integrated Service Management</w:t>
      </w:r>
      <w:r w:rsidRPr="002164BE">
        <w:t xml:space="preserve"> section of Our Customer Terms.</w:t>
      </w:r>
      <w:r w:rsidR="00F164E7">
        <w:t xml:space="preserve"> </w:t>
      </w:r>
    </w:p>
    <w:p w14:paraId="33DEBAA3" w14:textId="77777777" w:rsidR="00592CE3" w:rsidRPr="002164BE" w:rsidRDefault="00592CE3" w:rsidP="009A29A4">
      <w:pPr>
        <w:pStyle w:val="Heading2"/>
      </w:pPr>
      <w:r w:rsidRPr="002164BE">
        <w:t xml:space="preserve">The </w:t>
      </w:r>
      <w:r w:rsidRPr="00F164E7">
        <w:t>General Terms</w:t>
      </w:r>
      <w:r w:rsidRPr="002164BE">
        <w:t xml:space="preserve"> </w:t>
      </w:r>
      <w:r w:rsidR="00E76688">
        <w:t xml:space="preserve">also </w:t>
      </w:r>
      <w:r w:rsidRPr="002164BE">
        <w:t>apply</w:t>
      </w:r>
      <w:r w:rsidR="00E67603">
        <w:t>, unless you have entered into a separate agreement with us that excludes the General Terms</w:t>
      </w:r>
      <w:r w:rsidRPr="002164BE">
        <w:t>.</w:t>
      </w:r>
    </w:p>
    <w:p w14:paraId="02AAC08E" w14:textId="77777777" w:rsidR="00B00FE5" w:rsidRPr="002164BE" w:rsidRDefault="00B00FE5" w:rsidP="00B00FE5">
      <w:pPr>
        <w:pStyle w:val="Indent1"/>
      </w:pPr>
      <w:bookmarkStart w:id="2" w:name="_Toc486819571"/>
      <w:r>
        <w:t>ISM Handbook</w:t>
      </w:r>
      <w:bookmarkEnd w:id="2"/>
    </w:p>
    <w:p w14:paraId="6BA9CA0C" w14:textId="77777777" w:rsidR="00B00FE5" w:rsidRDefault="00B00FE5" w:rsidP="00B00FE5">
      <w:pPr>
        <w:pStyle w:val="Heading2"/>
      </w:pPr>
      <w:r>
        <w:t>This section is supplemented by the ISM Handbook described in clause</w:t>
      </w:r>
      <w:r w:rsidR="006A56B3">
        <w:t xml:space="preserve">s </w:t>
      </w:r>
      <w:r w:rsidR="006A56B3">
        <w:fldChar w:fldCharType="begin"/>
      </w:r>
      <w:r w:rsidR="006A56B3">
        <w:instrText xml:space="preserve"> REF _Ref485823410 \r \h </w:instrText>
      </w:r>
      <w:r w:rsidR="006A56B3">
        <w:fldChar w:fldCharType="separate"/>
      </w:r>
      <w:r w:rsidR="00F672EB">
        <w:t>3.7</w:t>
      </w:r>
      <w:r w:rsidR="006A56B3">
        <w:fldChar w:fldCharType="end"/>
      </w:r>
      <w:r w:rsidR="006A56B3">
        <w:t xml:space="preserve"> to </w:t>
      </w:r>
      <w:r w:rsidR="006A56B3">
        <w:fldChar w:fldCharType="begin"/>
      </w:r>
      <w:r w:rsidR="006A56B3">
        <w:instrText xml:space="preserve"> REF _Ref485823411 \r \h </w:instrText>
      </w:r>
      <w:r w:rsidR="006A56B3">
        <w:fldChar w:fldCharType="separate"/>
      </w:r>
      <w:r w:rsidR="00F672EB">
        <w:t>3.9</w:t>
      </w:r>
      <w:r w:rsidR="006A56B3">
        <w:fldChar w:fldCharType="end"/>
      </w:r>
      <w:r>
        <w:t>. The ISM Handbook is an operational document detailing how we will deliver your Service Inclusions</w:t>
      </w:r>
      <w:r w:rsidR="00FD434A" w:rsidRPr="00FD434A">
        <w:t xml:space="preserve"> </w:t>
      </w:r>
      <w:r w:rsidR="00FD434A">
        <w:t>day to day</w:t>
      </w:r>
      <w:r>
        <w:t xml:space="preserve">, including engagement </w:t>
      </w:r>
      <w:r w:rsidR="00FD434A">
        <w:t>procedures</w:t>
      </w:r>
      <w:r>
        <w:t xml:space="preserve">, </w:t>
      </w:r>
      <w:r w:rsidRPr="00FF7098">
        <w:t>processes</w:t>
      </w:r>
      <w:r>
        <w:t>, and instructions for your end users.</w:t>
      </w:r>
    </w:p>
    <w:p w14:paraId="6BB90C9F" w14:textId="77777777" w:rsidR="00592CE3" w:rsidRPr="002164BE" w:rsidRDefault="00592CE3" w:rsidP="00FB4CB1">
      <w:pPr>
        <w:pStyle w:val="Indent1"/>
      </w:pPr>
      <w:bookmarkStart w:id="3" w:name="_Toc486819572"/>
      <w:r w:rsidRPr="002164BE">
        <w:t>Inconsistencies</w:t>
      </w:r>
      <w:bookmarkEnd w:id="3"/>
    </w:p>
    <w:p w14:paraId="35260DA6" w14:textId="77777777" w:rsidR="00F164E7" w:rsidRDefault="00F164E7" w:rsidP="009A29A4">
      <w:pPr>
        <w:pStyle w:val="Heading2"/>
      </w:pPr>
      <w:r>
        <w:t>This section applies to the extent of any inconsistency with the General Terms.</w:t>
      </w:r>
    </w:p>
    <w:p w14:paraId="0FE663B6" w14:textId="77777777" w:rsidR="00592CE3" w:rsidRDefault="00BF1A3C" w:rsidP="009A29A4">
      <w:pPr>
        <w:pStyle w:val="Heading2"/>
      </w:pPr>
      <w:r>
        <w:t>If this section lets us suspend or terminate your service, it is in addition to our rights to suspend or terminate your service under the General Terms.</w:t>
      </w:r>
    </w:p>
    <w:p w14:paraId="148BFEC2" w14:textId="77777777" w:rsidR="009C6BF5" w:rsidRDefault="00AC1D74" w:rsidP="00FB4CB1">
      <w:pPr>
        <w:pStyle w:val="Heading1"/>
        <w:tabs>
          <w:tab w:val="clear" w:pos="737"/>
        </w:tabs>
      </w:pPr>
      <w:bookmarkStart w:id="4" w:name="_Toc486819573"/>
      <w:r>
        <w:t>Integrated Service Management</w:t>
      </w:r>
      <w:bookmarkEnd w:id="4"/>
    </w:p>
    <w:p w14:paraId="59B91072" w14:textId="77777777" w:rsidR="00A05227" w:rsidRPr="00A05227" w:rsidRDefault="00A05227" w:rsidP="00A05227">
      <w:pPr>
        <w:pStyle w:val="Indent1"/>
      </w:pPr>
      <w:bookmarkStart w:id="5" w:name="_Toc486819574"/>
      <w:r>
        <w:t xml:space="preserve">What is </w:t>
      </w:r>
      <w:r w:rsidR="00AC1D74">
        <w:t>Integrated Service Management</w:t>
      </w:r>
      <w:r>
        <w:t>?</w:t>
      </w:r>
      <w:bookmarkEnd w:id="5"/>
    </w:p>
    <w:p w14:paraId="2BB8D98E" w14:textId="77777777" w:rsidR="00AC1D74" w:rsidRDefault="00AC1D74" w:rsidP="00AC1D74">
      <w:pPr>
        <w:pStyle w:val="Heading2"/>
      </w:pPr>
      <w:r>
        <w:t>Integrated Service Management</w:t>
      </w:r>
      <w:r w:rsidR="009C6BF5">
        <w:t xml:space="preserve"> </w:t>
      </w:r>
      <w:r w:rsidR="006C32A5">
        <w:t>is a</w:t>
      </w:r>
      <w:r w:rsidRPr="00AC1D74">
        <w:t xml:space="preserve"> suite of </w:t>
      </w:r>
      <w:r>
        <w:t xml:space="preserve">ITIL aligned service management capabilities for the end-to-end management of </w:t>
      </w:r>
      <w:r w:rsidR="007C15B7">
        <w:t>supported ICT services.</w:t>
      </w:r>
      <w:r w:rsidR="006C32A5">
        <w:t xml:space="preserve"> </w:t>
      </w:r>
      <w:r w:rsidR="00FA78DD">
        <w:t>Our service management framework will be aligned with the ITIL v3 framework</w:t>
      </w:r>
      <w:r w:rsidR="003C165C">
        <w:t xml:space="preserve"> to </w:t>
      </w:r>
      <w:r w:rsidR="00FA78DD">
        <w:t>provide a common terminology and methodology, unless otherwise specified in relation to specific Capabilities in this section, your agreement with us, or the ISM Handbook.</w:t>
      </w:r>
    </w:p>
    <w:p w14:paraId="6D7EE4E4" w14:textId="77777777" w:rsidR="006E226B" w:rsidRDefault="006E226B" w:rsidP="006E226B">
      <w:pPr>
        <w:pStyle w:val="Heading2"/>
      </w:pPr>
      <w:r>
        <w:t xml:space="preserve">We will provide the Service Inclusions for your In-scope Services at the Premises set out in your agreement with us (your </w:t>
      </w:r>
      <w:r w:rsidRPr="006E226B">
        <w:rPr>
          <w:b/>
        </w:rPr>
        <w:t>ISM Service</w:t>
      </w:r>
      <w:r>
        <w:t>).</w:t>
      </w:r>
    </w:p>
    <w:p w14:paraId="381FE388" w14:textId="77777777" w:rsidR="006D07CC" w:rsidRDefault="00AC1D74" w:rsidP="00036329">
      <w:pPr>
        <w:pStyle w:val="Heading2"/>
      </w:pPr>
      <w:r>
        <w:t xml:space="preserve">Your Service Inclusions depend on which Tier </w:t>
      </w:r>
      <w:r w:rsidR="00333348">
        <w:t xml:space="preserve">of Integrated Service Management </w:t>
      </w:r>
      <w:r>
        <w:t>you have decided to take</w:t>
      </w:r>
      <w:r w:rsidR="0071184C">
        <w:t xml:space="preserve"> up</w:t>
      </w:r>
      <w:r>
        <w:t>. You can choose one of t</w:t>
      </w:r>
      <w:r w:rsidR="006D07CC">
        <w:t>hree t</w:t>
      </w:r>
      <w:r>
        <w:t>iers</w:t>
      </w:r>
      <w:r w:rsidR="00333348">
        <w:t xml:space="preserve">: </w:t>
      </w:r>
      <w:r>
        <w:t>Essential, E</w:t>
      </w:r>
      <w:bookmarkStart w:id="6" w:name="_Ref480794152"/>
      <w:r w:rsidR="006D07CC">
        <w:t>nhanced and Premium</w:t>
      </w:r>
      <w:r w:rsidR="00E9606A">
        <w:t>.</w:t>
      </w:r>
      <w:r w:rsidR="00333348">
        <w:t xml:space="preserve"> </w:t>
      </w:r>
      <w:r w:rsidR="006D07CC">
        <w:t>The table below sets out the Service Inclusions for each Tier</w:t>
      </w:r>
      <w:bookmarkEnd w:id="6"/>
      <w:r w:rsidR="00D832FB">
        <w:t>:</w:t>
      </w:r>
      <w:r w:rsidR="006D07CC">
        <w:t xml:space="preserve"> </w:t>
      </w:r>
    </w:p>
    <w:tbl>
      <w:tblPr>
        <w:tblW w:w="7802" w:type="dxa"/>
        <w:tblInd w:w="699" w:type="dxa"/>
        <w:tblCellMar>
          <w:left w:w="0" w:type="dxa"/>
          <w:right w:w="0" w:type="dxa"/>
        </w:tblCellMar>
        <w:tblLook w:val="04A0" w:firstRow="1" w:lastRow="0" w:firstColumn="1" w:lastColumn="0" w:noHBand="0" w:noVBand="1"/>
      </w:tblPr>
      <w:tblGrid>
        <w:gridCol w:w="845"/>
        <w:gridCol w:w="3412"/>
        <w:gridCol w:w="1181"/>
        <w:gridCol w:w="1182"/>
        <w:gridCol w:w="1182"/>
      </w:tblGrid>
      <w:tr w:rsidR="00A216F2" w:rsidRPr="00315ADD" w14:paraId="5E42E448" w14:textId="77777777" w:rsidTr="007F0F06">
        <w:trPr>
          <w:gridAfter w:val="3"/>
          <w:wAfter w:w="3545" w:type="dxa"/>
          <w:trHeight w:val="300"/>
        </w:trPr>
        <w:tc>
          <w:tcPr>
            <w:tcW w:w="42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A68B70B" w14:textId="77777777" w:rsidR="00A216F2" w:rsidRPr="0026512F" w:rsidRDefault="00A216F2" w:rsidP="00E53D8A">
            <w:pPr>
              <w:pStyle w:val="NoSpacing"/>
              <w:jc w:val="center"/>
              <w:rPr>
                <w:rFonts w:ascii="Arial" w:hAnsi="Arial" w:cs="Arial"/>
                <w:b/>
                <w:sz w:val="16"/>
                <w:szCs w:val="16"/>
              </w:rPr>
            </w:pPr>
            <w:r w:rsidRPr="0026512F">
              <w:rPr>
                <w:rFonts w:ascii="Arial" w:hAnsi="Arial" w:cs="Arial"/>
                <w:b/>
                <w:sz w:val="16"/>
                <w:szCs w:val="16"/>
              </w:rPr>
              <w:t>Key</w:t>
            </w:r>
          </w:p>
        </w:tc>
      </w:tr>
      <w:tr w:rsidR="00A216F2" w:rsidRPr="00315ADD" w14:paraId="671B04BF" w14:textId="77777777" w:rsidTr="003C4437">
        <w:trPr>
          <w:gridAfter w:val="3"/>
          <w:wAfter w:w="3545" w:type="dxa"/>
          <w:trHeight w:val="300"/>
        </w:trPr>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C7C57" w14:textId="0E00A54F" w:rsidR="00A216F2" w:rsidRDefault="000C7B60" w:rsidP="00E53D8A">
            <w:pPr>
              <w:pStyle w:val="NoSpacing"/>
              <w:jc w:val="center"/>
              <w:rPr>
                <w:rFonts w:ascii="Arial" w:hAnsi="Arial" w:cs="Arial"/>
                <w:noProof/>
                <w:sz w:val="18"/>
                <w:szCs w:val="18"/>
                <w:lang w:eastAsia="en-AU"/>
              </w:rPr>
            </w:pPr>
            <w:r w:rsidRPr="000C7B60">
              <w:rPr>
                <w:rFonts w:ascii="Segoe UI Symbol" w:hAnsi="Segoe UI Symbol" w:cs="Segoe UI Symbol"/>
                <w:color w:val="242729"/>
                <w:szCs w:val="23"/>
              </w:rPr>
              <w:t>✓</w:t>
            </w:r>
          </w:p>
        </w:tc>
        <w:tc>
          <w:tcPr>
            <w:tcW w:w="341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7AFBCE" w14:textId="3130E58C" w:rsidR="00A216F2" w:rsidRPr="00315ADD" w:rsidRDefault="00A216F2" w:rsidP="000C7B60">
            <w:pPr>
              <w:pStyle w:val="NoSpacing"/>
              <w:rPr>
                <w:rFonts w:ascii="Arial" w:hAnsi="Arial" w:cs="Arial"/>
                <w:sz w:val="16"/>
                <w:szCs w:val="16"/>
              </w:rPr>
            </w:pPr>
            <w:r>
              <w:rPr>
                <w:rFonts w:ascii="Arial" w:hAnsi="Arial" w:cs="Arial"/>
                <w:sz w:val="16"/>
                <w:szCs w:val="16"/>
              </w:rPr>
              <w:t>Included</w:t>
            </w:r>
          </w:p>
        </w:tc>
      </w:tr>
      <w:tr w:rsidR="00A216F2" w:rsidRPr="00315ADD" w14:paraId="5C39E28B" w14:textId="77777777" w:rsidTr="003C4437">
        <w:trPr>
          <w:gridAfter w:val="3"/>
          <w:wAfter w:w="3545" w:type="dxa"/>
          <w:trHeight w:val="300"/>
        </w:trPr>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91F76B" w14:textId="6BFA0437" w:rsidR="00A216F2" w:rsidRPr="00315ADD" w:rsidRDefault="000C7B60" w:rsidP="00E53D8A">
            <w:pPr>
              <w:pStyle w:val="NoSpacing"/>
              <w:jc w:val="center"/>
              <w:rPr>
                <w:rFonts w:ascii="Arial" w:hAnsi="Arial" w:cs="Arial"/>
                <w:sz w:val="16"/>
                <w:szCs w:val="16"/>
              </w:rPr>
            </w:pPr>
            <w:r>
              <w:rPr>
                <w:rFonts w:ascii="Arial" w:hAnsi="Arial" w:cs="Arial"/>
                <w:sz w:val="16"/>
                <w:szCs w:val="16"/>
              </w:rPr>
              <w:t>#</w:t>
            </w:r>
          </w:p>
        </w:tc>
        <w:tc>
          <w:tcPr>
            <w:tcW w:w="341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CD8A28" w14:textId="77777777" w:rsidR="00A216F2" w:rsidRPr="00315ADD" w:rsidRDefault="0004412F" w:rsidP="0004412F">
            <w:pPr>
              <w:pStyle w:val="NoSpacing"/>
              <w:rPr>
                <w:rFonts w:ascii="Arial" w:hAnsi="Arial" w:cs="Arial"/>
                <w:sz w:val="16"/>
                <w:szCs w:val="16"/>
              </w:rPr>
            </w:pPr>
            <w:r>
              <w:rPr>
                <w:rFonts w:ascii="Arial" w:hAnsi="Arial" w:cs="Arial"/>
                <w:sz w:val="16"/>
                <w:szCs w:val="16"/>
              </w:rPr>
              <w:t>Optional</w:t>
            </w:r>
          </w:p>
        </w:tc>
      </w:tr>
      <w:tr w:rsidR="007F0F06" w:rsidRPr="00315ADD" w14:paraId="2F7166B5" w14:textId="77777777" w:rsidTr="007F0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8"/>
        </w:trPr>
        <w:tc>
          <w:tcPr>
            <w:tcW w:w="4257" w:type="dxa"/>
            <w:gridSpan w:val="2"/>
            <w:tcBorders>
              <w:bottom w:val="single" w:sz="4" w:space="0" w:color="auto"/>
            </w:tcBorders>
            <w:shd w:val="clear" w:color="auto" w:fill="F2F2F2" w:themeFill="background1" w:themeFillShade="F2"/>
            <w:noWrap/>
            <w:tcMar>
              <w:top w:w="0" w:type="dxa"/>
              <w:left w:w="108" w:type="dxa"/>
              <w:bottom w:w="0" w:type="dxa"/>
              <w:right w:w="108" w:type="dxa"/>
            </w:tcMar>
            <w:vAlign w:val="center"/>
            <w:hideMark/>
          </w:tcPr>
          <w:p w14:paraId="33B4C94F" w14:textId="77777777" w:rsidR="006D07CC" w:rsidRPr="00521E94" w:rsidRDefault="006D07CC" w:rsidP="0044396E">
            <w:pPr>
              <w:pStyle w:val="NoSpacing"/>
              <w:keepNext/>
              <w:jc w:val="center"/>
              <w:rPr>
                <w:rFonts w:ascii="Arial" w:hAnsi="Arial" w:cs="Arial"/>
                <w:b/>
                <w:sz w:val="18"/>
                <w:szCs w:val="18"/>
              </w:rPr>
            </w:pPr>
            <w:r w:rsidRPr="00580003">
              <w:rPr>
                <w:rFonts w:ascii="Arial" w:hAnsi="Arial" w:cs="Arial"/>
                <w:b/>
                <w:sz w:val="18"/>
                <w:szCs w:val="18"/>
              </w:rPr>
              <w:lastRenderedPageBreak/>
              <w:t>S</w:t>
            </w:r>
            <w:r>
              <w:rPr>
                <w:rFonts w:ascii="Arial" w:hAnsi="Arial" w:cs="Arial"/>
                <w:b/>
                <w:sz w:val="18"/>
                <w:szCs w:val="18"/>
              </w:rPr>
              <w:t xml:space="preserve">ervice </w:t>
            </w:r>
            <w:r w:rsidRPr="00580003">
              <w:rPr>
                <w:rFonts w:ascii="Arial" w:hAnsi="Arial" w:cs="Arial"/>
                <w:b/>
                <w:sz w:val="18"/>
                <w:szCs w:val="18"/>
              </w:rPr>
              <w:t>D</w:t>
            </w:r>
            <w:r>
              <w:rPr>
                <w:rFonts w:ascii="Arial" w:hAnsi="Arial" w:cs="Arial"/>
                <w:b/>
                <w:sz w:val="18"/>
                <w:szCs w:val="18"/>
              </w:rPr>
              <w:t>esk</w:t>
            </w:r>
            <w:r w:rsidRPr="00580003">
              <w:rPr>
                <w:rFonts w:ascii="Arial" w:hAnsi="Arial" w:cs="Arial"/>
                <w:b/>
                <w:sz w:val="18"/>
                <w:szCs w:val="18"/>
              </w:rPr>
              <w:t xml:space="preserve"> C</w:t>
            </w:r>
            <w:r>
              <w:rPr>
                <w:rFonts w:ascii="Arial" w:hAnsi="Arial" w:cs="Arial"/>
                <w:b/>
                <w:sz w:val="18"/>
                <w:szCs w:val="18"/>
              </w:rPr>
              <w:t xml:space="preserve">ontact </w:t>
            </w:r>
            <w:r w:rsidRPr="00580003">
              <w:rPr>
                <w:rFonts w:ascii="Arial" w:hAnsi="Arial" w:cs="Arial"/>
                <w:b/>
                <w:sz w:val="18"/>
                <w:szCs w:val="18"/>
              </w:rPr>
              <w:t>C</w:t>
            </w:r>
            <w:r>
              <w:rPr>
                <w:rFonts w:ascii="Arial" w:hAnsi="Arial" w:cs="Arial"/>
                <w:b/>
                <w:sz w:val="18"/>
                <w:szCs w:val="18"/>
              </w:rPr>
              <w:t>hannels</w:t>
            </w:r>
          </w:p>
        </w:tc>
        <w:tc>
          <w:tcPr>
            <w:tcW w:w="1181" w:type="dxa"/>
            <w:shd w:val="clear" w:color="auto" w:fill="F2F2F2" w:themeFill="background1" w:themeFillShade="F2"/>
            <w:tcMar>
              <w:top w:w="0" w:type="dxa"/>
              <w:left w:w="108" w:type="dxa"/>
              <w:bottom w:w="0" w:type="dxa"/>
              <w:right w:w="108" w:type="dxa"/>
            </w:tcMar>
            <w:vAlign w:val="center"/>
            <w:hideMark/>
          </w:tcPr>
          <w:p w14:paraId="399BBB3C" w14:textId="77777777" w:rsidR="006D07CC" w:rsidRPr="00521E94" w:rsidRDefault="006D07CC" w:rsidP="001636AC">
            <w:pPr>
              <w:pStyle w:val="NoSpacing"/>
              <w:jc w:val="center"/>
              <w:rPr>
                <w:rFonts w:ascii="Arial" w:hAnsi="Arial" w:cs="Arial"/>
                <w:b/>
                <w:sz w:val="18"/>
                <w:szCs w:val="18"/>
              </w:rPr>
            </w:pPr>
            <w:r w:rsidRPr="00521E94">
              <w:rPr>
                <w:rFonts w:ascii="Arial" w:hAnsi="Arial" w:cs="Arial"/>
                <w:b/>
                <w:sz w:val="18"/>
                <w:szCs w:val="18"/>
              </w:rPr>
              <w:t>Essential</w:t>
            </w:r>
          </w:p>
        </w:tc>
        <w:tc>
          <w:tcPr>
            <w:tcW w:w="1182" w:type="dxa"/>
            <w:shd w:val="clear" w:color="auto" w:fill="F2F2F2" w:themeFill="background1" w:themeFillShade="F2"/>
            <w:tcMar>
              <w:top w:w="0" w:type="dxa"/>
              <w:left w:w="108" w:type="dxa"/>
              <w:bottom w:w="0" w:type="dxa"/>
              <w:right w:w="108" w:type="dxa"/>
            </w:tcMar>
            <w:vAlign w:val="center"/>
            <w:hideMark/>
          </w:tcPr>
          <w:p w14:paraId="266AB6FA" w14:textId="77777777" w:rsidR="006D07CC" w:rsidRPr="00521E94" w:rsidRDefault="006D07CC" w:rsidP="001636AC">
            <w:pPr>
              <w:pStyle w:val="NoSpacing"/>
              <w:jc w:val="center"/>
              <w:rPr>
                <w:rFonts w:ascii="Arial" w:hAnsi="Arial" w:cs="Arial"/>
                <w:b/>
                <w:sz w:val="18"/>
                <w:szCs w:val="18"/>
              </w:rPr>
            </w:pPr>
            <w:r w:rsidRPr="00521E94">
              <w:rPr>
                <w:rFonts w:ascii="Arial" w:hAnsi="Arial" w:cs="Arial"/>
                <w:b/>
                <w:color w:val="000000"/>
                <w:sz w:val="18"/>
                <w:szCs w:val="18"/>
              </w:rPr>
              <w:t>Enhanced</w:t>
            </w:r>
          </w:p>
        </w:tc>
        <w:tc>
          <w:tcPr>
            <w:tcW w:w="1182" w:type="dxa"/>
            <w:shd w:val="clear" w:color="auto" w:fill="F2F2F2" w:themeFill="background1" w:themeFillShade="F2"/>
            <w:vAlign w:val="center"/>
          </w:tcPr>
          <w:p w14:paraId="66FA67EA" w14:textId="77777777" w:rsidR="006D07CC" w:rsidRPr="00521E94" w:rsidRDefault="006D07CC" w:rsidP="001636AC">
            <w:pPr>
              <w:pStyle w:val="NoSpacing"/>
              <w:jc w:val="center"/>
              <w:rPr>
                <w:rFonts w:ascii="Arial" w:hAnsi="Arial" w:cs="Arial"/>
                <w:b/>
                <w:sz w:val="18"/>
                <w:szCs w:val="18"/>
              </w:rPr>
            </w:pPr>
            <w:r w:rsidRPr="00521E94">
              <w:rPr>
                <w:rFonts w:ascii="Arial" w:hAnsi="Arial" w:cs="Arial"/>
                <w:b/>
                <w:sz w:val="18"/>
                <w:szCs w:val="18"/>
              </w:rPr>
              <w:t>Premium</w:t>
            </w:r>
          </w:p>
        </w:tc>
      </w:tr>
      <w:tr w:rsidR="000C7B60" w:rsidRPr="00315ADD" w14:paraId="18B578B9" w14:textId="77777777" w:rsidTr="003E1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257" w:type="dxa"/>
            <w:gridSpan w:val="2"/>
            <w:shd w:val="clear" w:color="auto" w:fill="auto"/>
            <w:tcMar>
              <w:top w:w="0" w:type="dxa"/>
              <w:left w:w="108" w:type="dxa"/>
              <w:bottom w:w="0" w:type="dxa"/>
              <w:right w:w="108" w:type="dxa"/>
            </w:tcMar>
            <w:hideMark/>
          </w:tcPr>
          <w:p w14:paraId="2C7DFA68" w14:textId="77777777" w:rsidR="000C7B60" w:rsidRPr="00580003" w:rsidRDefault="000C7B60" w:rsidP="000C7B60">
            <w:pPr>
              <w:pStyle w:val="NoSpacing"/>
              <w:rPr>
                <w:rFonts w:ascii="Arial" w:hAnsi="Arial" w:cs="Arial"/>
                <w:sz w:val="18"/>
                <w:szCs w:val="18"/>
              </w:rPr>
            </w:pPr>
            <w:r w:rsidRPr="00580003">
              <w:rPr>
                <w:rFonts w:ascii="Arial" w:hAnsi="Arial" w:cs="Arial"/>
                <w:sz w:val="18"/>
                <w:szCs w:val="18"/>
              </w:rPr>
              <w:t>Phone</w:t>
            </w:r>
          </w:p>
        </w:tc>
        <w:tc>
          <w:tcPr>
            <w:tcW w:w="1181" w:type="dxa"/>
            <w:noWrap/>
            <w:tcMar>
              <w:top w:w="0" w:type="dxa"/>
              <w:left w:w="108" w:type="dxa"/>
              <w:bottom w:w="0" w:type="dxa"/>
              <w:right w:w="108" w:type="dxa"/>
            </w:tcMar>
            <w:hideMark/>
          </w:tcPr>
          <w:p w14:paraId="77FC3AA6" w14:textId="5B78DD8D" w:rsidR="000C7B60" w:rsidRPr="00580003" w:rsidRDefault="000C7B60" w:rsidP="000C7B60">
            <w:pPr>
              <w:pStyle w:val="NoSpacing"/>
              <w:jc w:val="center"/>
              <w:rPr>
                <w:rFonts w:ascii="Arial" w:hAnsi="Arial" w:cs="Arial"/>
                <w:sz w:val="18"/>
                <w:szCs w:val="18"/>
              </w:rPr>
            </w:pPr>
            <w:r w:rsidRPr="00042097">
              <w:rPr>
                <w:rFonts w:ascii="Segoe UI Symbol" w:hAnsi="Segoe UI Symbol" w:cs="Segoe UI Symbol"/>
                <w:color w:val="242729"/>
                <w:szCs w:val="23"/>
              </w:rPr>
              <w:t>✓</w:t>
            </w:r>
          </w:p>
        </w:tc>
        <w:tc>
          <w:tcPr>
            <w:tcW w:w="1182" w:type="dxa"/>
            <w:noWrap/>
            <w:tcMar>
              <w:top w:w="0" w:type="dxa"/>
              <w:left w:w="108" w:type="dxa"/>
              <w:bottom w:w="0" w:type="dxa"/>
              <w:right w:w="108" w:type="dxa"/>
            </w:tcMar>
            <w:hideMark/>
          </w:tcPr>
          <w:p w14:paraId="2262EE77" w14:textId="7EFD9A56" w:rsidR="000C7B60" w:rsidRPr="00580003" w:rsidRDefault="000C7B60" w:rsidP="000C7B60">
            <w:pPr>
              <w:pStyle w:val="NoSpacing"/>
              <w:jc w:val="center"/>
              <w:rPr>
                <w:rFonts w:ascii="Arial" w:hAnsi="Arial" w:cs="Arial"/>
                <w:sz w:val="18"/>
                <w:szCs w:val="18"/>
              </w:rPr>
            </w:pPr>
            <w:r w:rsidRPr="005C3A74">
              <w:rPr>
                <w:rFonts w:ascii="Segoe UI Symbol" w:hAnsi="Segoe UI Symbol" w:cs="Segoe UI Symbol"/>
                <w:color w:val="242729"/>
                <w:szCs w:val="23"/>
              </w:rPr>
              <w:t>✓</w:t>
            </w:r>
          </w:p>
        </w:tc>
        <w:tc>
          <w:tcPr>
            <w:tcW w:w="1182" w:type="dxa"/>
            <w:vAlign w:val="center"/>
          </w:tcPr>
          <w:p w14:paraId="4862FDF5" w14:textId="6BD00F3E" w:rsidR="000C7B60" w:rsidRPr="00580003" w:rsidRDefault="00815B85" w:rsidP="000C7B60">
            <w:pPr>
              <w:pStyle w:val="NoSpacing"/>
              <w:jc w:val="center"/>
              <w:rPr>
                <w:rFonts w:ascii="Arial" w:hAnsi="Arial" w:cs="Arial"/>
                <w:sz w:val="18"/>
                <w:szCs w:val="18"/>
              </w:rPr>
            </w:pPr>
            <w:r>
              <w:rPr>
                <w:rFonts w:ascii="Arial" w:hAnsi="Arial" w:cs="Arial"/>
                <w:sz w:val="18"/>
                <w:szCs w:val="18"/>
              </w:rPr>
              <w:t>#</w:t>
            </w:r>
          </w:p>
        </w:tc>
      </w:tr>
      <w:tr w:rsidR="00815B85" w:rsidRPr="00315ADD" w14:paraId="6DAA7660" w14:textId="77777777" w:rsidTr="003E1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257" w:type="dxa"/>
            <w:gridSpan w:val="2"/>
            <w:shd w:val="clear" w:color="auto" w:fill="auto"/>
            <w:tcMar>
              <w:top w:w="0" w:type="dxa"/>
              <w:left w:w="108" w:type="dxa"/>
              <w:bottom w:w="0" w:type="dxa"/>
              <w:right w:w="108" w:type="dxa"/>
            </w:tcMar>
            <w:hideMark/>
          </w:tcPr>
          <w:p w14:paraId="04E50716" w14:textId="77777777" w:rsidR="00815B85" w:rsidRPr="00580003" w:rsidRDefault="00815B85" w:rsidP="00815B85">
            <w:pPr>
              <w:pStyle w:val="NoSpacing"/>
              <w:rPr>
                <w:rFonts w:ascii="Arial" w:hAnsi="Arial" w:cs="Arial"/>
                <w:sz w:val="18"/>
                <w:szCs w:val="18"/>
              </w:rPr>
            </w:pPr>
            <w:r w:rsidRPr="00580003">
              <w:rPr>
                <w:rFonts w:ascii="Arial" w:hAnsi="Arial" w:cs="Arial"/>
                <w:sz w:val="18"/>
                <w:szCs w:val="18"/>
              </w:rPr>
              <w:t>Email</w:t>
            </w:r>
          </w:p>
        </w:tc>
        <w:tc>
          <w:tcPr>
            <w:tcW w:w="1181" w:type="dxa"/>
            <w:noWrap/>
            <w:tcMar>
              <w:top w:w="0" w:type="dxa"/>
              <w:left w:w="108" w:type="dxa"/>
              <w:bottom w:w="0" w:type="dxa"/>
              <w:right w:w="108" w:type="dxa"/>
            </w:tcMar>
            <w:hideMark/>
          </w:tcPr>
          <w:p w14:paraId="614D7B1B" w14:textId="4CFA92A9" w:rsidR="00815B85" w:rsidRPr="00580003" w:rsidRDefault="00815B85" w:rsidP="00815B85">
            <w:pPr>
              <w:pStyle w:val="NoSpacing"/>
              <w:jc w:val="center"/>
              <w:rPr>
                <w:rFonts w:ascii="Arial" w:hAnsi="Arial" w:cs="Arial"/>
                <w:sz w:val="18"/>
                <w:szCs w:val="18"/>
              </w:rPr>
            </w:pPr>
            <w:r w:rsidRPr="00042097">
              <w:rPr>
                <w:rFonts w:ascii="Segoe UI Symbol" w:hAnsi="Segoe UI Symbol" w:cs="Segoe UI Symbol"/>
                <w:color w:val="242729"/>
                <w:szCs w:val="23"/>
              </w:rPr>
              <w:t>✓</w:t>
            </w:r>
          </w:p>
        </w:tc>
        <w:tc>
          <w:tcPr>
            <w:tcW w:w="1182" w:type="dxa"/>
            <w:noWrap/>
            <w:tcMar>
              <w:top w:w="0" w:type="dxa"/>
              <w:left w:w="108" w:type="dxa"/>
              <w:bottom w:w="0" w:type="dxa"/>
              <w:right w:w="108" w:type="dxa"/>
            </w:tcMar>
            <w:hideMark/>
          </w:tcPr>
          <w:p w14:paraId="7478A9C6" w14:textId="5FCF4573" w:rsidR="00815B85" w:rsidRPr="00580003" w:rsidRDefault="00815B85" w:rsidP="00815B85">
            <w:pPr>
              <w:pStyle w:val="NoSpacing"/>
              <w:jc w:val="center"/>
              <w:rPr>
                <w:rFonts w:ascii="Arial" w:hAnsi="Arial" w:cs="Arial"/>
                <w:sz w:val="18"/>
                <w:szCs w:val="18"/>
              </w:rPr>
            </w:pPr>
            <w:r w:rsidRPr="005C3A74">
              <w:rPr>
                <w:rFonts w:ascii="Segoe UI Symbol" w:hAnsi="Segoe UI Symbol" w:cs="Segoe UI Symbol"/>
                <w:color w:val="242729"/>
                <w:szCs w:val="23"/>
              </w:rPr>
              <w:t>✓</w:t>
            </w:r>
          </w:p>
        </w:tc>
        <w:tc>
          <w:tcPr>
            <w:tcW w:w="1182" w:type="dxa"/>
            <w:vAlign w:val="center"/>
          </w:tcPr>
          <w:p w14:paraId="54161181" w14:textId="6BF8696A" w:rsidR="00815B85" w:rsidRPr="00580003" w:rsidRDefault="00815B85" w:rsidP="00815B85">
            <w:pPr>
              <w:pStyle w:val="NoSpacing"/>
              <w:jc w:val="center"/>
              <w:rPr>
                <w:rFonts w:ascii="Arial" w:hAnsi="Arial" w:cs="Arial"/>
                <w:sz w:val="18"/>
                <w:szCs w:val="18"/>
              </w:rPr>
            </w:pPr>
            <w:r>
              <w:rPr>
                <w:rFonts w:ascii="Arial" w:hAnsi="Arial" w:cs="Arial"/>
                <w:sz w:val="18"/>
                <w:szCs w:val="18"/>
              </w:rPr>
              <w:t>#</w:t>
            </w:r>
          </w:p>
        </w:tc>
      </w:tr>
      <w:tr w:rsidR="00815B85" w:rsidRPr="00315ADD" w14:paraId="3C96757C" w14:textId="77777777" w:rsidTr="003E1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257" w:type="dxa"/>
            <w:gridSpan w:val="2"/>
            <w:shd w:val="clear" w:color="auto" w:fill="auto"/>
            <w:tcMar>
              <w:top w:w="0" w:type="dxa"/>
              <w:left w:w="108" w:type="dxa"/>
              <w:bottom w:w="0" w:type="dxa"/>
              <w:right w:w="108" w:type="dxa"/>
            </w:tcMar>
          </w:tcPr>
          <w:p w14:paraId="3F8C2C06" w14:textId="77777777" w:rsidR="00815B85" w:rsidRPr="00580003" w:rsidRDefault="00815B85" w:rsidP="00815B85">
            <w:pPr>
              <w:pStyle w:val="NoSpacing"/>
              <w:rPr>
                <w:rFonts w:ascii="Arial" w:hAnsi="Arial" w:cs="Arial"/>
                <w:sz w:val="18"/>
                <w:szCs w:val="18"/>
                <w:vertAlign w:val="superscript"/>
              </w:rPr>
            </w:pPr>
            <w:r>
              <w:rPr>
                <w:rFonts w:ascii="Arial" w:hAnsi="Arial" w:cs="Arial"/>
                <w:sz w:val="18"/>
                <w:szCs w:val="18"/>
              </w:rPr>
              <w:t>Telstra Service Connect (web portal)</w:t>
            </w:r>
          </w:p>
        </w:tc>
        <w:tc>
          <w:tcPr>
            <w:tcW w:w="1181" w:type="dxa"/>
            <w:noWrap/>
            <w:tcMar>
              <w:top w:w="0" w:type="dxa"/>
              <w:left w:w="108" w:type="dxa"/>
              <w:bottom w:w="0" w:type="dxa"/>
              <w:right w:w="108" w:type="dxa"/>
            </w:tcMar>
          </w:tcPr>
          <w:p w14:paraId="7F81B26D" w14:textId="57986BCE" w:rsidR="00815B85" w:rsidRPr="00580003" w:rsidRDefault="00815B85" w:rsidP="00815B85">
            <w:pPr>
              <w:pStyle w:val="NoSpacing"/>
              <w:jc w:val="center"/>
              <w:rPr>
                <w:rFonts w:ascii="Arial" w:hAnsi="Arial" w:cs="Arial"/>
                <w:sz w:val="18"/>
                <w:szCs w:val="18"/>
              </w:rPr>
            </w:pPr>
            <w:r w:rsidRPr="00042097">
              <w:rPr>
                <w:rFonts w:ascii="Segoe UI Symbol" w:hAnsi="Segoe UI Symbol" w:cs="Segoe UI Symbol"/>
                <w:color w:val="242729"/>
                <w:szCs w:val="23"/>
              </w:rPr>
              <w:t>✓</w:t>
            </w:r>
          </w:p>
        </w:tc>
        <w:tc>
          <w:tcPr>
            <w:tcW w:w="1182" w:type="dxa"/>
            <w:noWrap/>
            <w:tcMar>
              <w:top w:w="0" w:type="dxa"/>
              <w:left w:w="108" w:type="dxa"/>
              <w:bottom w:w="0" w:type="dxa"/>
              <w:right w:w="108" w:type="dxa"/>
            </w:tcMar>
          </w:tcPr>
          <w:p w14:paraId="2DA6EE0B" w14:textId="0AEA583D" w:rsidR="00815B85" w:rsidRPr="00580003" w:rsidRDefault="00815B85" w:rsidP="00815B85">
            <w:pPr>
              <w:pStyle w:val="NoSpacing"/>
              <w:jc w:val="center"/>
              <w:rPr>
                <w:rFonts w:ascii="Arial" w:hAnsi="Arial" w:cs="Arial"/>
                <w:sz w:val="18"/>
                <w:szCs w:val="18"/>
              </w:rPr>
            </w:pPr>
            <w:r w:rsidRPr="005C3A74">
              <w:rPr>
                <w:rFonts w:ascii="Segoe UI Symbol" w:hAnsi="Segoe UI Symbol" w:cs="Segoe UI Symbol"/>
                <w:color w:val="242729"/>
                <w:szCs w:val="23"/>
              </w:rPr>
              <w:t>✓</w:t>
            </w:r>
          </w:p>
        </w:tc>
        <w:tc>
          <w:tcPr>
            <w:tcW w:w="1182" w:type="dxa"/>
            <w:vAlign w:val="center"/>
          </w:tcPr>
          <w:p w14:paraId="7806EBF1" w14:textId="717ED23B" w:rsidR="00815B85" w:rsidRPr="00580003" w:rsidRDefault="00815B85" w:rsidP="00815B85">
            <w:pPr>
              <w:pStyle w:val="NoSpacing"/>
              <w:jc w:val="center"/>
              <w:rPr>
                <w:rFonts w:ascii="Arial" w:hAnsi="Arial" w:cs="Arial"/>
                <w:sz w:val="18"/>
                <w:szCs w:val="18"/>
              </w:rPr>
            </w:pPr>
            <w:r>
              <w:rPr>
                <w:rFonts w:ascii="Arial" w:hAnsi="Arial" w:cs="Arial"/>
                <w:sz w:val="18"/>
                <w:szCs w:val="18"/>
              </w:rPr>
              <w:t>#</w:t>
            </w:r>
          </w:p>
        </w:tc>
      </w:tr>
      <w:tr w:rsidR="00815B85" w:rsidRPr="00315ADD" w14:paraId="3F885846" w14:textId="77777777" w:rsidTr="003E1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257" w:type="dxa"/>
            <w:gridSpan w:val="2"/>
            <w:shd w:val="clear" w:color="auto" w:fill="auto"/>
            <w:tcMar>
              <w:top w:w="0" w:type="dxa"/>
              <w:left w:w="108" w:type="dxa"/>
              <w:bottom w:w="0" w:type="dxa"/>
              <w:right w:w="108" w:type="dxa"/>
            </w:tcMar>
          </w:tcPr>
          <w:p w14:paraId="7325F67A" w14:textId="77777777" w:rsidR="00815B85" w:rsidRPr="00580003" w:rsidRDefault="00815B85" w:rsidP="00815B85">
            <w:pPr>
              <w:pStyle w:val="NoSpacing"/>
              <w:rPr>
                <w:rFonts w:ascii="Arial" w:hAnsi="Arial" w:cs="Arial"/>
                <w:sz w:val="18"/>
                <w:szCs w:val="18"/>
              </w:rPr>
            </w:pPr>
            <w:r>
              <w:rPr>
                <w:rFonts w:ascii="Arial" w:hAnsi="Arial" w:cs="Arial"/>
                <w:sz w:val="18"/>
                <w:szCs w:val="18"/>
              </w:rPr>
              <w:t>Service Management API</w:t>
            </w:r>
          </w:p>
        </w:tc>
        <w:tc>
          <w:tcPr>
            <w:tcW w:w="1181" w:type="dxa"/>
            <w:noWrap/>
            <w:tcMar>
              <w:top w:w="0" w:type="dxa"/>
              <w:left w:w="108" w:type="dxa"/>
              <w:bottom w:w="0" w:type="dxa"/>
              <w:right w:w="108" w:type="dxa"/>
            </w:tcMar>
            <w:vAlign w:val="center"/>
          </w:tcPr>
          <w:p w14:paraId="126D9DC2" w14:textId="77777777" w:rsidR="00815B85" w:rsidRPr="00580003" w:rsidRDefault="00815B85" w:rsidP="00815B85">
            <w:pPr>
              <w:pStyle w:val="NoSpacing"/>
              <w:jc w:val="center"/>
              <w:rPr>
                <w:rFonts w:ascii="Arial" w:hAnsi="Arial" w:cs="Arial"/>
                <w:sz w:val="18"/>
                <w:szCs w:val="18"/>
              </w:rPr>
            </w:pPr>
            <w:r>
              <w:rPr>
                <w:rFonts w:ascii="Arial" w:hAnsi="Arial" w:cs="Arial"/>
                <w:sz w:val="18"/>
                <w:szCs w:val="18"/>
              </w:rPr>
              <w:t>-</w:t>
            </w:r>
          </w:p>
        </w:tc>
        <w:tc>
          <w:tcPr>
            <w:tcW w:w="1182" w:type="dxa"/>
            <w:noWrap/>
            <w:tcMar>
              <w:top w:w="0" w:type="dxa"/>
              <w:left w:w="108" w:type="dxa"/>
              <w:bottom w:w="0" w:type="dxa"/>
              <w:right w:w="108" w:type="dxa"/>
            </w:tcMar>
            <w:vAlign w:val="center"/>
          </w:tcPr>
          <w:p w14:paraId="1249E3A3" w14:textId="77777777" w:rsidR="00815B85" w:rsidRPr="00580003" w:rsidRDefault="00815B85" w:rsidP="00815B85">
            <w:pPr>
              <w:pStyle w:val="NoSpacing"/>
              <w:jc w:val="center"/>
              <w:rPr>
                <w:rFonts w:ascii="Arial" w:hAnsi="Arial" w:cs="Arial"/>
                <w:sz w:val="18"/>
                <w:szCs w:val="18"/>
              </w:rPr>
            </w:pPr>
            <w:r>
              <w:rPr>
                <w:rFonts w:ascii="Arial" w:hAnsi="Arial" w:cs="Arial"/>
                <w:sz w:val="18"/>
                <w:szCs w:val="18"/>
              </w:rPr>
              <w:t>-</w:t>
            </w:r>
          </w:p>
        </w:tc>
        <w:tc>
          <w:tcPr>
            <w:tcW w:w="1182" w:type="dxa"/>
            <w:vAlign w:val="center"/>
          </w:tcPr>
          <w:p w14:paraId="37AE949F" w14:textId="384CFABF" w:rsidR="00815B85" w:rsidRPr="00580003" w:rsidRDefault="00815B85" w:rsidP="00815B85">
            <w:pPr>
              <w:pStyle w:val="NoSpacing"/>
              <w:jc w:val="center"/>
              <w:rPr>
                <w:rFonts w:ascii="Arial" w:hAnsi="Arial" w:cs="Arial"/>
                <w:sz w:val="18"/>
                <w:szCs w:val="18"/>
              </w:rPr>
            </w:pPr>
            <w:r>
              <w:rPr>
                <w:rFonts w:ascii="Arial" w:hAnsi="Arial" w:cs="Arial"/>
                <w:sz w:val="18"/>
                <w:szCs w:val="18"/>
              </w:rPr>
              <w:t>#</w:t>
            </w:r>
          </w:p>
        </w:tc>
      </w:tr>
    </w:tbl>
    <w:tbl>
      <w:tblPr>
        <w:tblStyle w:val="TableGrid"/>
        <w:tblW w:w="4586" w:type="pct"/>
        <w:tblInd w:w="704" w:type="dxa"/>
        <w:tblLook w:val="04A0" w:firstRow="1" w:lastRow="0" w:firstColumn="1" w:lastColumn="0" w:noHBand="0" w:noVBand="1"/>
      </w:tblPr>
      <w:tblGrid>
        <w:gridCol w:w="2267"/>
        <w:gridCol w:w="1998"/>
        <w:gridCol w:w="1175"/>
        <w:gridCol w:w="1177"/>
        <w:gridCol w:w="1175"/>
      </w:tblGrid>
      <w:tr w:rsidR="003C4437" w:rsidRPr="00315ADD" w14:paraId="0A084C18" w14:textId="77777777" w:rsidTr="00B0578B">
        <w:trPr>
          <w:trHeight w:val="364"/>
          <w:tblHeader/>
        </w:trPr>
        <w:tc>
          <w:tcPr>
            <w:tcW w:w="2737" w:type="pct"/>
            <w:gridSpan w:val="2"/>
            <w:shd w:val="clear" w:color="auto" w:fill="F2F2F2" w:themeFill="background1" w:themeFillShade="F2"/>
            <w:vAlign w:val="center"/>
            <w:hideMark/>
          </w:tcPr>
          <w:p w14:paraId="6CAF5E54" w14:textId="77777777" w:rsidR="006D07CC" w:rsidRPr="00521E94" w:rsidRDefault="006D07CC" w:rsidP="001636AC">
            <w:pPr>
              <w:pStyle w:val="NoSpacing"/>
              <w:jc w:val="center"/>
              <w:rPr>
                <w:rFonts w:ascii="Arial" w:hAnsi="Arial" w:cs="Arial"/>
                <w:b/>
                <w:sz w:val="18"/>
                <w:szCs w:val="18"/>
              </w:rPr>
            </w:pPr>
            <w:r>
              <w:rPr>
                <w:rFonts w:ascii="Arial" w:hAnsi="Arial" w:cs="Arial"/>
                <w:b/>
                <w:sz w:val="18"/>
                <w:szCs w:val="18"/>
              </w:rPr>
              <w:t>Capabiliti</w:t>
            </w:r>
            <w:r w:rsidRPr="00315ADD">
              <w:rPr>
                <w:rFonts w:ascii="Arial" w:hAnsi="Arial" w:cs="Arial"/>
                <w:b/>
                <w:sz w:val="18"/>
                <w:szCs w:val="18"/>
              </w:rPr>
              <w:t>es</w:t>
            </w:r>
          </w:p>
        </w:tc>
        <w:tc>
          <w:tcPr>
            <w:tcW w:w="754" w:type="pct"/>
            <w:shd w:val="clear" w:color="auto" w:fill="F2F2F2" w:themeFill="background1" w:themeFillShade="F2"/>
            <w:vAlign w:val="center"/>
            <w:hideMark/>
          </w:tcPr>
          <w:p w14:paraId="1EC2A1BF" w14:textId="77777777" w:rsidR="006D07CC" w:rsidRPr="00521E94" w:rsidRDefault="006D07CC" w:rsidP="001636AC">
            <w:pPr>
              <w:pStyle w:val="NoSpacing"/>
              <w:jc w:val="center"/>
              <w:rPr>
                <w:rFonts w:ascii="Arial" w:hAnsi="Arial" w:cs="Arial"/>
                <w:b/>
                <w:sz w:val="18"/>
                <w:szCs w:val="18"/>
              </w:rPr>
            </w:pPr>
            <w:r w:rsidRPr="00521E94">
              <w:rPr>
                <w:rFonts w:ascii="Arial" w:hAnsi="Arial" w:cs="Arial"/>
                <w:b/>
                <w:sz w:val="18"/>
                <w:szCs w:val="18"/>
              </w:rPr>
              <w:t>Essential</w:t>
            </w:r>
          </w:p>
        </w:tc>
        <w:tc>
          <w:tcPr>
            <w:tcW w:w="755" w:type="pct"/>
            <w:shd w:val="clear" w:color="auto" w:fill="F2F2F2" w:themeFill="background1" w:themeFillShade="F2"/>
            <w:vAlign w:val="center"/>
            <w:hideMark/>
          </w:tcPr>
          <w:p w14:paraId="2BC3DF26" w14:textId="77777777" w:rsidR="006D07CC" w:rsidRPr="00521E94" w:rsidRDefault="006D07CC" w:rsidP="001636AC">
            <w:pPr>
              <w:pStyle w:val="NoSpacing"/>
              <w:jc w:val="center"/>
              <w:rPr>
                <w:rFonts w:ascii="Arial" w:hAnsi="Arial" w:cs="Arial"/>
                <w:b/>
                <w:sz w:val="18"/>
                <w:szCs w:val="18"/>
              </w:rPr>
            </w:pPr>
            <w:r w:rsidRPr="00521E94">
              <w:rPr>
                <w:rFonts w:ascii="Arial" w:hAnsi="Arial" w:cs="Arial"/>
                <w:b/>
                <w:sz w:val="18"/>
                <w:szCs w:val="18"/>
              </w:rPr>
              <w:t>Enhanced</w:t>
            </w:r>
          </w:p>
        </w:tc>
        <w:tc>
          <w:tcPr>
            <w:tcW w:w="755" w:type="pct"/>
            <w:shd w:val="clear" w:color="auto" w:fill="F2F2F2" w:themeFill="background1" w:themeFillShade="F2"/>
            <w:vAlign w:val="center"/>
          </w:tcPr>
          <w:p w14:paraId="14548894" w14:textId="77777777" w:rsidR="006D07CC" w:rsidRPr="00521E94" w:rsidRDefault="006D07CC" w:rsidP="001636AC">
            <w:pPr>
              <w:pStyle w:val="NoSpacing"/>
              <w:jc w:val="center"/>
              <w:rPr>
                <w:rFonts w:ascii="Arial" w:hAnsi="Arial" w:cs="Arial"/>
                <w:b/>
                <w:sz w:val="18"/>
                <w:szCs w:val="18"/>
              </w:rPr>
            </w:pPr>
            <w:r w:rsidRPr="00521E94">
              <w:rPr>
                <w:rFonts w:ascii="Arial" w:hAnsi="Arial" w:cs="Arial"/>
                <w:b/>
                <w:sz w:val="18"/>
                <w:szCs w:val="18"/>
              </w:rPr>
              <w:t>Premium</w:t>
            </w:r>
          </w:p>
        </w:tc>
      </w:tr>
      <w:tr w:rsidR="00815B85" w:rsidRPr="00315ADD" w14:paraId="7069A3BC" w14:textId="77777777" w:rsidTr="00B0578B">
        <w:trPr>
          <w:trHeight w:val="238"/>
        </w:trPr>
        <w:tc>
          <w:tcPr>
            <w:tcW w:w="2737" w:type="pct"/>
            <w:gridSpan w:val="2"/>
            <w:hideMark/>
          </w:tcPr>
          <w:p w14:paraId="7B5BDC47" w14:textId="77777777" w:rsidR="00815B85" w:rsidRPr="00580003" w:rsidRDefault="00815B85" w:rsidP="00815B85">
            <w:pPr>
              <w:pStyle w:val="NoSpacing"/>
              <w:rPr>
                <w:rFonts w:ascii="Arial" w:hAnsi="Arial" w:cs="Arial"/>
                <w:color w:val="000000"/>
                <w:sz w:val="18"/>
                <w:szCs w:val="18"/>
              </w:rPr>
            </w:pPr>
            <w:r w:rsidRPr="00580003">
              <w:rPr>
                <w:rFonts w:ascii="Arial" w:hAnsi="Arial" w:cs="Arial"/>
                <w:color w:val="000000"/>
                <w:sz w:val="18"/>
                <w:szCs w:val="18"/>
              </w:rPr>
              <w:t xml:space="preserve">Incident </w:t>
            </w:r>
            <w:r>
              <w:rPr>
                <w:rFonts w:ascii="Arial" w:hAnsi="Arial" w:cs="Arial"/>
                <w:color w:val="000000"/>
                <w:sz w:val="18"/>
                <w:szCs w:val="18"/>
              </w:rPr>
              <w:t>M</w:t>
            </w:r>
            <w:r w:rsidRPr="00580003">
              <w:rPr>
                <w:rFonts w:ascii="Arial" w:hAnsi="Arial" w:cs="Arial"/>
                <w:color w:val="000000"/>
                <w:sz w:val="18"/>
                <w:szCs w:val="18"/>
              </w:rPr>
              <w:t>anagement</w:t>
            </w:r>
          </w:p>
        </w:tc>
        <w:tc>
          <w:tcPr>
            <w:tcW w:w="754" w:type="pct"/>
            <w:noWrap/>
            <w:hideMark/>
          </w:tcPr>
          <w:p w14:paraId="0E1E8C67" w14:textId="4E7005FE" w:rsidR="00815B85" w:rsidRPr="00580003" w:rsidRDefault="00815B85" w:rsidP="00DC5CF3">
            <w:pPr>
              <w:pStyle w:val="NoSpacing"/>
              <w:jc w:val="center"/>
              <w:rPr>
                <w:rFonts w:ascii="Arial" w:hAnsi="Arial" w:cs="Arial"/>
                <w:color w:val="000000"/>
                <w:sz w:val="18"/>
                <w:szCs w:val="18"/>
              </w:rPr>
            </w:pPr>
            <w:r w:rsidRPr="007865C5">
              <w:rPr>
                <w:rFonts w:ascii="Segoe UI Symbol" w:hAnsi="Segoe UI Symbol" w:cs="Segoe UI Symbol"/>
                <w:color w:val="242729"/>
                <w:szCs w:val="23"/>
              </w:rPr>
              <w:t>✓</w:t>
            </w:r>
          </w:p>
        </w:tc>
        <w:tc>
          <w:tcPr>
            <w:tcW w:w="755" w:type="pct"/>
            <w:noWrap/>
            <w:hideMark/>
          </w:tcPr>
          <w:p w14:paraId="44FD0197" w14:textId="64E02636" w:rsidR="00815B85" w:rsidRPr="00580003" w:rsidRDefault="00815B85" w:rsidP="0001590B">
            <w:pPr>
              <w:pStyle w:val="NoSpacing"/>
              <w:jc w:val="center"/>
              <w:rPr>
                <w:rFonts w:ascii="Arial" w:hAnsi="Arial" w:cs="Arial"/>
                <w:color w:val="000000"/>
                <w:sz w:val="18"/>
                <w:szCs w:val="18"/>
              </w:rPr>
            </w:pPr>
            <w:r w:rsidRPr="009B2D89">
              <w:rPr>
                <w:rFonts w:ascii="Segoe UI Symbol" w:hAnsi="Segoe UI Symbol" w:cs="Segoe UI Symbol"/>
                <w:color w:val="242729"/>
                <w:szCs w:val="23"/>
              </w:rPr>
              <w:t>✓</w:t>
            </w:r>
          </w:p>
        </w:tc>
        <w:tc>
          <w:tcPr>
            <w:tcW w:w="755" w:type="pct"/>
          </w:tcPr>
          <w:p w14:paraId="3932E435" w14:textId="3B0E6C67" w:rsidR="00815B85" w:rsidRPr="00315ADD" w:rsidRDefault="00815B85" w:rsidP="0001590B">
            <w:pPr>
              <w:pStyle w:val="NoSpacing"/>
              <w:jc w:val="center"/>
              <w:rPr>
                <w:rFonts w:ascii="Arial" w:hAnsi="Arial" w:cs="Arial"/>
                <w:color w:val="000000"/>
                <w:sz w:val="18"/>
                <w:szCs w:val="18"/>
              </w:rPr>
            </w:pPr>
            <w:r>
              <w:rPr>
                <w:rFonts w:ascii="Arial" w:hAnsi="Arial" w:cs="Arial"/>
                <w:sz w:val="18"/>
                <w:szCs w:val="18"/>
              </w:rPr>
              <w:t>#</w:t>
            </w:r>
          </w:p>
        </w:tc>
      </w:tr>
      <w:tr w:rsidR="00815B85" w:rsidRPr="00315ADD" w14:paraId="4313D22A" w14:textId="77777777" w:rsidTr="00B0578B">
        <w:trPr>
          <w:trHeight w:val="238"/>
        </w:trPr>
        <w:tc>
          <w:tcPr>
            <w:tcW w:w="2737" w:type="pct"/>
            <w:gridSpan w:val="2"/>
            <w:hideMark/>
          </w:tcPr>
          <w:p w14:paraId="1FBB6560" w14:textId="77777777" w:rsidR="00815B85" w:rsidRPr="00580003" w:rsidRDefault="00815B85" w:rsidP="00815B85">
            <w:pPr>
              <w:pStyle w:val="NoSpacing"/>
              <w:rPr>
                <w:rFonts w:ascii="Arial" w:hAnsi="Arial" w:cs="Arial"/>
                <w:color w:val="000000"/>
                <w:sz w:val="18"/>
                <w:szCs w:val="18"/>
              </w:rPr>
            </w:pPr>
            <w:r>
              <w:rPr>
                <w:rFonts w:ascii="Arial" w:hAnsi="Arial" w:cs="Arial"/>
                <w:color w:val="000000"/>
                <w:sz w:val="18"/>
                <w:szCs w:val="18"/>
              </w:rPr>
              <w:t>Request F</w:t>
            </w:r>
            <w:r w:rsidRPr="00580003">
              <w:rPr>
                <w:rFonts w:ascii="Arial" w:hAnsi="Arial" w:cs="Arial"/>
                <w:color w:val="000000"/>
                <w:sz w:val="18"/>
                <w:szCs w:val="18"/>
              </w:rPr>
              <w:t>ulfilment</w:t>
            </w:r>
          </w:p>
        </w:tc>
        <w:tc>
          <w:tcPr>
            <w:tcW w:w="754" w:type="pct"/>
            <w:noWrap/>
            <w:hideMark/>
          </w:tcPr>
          <w:p w14:paraId="732CD3F0" w14:textId="4DD14683" w:rsidR="00815B85" w:rsidRPr="00580003" w:rsidRDefault="00815B85" w:rsidP="00DC5CF3">
            <w:pPr>
              <w:pStyle w:val="NoSpacing"/>
              <w:jc w:val="center"/>
              <w:rPr>
                <w:rFonts w:ascii="Arial" w:hAnsi="Arial" w:cs="Arial"/>
                <w:color w:val="000000"/>
                <w:sz w:val="18"/>
                <w:szCs w:val="18"/>
              </w:rPr>
            </w:pPr>
            <w:r w:rsidRPr="007865C5">
              <w:rPr>
                <w:rFonts w:ascii="Segoe UI Symbol" w:hAnsi="Segoe UI Symbol" w:cs="Segoe UI Symbol"/>
                <w:color w:val="242729"/>
                <w:szCs w:val="23"/>
              </w:rPr>
              <w:t>✓</w:t>
            </w:r>
          </w:p>
        </w:tc>
        <w:tc>
          <w:tcPr>
            <w:tcW w:w="755" w:type="pct"/>
            <w:noWrap/>
            <w:hideMark/>
          </w:tcPr>
          <w:p w14:paraId="19CB83A5" w14:textId="6A2413F2" w:rsidR="00815B85" w:rsidRPr="00580003" w:rsidRDefault="00815B85" w:rsidP="0001590B">
            <w:pPr>
              <w:pStyle w:val="NoSpacing"/>
              <w:jc w:val="center"/>
              <w:rPr>
                <w:rFonts w:ascii="Arial" w:hAnsi="Arial" w:cs="Arial"/>
                <w:color w:val="000000"/>
                <w:sz w:val="18"/>
                <w:szCs w:val="18"/>
              </w:rPr>
            </w:pPr>
            <w:r w:rsidRPr="009B2D89">
              <w:rPr>
                <w:rFonts w:ascii="Segoe UI Symbol" w:hAnsi="Segoe UI Symbol" w:cs="Segoe UI Symbol"/>
                <w:color w:val="242729"/>
                <w:szCs w:val="23"/>
              </w:rPr>
              <w:t>✓</w:t>
            </w:r>
          </w:p>
        </w:tc>
        <w:tc>
          <w:tcPr>
            <w:tcW w:w="755" w:type="pct"/>
          </w:tcPr>
          <w:p w14:paraId="2F860252" w14:textId="22FF7399" w:rsidR="00815B85" w:rsidRPr="00315ADD" w:rsidRDefault="00815B85" w:rsidP="0001590B">
            <w:pPr>
              <w:pStyle w:val="NoSpacing"/>
              <w:jc w:val="center"/>
              <w:rPr>
                <w:rFonts w:ascii="Arial" w:hAnsi="Arial" w:cs="Arial"/>
                <w:color w:val="000000"/>
                <w:sz w:val="18"/>
                <w:szCs w:val="18"/>
              </w:rPr>
            </w:pPr>
            <w:r>
              <w:rPr>
                <w:rFonts w:ascii="Arial" w:hAnsi="Arial" w:cs="Arial"/>
                <w:sz w:val="18"/>
                <w:szCs w:val="18"/>
              </w:rPr>
              <w:t>#</w:t>
            </w:r>
          </w:p>
        </w:tc>
      </w:tr>
      <w:tr w:rsidR="00815B85" w:rsidRPr="00315ADD" w14:paraId="4CD2625F" w14:textId="77777777" w:rsidTr="00B0578B">
        <w:trPr>
          <w:trHeight w:val="238"/>
        </w:trPr>
        <w:tc>
          <w:tcPr>
            <w:tcW w:w="2737" w:type="pct"/>
            <w:gridSpan w:val="2"/>
            <w:hideMark/>
          </w:tcPr>
          <w:p w14:paraId="6A726EF2" w14:textId="77777777" w:rsidR="00815B85" w:rsidRPr="00580003" w:rsidRDefault="00815B85" w:rsidP="00815B85">
            <w:pPr>
              <w:pStyle w:val="NoSpacing"/>
              <w:rPr>
                <w:rFonts w:ascii="Arial" w:hAnsi="Arial" w:cs="Arial"/>
                <w:color w:val="000000"/>
                <w:sz w:val="18"/>
                <w:szCs w:val="18"/>
              </w:rPr>
            </w:pPr>
            <w:r w:rsidRPr="00580003">
              <w:rPr>
                <w:rFonts w:ascii="Arial" w:hAnsi="Arial" w:cs="Arial"/>
                <w:color w:val="000000"/>
                <w:sz w:val="18"/>
                <w:szCs w:val="18"/>
              </w:rPr>
              <w:t xml:space="preserve">Knowledge </w:t>
            </w:r>
            <w:r>
              <w:rPr>
                <w:rFonts w:ascii="Arial" w:hAnsi="Arial" w:cs="Arial"/>
                <w:color w:val="000000"/>
                <w:sz w:val="18"/>
                <w:szCs w:val="18"/>
              </w:rPr>
              <w:t>M</w:t>
            </w:r>
            <w:r w:rsidRPr="00580003">
              <w:rPr>
                <w:rFonts w:ascii="Arial" w:hAnsi="Arial" w:cs="Arial"/>
                <w:color w:val="000000"/>
                <w:sz w:val="18"/>
                <w:szCs w:val="18"/>
              </w:rPr>
              <w:t>anagement</w:t>
            </w:r>
          </w:p>
        </w:tc>
        <w:tc>
          <w:tcPr>
            <w:tcW w:w="754" w:type="pct"/>
            <w:noWrap/>
            <w:hideMark/>
          </w:tcPr>
          <w:p w14:paraId="43172403" w14:textId="4ECDF892" w:rsidR="00815B85" w:rsidRPr="00580003" w:rsidRDefault="00815B85" w:rsidP="00DC5CF3">
            <w:pPr>
              <w:pStyle w:val="NoSpacing"/>
              <w:jc w:val="center"/>
              <w:rPr>
                <w:rFonts w:ascii="Arial" w:hAnsi="Arial" w:cs="Arial"/>
                <w:color w:val="000000"/>
                <w:sz w:val="18"/>
                <w:szCs w:val="18"/>
              </w:rPr>
            </w:pPr>
            <w:r w:rsidRPr="007865C5">
              <w:rPr>
                <w:rFonts w:ascii="Segoe UI Symbol" w:hAnsi="Segoe UI Symbol" w:cs="Segoe UI Symbol"/>
                <w:color w:val="242729"/>
                <w:szCs w:val="23"/>
              </w:rPr>
              <w:t>✓</w:t>
            </w:r>
          </w:p>
        </w:tc>
        <w:tc>
          <w:tcPr>
            <w:tcW w:w="755" w:type="pct"/>
            <w:noWrap/>
            <w:hideMark/>
          </w:tcPr>
          <w:p w14:paraId="69CD68B8" w14:textId="08709575" w:rsidR="00815B85" w:rsidRPr="00580003" w:rsidRDefault="00815B85" w:rsidP="0001590B">
            <w:pPr>
              <w:pStyle w:val="NoSpacing"/>
              <w:jc w:val="center"/>
              <w:rPr>
                <w:rFonts w:ascii="Arial" w:hAnsi="Arial" w:cs="Arial"/>
                <w:color w:val="000000"/>
                <w:sz w:val="18"/>
                <w:szCs w:val="18"/>
              </w:rPr>
            </w:pPr>
            <w:r w:rsidRPr="009B2D89">
              <w:rPr>
                <w:rFonts w:ascii="Segoe UI Symbol" w:hAnsi="Segoe UI Symbol" w:cs="Segoe UI Symbol"/>
                <w:color w:val="242729"/>
                <w:szCs w:val="23"/>
              </w:rPr>
              <w:t>✓</w:t>
            </w:r>
          </w:p>
        </w:tc>
        <w:tc>
          <w:tcPr>
            <w:tcW w:w="755" w:type="pct"/>
          </w:tcPr>
          <w:p w14:paraId="08374EB0" w14:textId="31A995FC" w:rsidR="00815B85" w:rsidRPr="00315ADD" w:rsidRDefault="00815B85" w:rsidP="0001590B">
            <w:pPr>
              <w:pStyle w:val="NoSpacing"/>
              <w:jc w:val="center"/>
              <w:rPr>
                <w:rFonts w:ascii="Arial" w:hAnsi="Arial" w:cs="Arial"/>
                <w:color w:val="000000"/>
                <w:sz w:val="18"/>
                <w:szCs w:val="18"/>
              </w:rPr>
            </w:pPr>
            <w:r>
              <w:rPr>
                <w:rFonts w:ascii="Arial" w:hAnsi="Arial" w:cs="Arial"/>
                <w:sz w:val="18"/>
                <w:szCs w:val="18"/>
              </w:rPr>
              <w:t>#</w:t>
            </w:r>
          </w:p>
        </w:tc>
      </w:tr>
      <w:tr w:rsidR="00815B85" w:rsidRPr="00315ADD" w14:paraId="7C10D2EE" w14:textId="77777777" w:rsidTr="00B0578B">
        <w:trPr>
          <w:trHeight w:val="238"/>
        </w:trPr>
        <w:tc>
          <w:tcPr>
            <w:tcW w:w="2737" w:type="pct"/>
            <w:gridSpan w:val="2"/>
            <w:hideMark/>
          </w:tcPr>
          <w:p w14:paraId="3E14A556" w14:textId="77777777" w:rsidR="00815B85" w:rsidRPr="00580003" w:rsidRDefault="00815B85" w:rsidP="00815B85">
            <w:pPr>
              <w:pStyle w:val="NoSpacing"/>
              <w:rPr>
                <w:rFonts w:ascii="Arial" w:hAnsi="Arial" w:cs="Arial"/>
                <w:color w:val="000000"/>
                <w:sz w:val="18"/>
                <w:szCs w:val="18"/>
              </w:rPr>
            </w:pPr>
            <w:r>
              <w:rPr>
                <w:rFonts w:ascii="Arial" w:hAnsi="Arial" w:cs="Arial"/>
                <w:color w:val="000000"/>
                <w:sz w:val="18"/>
                <w:szCs w:val="18"/>
              </w:rPr>
              <w:t>Access M</w:t>
            </w:r>
            <w:r w:rsidRPr="00946E77">
              <w:rPr>
                <w:rFonts w:ascii="Arial" w:hAnsi="Arial" w:cs="Arial"/>
                <w:color w:val="000000"/>
                <w:sz w:val="18"/>
                <w:szCs w:val="18"/>
              </w:rPr>
              <w:t>anagement</w:t>
            </w:r>
          </w:p>
        </w:tc>
        <w:tc>
          <w:tcPr>
            <w:tcW w:w="754" w:type="pct"/>
            <w:noWrap/>
            <w:hideMark/>
          </w:tcPr>
          <w:p w14:paraId="3917B161" w14:textId="4898D356" w:rsidR="00815B85" w:rsidRPr="00580003" w:rsidRDefault="00815B85" w:rsidP="00DC5CF3">
            <w:pPr>
              <w:pStyle w:val="NoSpacing"/>
              <w:jc w:val="center"/>
              <w:rPr>
                <w:rFonts w:ascii="Arial" w:hAnsi="Arial" w:cs="Arial"/>
                <w:color w:val="000000"/>
                <w:sz w:val="18"/>
                <w:szCs w:val="18"/>
              </w:rPr>
            </w:pPr>
            <w:r w:rsidRPr="007865C5">
              <w:rPr>
                <w:rFonts w:ascii="Segoe UI Symbol" w:hAnsi="Segoe UI Symbol" w:cs="Segoe UI Symbol"/>
                <w:color w:val="242729"/>
                <w:szCs w:val="23"/>
              </w:rPr>
              <w:t>✓</w:t>
            </w:r>
          </w:p>
        </w:tc>
        <w:tc>
          <w:tcPr>
            <w:tcW w:w="755" w:type="pct"/>
            <w:noWrap/>
            <w:hideMark/>
          </w:tcPr>
          <w:p w14:paraId="5CFCA79C" w14:textId="5ABC7951" w:rsidR="00815B85" w:rsidRPr="00580003" w:rsidRDefault="00815B85" w:rsidP="0001590B">
            <w:pPr>
              <w:pStyle w:val="NoSpacing"/>
              <w:jc w:val="center"/>
              <w:rPr>
                <w:rFonts w:ascii="Arial" w:hAnsi="Arial" w:cs="Arial"/>
                <w:color w:val="000000"/>
                <w:sz w:val="18"/>
                <w:szCs w:val="18"/>
              </w:rPr>
            </w:pPr>
            <w:r w:rsidRPr="009B2D89">
              <w:rPr>
                <w:rFonts w:ascii="Segoe UI Symbol" w:hAnsi="Segoe UI Symbol" w:cs="Segoe UI Symbol"/>
                <w:color w:val="242729"/>
                <w:szCs w:val="23"/>
              </w:rPr>
              <w:t>✓</w:t>
            </w:r>
          </w:p>
        </w:tc>
        <w:tc>
          <w:tcPr>
            <w:tcW w:w="755" w:type="pct"/>
          </w:tcPr>
          <w:p w14:paraId="63B6EF8D" w14:textId="0EF9544E" w:rsidR="00815B85" w:rsidRPr="00315ADD" w:rsidRDefault="00815B85" w:rsidP="0001590B">
            <w:pPr>
              <w:pStyle w:val="NoSpacing"/>
              <w:jc w:val="center"/>
              <w:rPr>
                <w:rFonts w:ascii="Arial" w:hAnsi="Arial" w:cs="Arial"/>
                <w:color w:val="000000"/>
                <w:sz w:val="18"/>
                <w:szCs w:val="18"/>
              </w:rPr>
            </w:pPr>
            <w:r>
              <w:rPr>
                <w:rFonts w:ascii="Arial" w:hAnsi="Arial" w:cs="Arial"/>
                <w:sz w:val="18"/>
                <w:szCs w:val="18"/>
              </w:rPr>
              <w:t>#</w:t>
            </w:r>
          </w:p>
        </w:tc>
      </w:tr>
      <w:tr w:rsidR="00815B85" w:rsidRPr="00315ADD" w14:paraId="0619C938" w14:textId="77777777" w:rsidTr="00B0578B">
        <w:trPr>
          <w:trHeight w:val="238"/>
        </w:trPr>
        <w:tc>
          <w:tcPr>
            <w:tcW w:w="1455" w:type="pct"/>
            <w:vMerge w:val="restart"/>
          </w:tcPr>
          <w:p w14:paraId="2C78E514" w14:textId="77777777" w:rsidR="00815B85" w:rsidRPr="00580003" w:rsidRDefault="00815B85" w:rsidP="00815B85">
            <w:pPr>
              <w:pStyle w:val="NoSpacing"/>
              <w:rPr>
                <w:rFonts w:ascii="Arial" w:hAnsi="Arial" w:cs="Arial"/>
                <w:color w:val="000000"/>
                <w:sz w:val="18"/>
                <w:szCs w:val="18"/>
              </w:rPr>
            </w:pPr>
            <w:r w:rsidRPr="00946E77">
              <w:rPr>
                <w:rFonts w:ascii="Arial" w:hAnsi="Arial" w:cs="Arial"/>
                <w:color w:val="000000"/>
                <w:sz w:val="18"/>
                <w:szCs w:val="18"/>
              </w:rPr>
              <w:t>Reporting</w:t>
            </w:r>
          </w:p>
        </w:tc>
        <w:tc>
          <w:tcPr>
            <w:tcW w:w="1281" w:type="pct"/>
          </w:tcPr>
          <w:p w14:paraId="34F90A68" w14:textId="77777777" w:rsidR="00815B85" w:rsidRPr="00580003" w:rsidRDefault="00815B85" w:rsidP="00815B85">
            <w:pPr>
              <w:pStyle w:val="NoSpacing"/>
              <w:rPr>
                <w:rFonts w:ascii="Arial" w:hAnsi="Arial" w:cs="Arial"/>
                <w:color w:val="000000"/>
                <w:sz w:val="18"/>
                <w:szCs w:val="18"/>
              </w:rPr>
            </w:pPr>
            <w:r>
              <w:rPr>
                <w:rFonts w:ascii="Arial" w:hAnsi="Arial" w:cs="Arial"/>
                <w:color w:val="000000"/>
                <w:sz w:val="18"/>
                <w:szCs w:val="18"/>
              </w:rPr>
              <w:t>Basic</w:t>
            </w:r>
          </w:p>
        </w:tc>
        <w:tc>
          <w:tcPr>
            <w:tcW w:w="754" w:type="pct"/>
          </w:tcPr>
          <w:p w14:paraId="5110FEF6" w14:textId="79486823" w:rsidR="00815B85" w:rsidRPr="00580003" w:rsidRDefault="00815B85" w:rsidP="00DC5CF3">
            <w:pPr>
              <w:pStyle w:val="NoSpacing"/>
              <w:jc w:val="center"/>
              <w:rPr>
                <w:rFonts w:ascii="Arial" w:hAnsi="Arial" w:cs="Arial"/>
                <w:noProof/>
                <w:sz w:val="18"/>
                <w:szCs w:val="18"/>
              </w:rPr>
            </w:pPr>
            <w:r w:rsidRPr="00992E33">
              <w:rPr>
                <w:rFonts w:ascii="Segoe UI Symbol" w:hAnsi="Segoe UI Symbol" w:cs="Segoe UI Symbol"/>
                <w:color w:val="242729"/>
                <w:szCs w:val="23"/>
              </w:rPr>
              <w:t>✓</w:t>
            </w:r>
          </w:p>
        </w:tc>
        <w:tc>
          <w:tcPr>
            <w:tcW w:w="755" w:type="pct"/>
          </w:tcPr>
          <w:p w14:paraId="141212A4" w14:textId="75F1F771" w:rsidR="00815B85" w:rsidRPr="00580003" w:rsidRDefault="00815B85" w:rsidP="0001590B">
            <w:pPr>
              <w:pStyle w:val="NoSpacing"/>
              <w:jc w:val="center"/>
              <w:rPr>
                <w:rFonts w:ascii="Arial" w:hAnsi="Arial" w:cs="Arial"/>
                <w:noProof/>
                <w:sz w:val="18"/>
                <w:szCs w:val="18"/>
              </w:rPr>
            </w:pPr>
            <w:r w:rsidRPr="00E334E7">
              <w:rPr>
                <w:rFonts w:ascii="Segoe UI Symbol" w:hAnsi="Segoe UI Symbol" w:cs="Segoe UI Symbol"/>
                <w:color w:val="242729"/>
                <w:szCs w:val="23"/>
              </w:rPr>
              <w:t>✓</w:t>
            </w:r>
          </w:p>
        </w:tc>
        <w:tc>
          <w:tcPr>
            <w:tcW w:w="755" w:type="pct"/>
          </w:tcPr>
          <w:p w14:paraId="1461C6F1" w14:textId="20F66F79" w:rsidR="00815B85" w:rsidRPr="00315ADD" w:rsidRDefault="00815B85" w:rsidP="0001590B">
            <w:pPr>
              <w:pStyle w:val="NoSpacing"/>
              <w:jc w:val="center"/>
              <w:rPr>
                <w:rFonts w:ascii="Arial" w:hAnsi="Arial" w:cs="Arial"/>
                <w:sz w:val="16"/>
                <w:szCs w:val="16"/>
              </w:rPr>
            </w:pPr>
            <w:r>
              <w:rPr>
                <w:rFonts w:ascii="Arial" w:hAnsi="Arial" w:cs="Arial"/>
                <w:sz w:val="18"/>
                <w:szCs w:val="18"/>
              </w:rPr>
              <w:t>#</w:t>
            </w:r>
          </w:p>
        </w:tc>
      </w:tr>
      <w:tr w:rsidR="00815B85" w:rsidRPr="00315ADD" w14:paraId="653574EF" w14:textId="77777777" w:rsidTr="00B0578B">
        <w:trPr>
          <w:trHeight w:val="238"/>
        </w:trPr>
        <w:tc>
          <w:tcPr>
            <w:tcW w:w="1455" w:type="pct"/>
            <w:vMerge/>
          </w:tcPr>
          <w:p w14:paraId="26492FA1" w14:textId="77777777" w:rsidR="00815B85" w:rsidRPr="00580003" w:rsidRDefault="00815B85" w:rsidP="00815B85">
            <w:pPr>
              <w:pStyle w:val="NoSpacing"/>
              <w:rPr>
                <w:rFonts w:ascii="Arial" w:hAnsi="Arial" w:cs="Arial"/>
                <w:color w:val="000000"/>
                <w:sz w:val="18"/>
                <w:szCs w:val="18"/>
              </w:rPr>
            </w:pPr>
          </w:p>
        </w:tc>
        <w:tc>
          <w:tcPr>
            <w:tcW w:w="1281" w:type="pct"/>
          </w:tcPr>
          <w:p w14:paraId="60B4F580" w14:textId="77777777" w:rsidR="00815B85" w:rsidRPr="00580003" w:rsidRDefault="00815B85" w:rsidP="00815B85">
            <w:pPr>
              <w:pStyle w:val="NoSpacing"/>
              <w:rPr>
                <w:rFonts w:ascii="Arial" w:hAnsi="Arial" w:cs="Arial"/>
                <w:color w:val="000000"/>
                <w:sz w:val="18"/>
                <w:szCs w:val="18"/>
              </w:rPr>
            </w:pPr>
            <w:r>
              <w:rPr>
                <w:rFonts w:ascii="Arial" w:hAnsi="Arial" w:cs="Arial"/>
                <w:color w:val="000000"/>
                <w:sz w:val="18"/>
                <w:szCs w:val="18"/>
              </w:rPr>
              <w:t>Detailed</w:t>
            </w:r>
          </w:p>
        </w:tc>
        <w:tc>
          <w:tcPr>
            <w:tcW w:w="754" w:type="pct"/>
          </w:tcPr>
          <w:p w14:paraId="193B0A51" w14:textId="4F56683E" w:rsidR="00815B85" w:rsidRPr="00580003" w:rsidRDefault="00815B85" w:rsidP="00DC5CF3">
            <w:pPr>
              <w:pStyle w:val="NoSpacing"/>
              <w:jc w:val="center"/>
              <w:rPr>
                <w:rFonts w:ascii="Arial" w:hAnsi="Arial" w:cs="Arial"/>
                <w:noProof/>
                <w:sz w:val="18"/>
                <w:szCs w:val="18"/>
              </w:rPr>
            </w:pPr>
            <w:r>
              <w:rPr>
                <w:rFonts w:ascii="Arial" w:hAnsi="Arial" w:cs="Arial"/>
                <w:noProof/>
                <w:sz w:val="18"/>
                <w:szCs w:val="18"/>
              </w:rPr>
              <w:t>#</w:t>
            </w:r>
          </w:p>
        </w:tc>
        <w:tc>
          <w:tcPr>
            <w:tcW w:w="755" w:type="pct"/>
          </w:tcPr>
          <w:p w14:paraId="09077E9A" w14:textId="19BEDC4B" w:rsidR="00815B85" w:rsidRPr="00580003" w:rsidRDefault="00815B85" w:rsidP="0001590B">
            <w:pPr>
              <w:pStyle w:val="NoSpacing"/>
              <w:jc w:val="center"/>
              <w:rPr>
                <w:rFonts w:ascii="Arial" w:hAnsi="Arial" w:cs="Arial"/>
                <w:noProof/>
                <w:sz w:val="18"/>
                <w:szCs w:val="18"/>
              </w:rPr>
            </w:pPr>
            <w:r w:rsidRPr="00E334E7">
              <w:rPr>
                <w:rFonts w:ascii="Segoe UI Symbol" w:hAnsi="Segoe UI Symbol" w:cs="Segoe UI Symbol"/>
                <w:color w:val="242729"/>
                <w:szCs w:val="23"/>
              </w:rPr>
              <w:t>✓</w:t>
            </w:r>
          </w:p>
        </w:tc>
        <w:tc>
          <w:tcPr>
            <w:tcW w:w="755" w:type="pct"/>
          </w:tcPr>
          <w:p w14:paraId="7F907DC2" w14:textId="63A10CE7" w:rsidR="00815B85" w:rsidRPr="00315ADD" w:rsidRDefault="00815B85" w:rsidP="0001590B">
            <w:pPr>
              <w:pStyle w:val="NoSpacing"/>
              <w:jc w:val="center"/>
              <w:rPr>
                <w:rFonts w:ascii="Arial" w:hAnsi="Arial" w:cs="Arial"/>
                <w:sz w:val="16"/>
                <w:szCs w:val="16"/>
              </w:rPr>
            </w:pPr>
            <w:r>
              <w:rPr>
                <w:rFonts w:ascii="Arial" w:hAnsi="Arial" w:cs="Arial"/>
                <w:sz w:val="18"/>
                <w:szCs w:val="18"/>
              </w:rPr>
              <w:t>#</w:t>
            </w:r>
          </w:p>
        </w:tc>
      </w:tr>
      <w:tr w:rsidR="00815B85" w:rsidRPr="00315ADD" w14:paraId="6F0FF0FB" w14:textId="77777777" w:rsidTr="00B0578B">
        <w:trPr>
          <w:trHeight w:val="238"/>
        </w:trPr>
        <w:tc>
          <w:tcPr>
            <w:tcW w:w="1455" w:type="pct"/>
            <w:vMerge/>
          </w:tcPr>
          <w:p w14:paraId="4ED3DF99" w14:textId="77777777" w:rsidR="00815B85" w:rsidRPr="00580003" w:rsidRDefault="00815B85" w:rsidP="00815B85">
            <w:pPr>
              <w:pStyle w:val="NoSpacing"/>
              <w:rPr>
                <w:rFonts w:ascii="Arial" w:hAnsi="Arial" w:cs="Arial"/>
                <w:color w:val="000000"/>
                <w:sz w:val="18"/>
                <w:szCs w:val="18"/>
              </w:rPr>
            </w:pPr>
          </w:p>
        </w:tc>
        <w:tc>
          <w:tcPr>
            <w:tcW w:w="1281" w:type="pct"/>
          </w:tcPr>
          <w:p w14:paraId="3135C434" w14:textId="77777777" w:rsidR="00815B85" w:rsidRDefault="00815B85" w:rsidP="00815B85">
            <w:pPr>
              <w:pStyle w:val="NoSpacing"/>
              <w:rPr>
                <w:rFonts w:ascii="Arial" w:hAnsi="Arial" w:cs="Arial"/>
                <w:color w:val="000000"/>
                <w:sz w:val="18"/>
                <w:szCs w:val="18"/>
              </w:rPr>
            </w:pPr>
            <w:r>
              <w:rPr>
                <w:rFonts w:ascii="Arial" w:hAnsi="Arial" w:cs="Arial"/>
                <w:color w:val="000000"/>
                <w:sz w:val="18"/>
                <w:szCs w:val="18"/>
              </w:rPr>
              <w:t>Advanced</w:t>
            </w:r>
          </w:p>
        </w:tc>
        <w:tc>
          <w:tcPr>
            <w:tcW w:w="754" w:type="pct"/>
          </w:tcPr>
          <w:p w14:paraId="76B4CDA3" w14:textId="77777777" w:rsidR="00815B85" w:rsidRPr="00580003" w:rsidRDefault="00815B85" w:rsidP="00DC5CF3">
            <w:pPr>
              <w:pStyle w:val="NoSpacing"/>
              <w:jc w:val="center"/>
              <w:rPr>
                <w:rFonts w:ascii="Arial" w:hAnsi="Arial" w:cs="Arial"/>
                <w:noProof/>
                <w:sz w:val="18"/>
                <w:szCs w:val="18"/>
              </w:rPr>
            </w:pPr>
            <w:r>
              <w:rPr>
                <w:rFonts w:ascii="Arial" w:hAnsi="Arial" w:cs="Arial"/>
                <w:noProof/>
                <w:sz w:val="18"/>
                <w:szCs w:val="18"/>
              </w:rPr>
              <w:t>-</w:t>
            </w:r>
          </w:p>
        </w:tc>
        <w:tc>
          <w:tcPr>
            <w:tcW w:w="755" w:type="pct"/>
          </w:tcPr>
          <w:p w14:paraId="1141E2C0" w14:textId="3F7209BB" w:rsidR="00815B85" w:rsidRPr="00580003" w:rsidRDefault="00815B85" w:rsidP="0001590B">
            <w:pPr>
              <w:pStyle w:val="NoSpacing"/>
              <w:jc w:val="center"/>
              <w:rPr>
                <w:rFonts w:ascii="Arial" w:hAnsi="Arial" w:cs="Arial"/>
                <w:noProof/>
                <w:sz w:val="18"/>
                <w:szCs w:val="18"/>
              </w:rPr>
            </w:pPr>
            <w:r>
              <w:rPr>
                <w:rFonts w:ascii="Arial" w:hAnsi="Arial" w:cs="Arial"/>
                <w:noProof/>
                <w:sz w:val="18"/>
                <w:szCs w:val="18"/>
              </w:rPr>
              <w:t>#</w:t>
            </w:r>
          </w:p>
        </w:tc>
        <w:tc>
          <w:tcPr>
            <w:tcW w:w="755" w:type="pct"/>
          </w:tcPr>
          <w:p w14:paraId="27A48F08" w14:textId="1A928FEE" w:rsidR="00815B85" w:rsidRPr="00315ADD" w:rsidRDefault="00815B85" w:rsidP="0001590B">
            <w:pPr>
              <w:pStyle w:val="NoSpacing"/>
              <w:jc w:val="center"/>
              <w:rPr>
                <w:rFonts w:ascii="Arial" w:hAnsi="Arial" w:cs="Arial"/>
                <w:sz w:val="16"/>
                <w:szCs w:val="16"/>
              </w:rPr>
            </w:pPr>
            <w:r>
              <w:rPr>
                <w:rFonts w:ascii="Arial" w:hAnsi="Arial" w:cs="Arial"/>
                <w:sz w:val="18"/>
                <w:szCs w:val="18"/>
              </w:rPr>
              <w:t>#</w:t>
            </w:r>
          </w:p>
        </w:tc>
      </w:tr>
      <w:tr w:rsidR="00815B85" w:rsidRPr="00315ADD" w14:paraId="0E68D077" w14:textId="77777777" w:rsidTr="00B0578B">
        <w:trPr>
          <w:trHeight w:val="238"/>
        </w:trPr>
        <w:tc>
          <w:tcPr>
            <w:tcW w:w="2737" w:type="pct"/>
            <w:gridSpan w:val="2"/>
            <w:hideMark/>
          </w:tcPr>
          <w:p w14:paraId="519CCD89" w14:textId="77777777" w:rsidR="00815B85" w:rsidRPr="00580003" w:rsidRDefault="00815B85" w:rsidP="00815B85">
            <w:pPr>
              <w:pStyle w:val="NoSpacing"/>
              <w:rPr>
                <w:rFonts w:ascii="Arial" w:hAnsi="Arial" w:cs="Arial"/>
                <w:color w:val="000000"/>
                <w:sz w:val="18"/>
                <w:szCs w:val="18"/>
              </w:rPr>
            </w:pPr>
            <w:r w:rsidRPr="00580003">
              <w:rPr>
                <w:rFonts w:ascii="Arial" w:hAnsi="Arial" w:cs="Arial"/>
                <w:color w:val="000000"/>
                <w:sz w:val="18"/>
                <w:szCs w:val="18"/>
              </w:rPr>
              <w:t xml:space="preserve">Major </w:t>
            </w:r>
            <w:r>
              <w:rPr>
                <w:rFonts w:ascii="Arial" w:hAnsi="Arial" w:cs="Arial"/>
                <w:color w:val="000000"/>
                <w:sz w:val="18"/>
                <w:szCs w:val="18"/>
              </w:rPr>
              <w:t>I</w:t>
            </w:r>
            <w:r w:rsidRPr="00580003">
              <w:rPr>
                <w:rFonts w:ascii="Arial" w:hAnsi="Arial" w:cs="Arial"/>
                <w:color w:val="000000"/>
                <w:sz w:val="18"/>
                <w:szCs w:val="18"/>
              </w:rPr>
              <w:t xml:space="preserve">ncident </w:t>
            </w:r>
            <w:r>
              <w:rPr>
                <w:rFonts w:ascii="Arial" w:hAnsi="Arial" w:cs="Arial"/>
                <w:color w:val="000000"/>
                <w:sz w:val="18"/>
                <w:szCs w:val="18"/>
              </w:rPr>
              <w:t>M</w:t>
            </w:r>
            <w:r w:rsidRPr="00580003">
              <w:rPr>
                <w:rFonts w:ascii="Arial" w:hAnsi="Arial" w:cs="Arial"/>
                <w:color w:val="000000"/>
                <w:sz w:val="18"/>
                <w:szCs w:val="18"/>
              </w:rPr>
              <w:t>anagement</w:t>
            </w:r>
          </w:p>
        </w:tc>
        <w:tc>
          <w:tcPr>
            <w:tcW w:w="754" w:type="pct"/>
            <w:noWrap/>
            <w:hideMark/>
          </w:tcPr>
          <w:p w14:paraId="0785E075" w14:textId="5DFB9AD7" w:rsidR="00815B85" w:rsidRPr="00580003" w:rsidRDefault="00815B85" w:rsidP="00DC5CF3">
            <w:pPr>
              <w:pStyle w:val="NoSpacing"/>
              <w:jc w:val="center"/>
              <w:rPr>
                <w:rFonts w:ascii="Arial" w:hAnsi="Arial" w:cs="Arial"/>
                <w:color w:val="000000"/>
                <w:sz w:val="18"/>
                <w:szCs w:val="18"/>
              </w:rPr>
            </w:pPr>
            <w:r>
              <w:rPr>
                <w:rFonts w:ascii="Segoe UI Symbol" w:hAnsi="Segoe UI Symbol" w:cs="Segoe UI Symbol"/>
                <w:color w:val="242729"/>
                <w:szCs w:val="23"/>
              </w:rPr>
              <w:t>✓</w:t>
            </w:r>
          </w:p>
        </w:tc>
        <w:tc>
          <w:tcPr>
            <w:tcW w:w="755" w:type="pct"/>
            <w:noWrap/>
            <w:hideMark/>
          </w:tcPr>
          <w:p w14:paraId="36009A42" w14:textId="33DDB566" w:rsidR="00815B85" w:rsidRPr="00580003" w:rsidRDefault="00815B85" w:rsidP="0001590B">
            <w:pPr>
              <w:pStyle w:val="NoSpacing"/>
              <w:jc w:val="center"/>
              <w:rPr>
                <w:rFonts w:ascii="Arial" w:hAnsi="Arial" w:cs="Arial"/>
                <w:color w:val="000000"/>
                <w:sz w:val="18"/>
                <w:szCs w:val="18"/>
              </w:rPr>
            </w:pPr>
            <w:r>
              <w:rPr>
                <w:rFonts w:ascii="Segoe UI Symbol" w:hAnsi="Segoe UI Symbol" w:cs="Segoe UI Symbol"/>
                <w:color w:val="242729"/>
                <w:szCs w:val="23"/>
              </w:rPr>
              <w:t>✓</w:t>
            </w:r>
          </w:p>
        </w:tc>
        <w:tc>
          <w:tcPr>
            <w:tcW w:w="755" w:type="pct"/>
          </w:tcPr>
          <w:p w14:paraId="502AA0D4" w14:textId="11D00E3D" w:rsidR="00815B85" w:rsidRPr="00315ADD" w:rsidRDefault="00815B85" w:rsidP="0001590B">
            <w:pPr>
              <w:pStyle w:val="NoSpacing"/>
              <w:jc w:val="center"/>
              <w:rPr>
                <w:rFonts w:ascii="Arial" w:hAnsi="Arial" w:cs="Arial"/>
                <w:color w:val="000000"/>
                <w:sz w:val="16"/>
                <w:szCs w:val="16"/>
              </w:rPr>
            </w:pPr>
            <w:r>
              <w:rPr>
                <w:rFonts w:ascii="Arial" w:hAnsi="Arial" w:cs="Arial"/>
                <w:sz w:val="18"/>
                <w:szCs w:val="18"/>
              </w:rPr>
              <w:t>#</w:t>
            </w:r>
          </w:p>
        </w:tc>
      </w:tr>
      <w:tr w:rsidR="00815B85" w:rsidRPr="00315ADD" w14:paraId="56F30001" w14:textId="77777777" w:rsidTr="00B0578B">
        <w:trPr>
          <w:trHeight w:val="238"/>
        </w:trPr>
        <w:tc>
          <w:tcPr>
            <w:tcW w:w="1455" w:type="pct"/>
            <w:vMerge w:val="restart"/>
            <w:hideMark/>
          </w:tcPr>
          <w:p w14:paraId="66122AD6" w14:textId="77777777" w:rsidR="00815B85" w:rsidRPr="00580003" w:rsidRDefault="00815B85" w:rsidP="00815B85">
            <w:pPr>
              <w:pStyle w:val="NoSpacing"/>
              <w:rPr>
                <w:rFonts w:ascii="Arial" w:hAnsi="Arial" w:cs="Arial"/>
                <w:color w:val="000000"/>
                <w:sz w:val="18"/>
                <w:szCs w:val="18"/>
              </w:rPr>
            </w:pPr>
            <w:r w:rsidRPr="00580003">
              <w:rPr>
                <w:rFonts w:ascii="Arial" w:hAnsi="Arial" w:cs="Arial"/>
                <w:color w:val="000000"/>
                <w:sz w:val="18"/>
                <w:szCs w:val="18"/>
              </w:rPr>
              <w:t>Problem management</w:t>
            </w:r>
          </w:p>
        </w:tc>
        <w:tc>
          <w:tcPr>
            <w:tcW w:w="1281" w:type="pct"/>
          </w:tcPr>
          <w:p w14:paraId="62024A21" w14:textId="77777777" w:rsidR="00815B85" w:rsidRPr="00580003" w:rsidRDefault="00815B85" w:rsidP="00815B85">
            <w:pPr>
              <w:pStyle w:val="NoSpacing"/>
              <w:rPr>
                <w:rFonts w:ascii="Arial" w:hAnsi="Arial" w:cs="Arial"/>
                <w:color w:val="000000"/>
                <w:sz w:val="18"/>
                <w:szCs w:val="18"/>
              </w:rPr>
            </w:pPr>
            <w:r w:rsidRPr="00580003">
              <w:rPr>
                <w:rFonts w:ascii="Arial" w:hAnsi="Arial" w:cs="Arial"/>
                <w:color w:val="000000"/>
                <w:sz w:val="18"/>
                <w:szCs w:val="18"/>
              </w:rPr>
              <w:t>Reactive</w:t>
            </w:r>
          </w:p>
        </w:tc>
        <w:tc>
          <w:tcPr>
            <w:tcW w:w="754" w:type="pct"/>
            <w:noWrap/>
            <w:hideMark/>
          </w:tcPr>
          <w:p w14:paraId="0CE2AD88" w14:textId="689E9AD7" w:rsidR="00815B85" w:rsidRPr="00580003" w:rsidRDefault="00815B85" w:rsidP="00DC5CF3">
            <w:pPr>
              <w:pStyle w:val="NoSpacing"/>
              <w:jc w:val="center"/>
              <w:rPr>
                <w:rFonts w:ascii="Arial" w:hAnsi="Arial" w:cs="Arial"/>
                <w:color w:val="000000"/>
                <w:sz w:val="18"/>
                <w:szCs w:val="18"/>
              </w:rPr>
            </w:pPr>
            <w:r>
              <w:rPr>
                <w:rFonts w:ascii="Segoe UI Symbol" w:hAnsi="Segoe UI Symbol" w:cs="Segoe UI Symbol"/>
                <w:color w:val="242729"/>
                <w:szCs w:val="23"/>
              </w:rPr>
              <w:t>✓</w:t>
            </w:r>
          </w:p>
        </w:tc>
        <w:tc>
          <w:tcPr>
            <w:tcW w:w="755" w:type="pct"/>
            <w:noWrap/>
            <w:hideMark/>
          </w:tcPr>
          <w:p w14:paraId="6F27F034" w14:textId="5A667C12" w:rsidR="00815B85" w:rsidRPr="00580003" w:rsidRDefault="00815B85" w:rsidP="0001590B">
            <w:pPr>
              <w:pStyle w:val="NoSpacing"/>
              <w:jc w:val="center"/>
              <w:rPr>
                <w:rFonts w:ascii="Arial" w:hAnsi="Arial" w:cs="Arial"/>
                <w:color w:val="000000"/>
                <w:sz w:val="18"/>
                <w:szCs w:val="18"/>
              </w:rPr>
            </w:pPr>
            <w:r>
              <w:rPr>
                <w:rFonts w:ascii="Segoe UI Symbol" w:hAnsi="Segoe UI Symbol" w:cs="Segoe UI Symbol"/>
                <w:color w:val="242729"/>
                <w:szCs w:val="23"/>
              </w:rPr>
              <w:t>✓</w:t>
            </w:r>
          </w:p>
        </w:tc>
        <w:tc>
          <w:tcPr>
            <w:tcW w:w="755" w:type="pct"/>
          </w:tcPr>
          <w:p w14:paraId="6A36E4C3" w14:textId="778198FC" w:rsidR="00815B85" w:rsidRPr="00315ADD" w:rsidRDefault="00815B85" w:rsidP="0001590B">
            <w:pPr>
              <w:pStyle w:val="NoSpacing"/>
              <w:jc w:val="center"/>
              <w:rPr>
                <w:rFonts w:ascii="Arial" w:hAnsi="Arial" w:cs="Arial"/>
                <w:sz w:val="16"/>
                <w:szCs w:val="16"/>
              </w:rPr>
            </w:pPr>
            <w:r>
              <w:rPr>
                <w:rFonts w:ascii="Arial" w:hAnsi="Arial" w:cs="Arial"/>
                <w:sz w:val="18"/>
                <w:szCs w:val="18"/>
              </w:rPr>
              <w:t>#</w:t>
            </w:r>
          </w:p>
        </w:tc>
      </w:tr>
      <w:tr w:rsidR="00815B85" w:rsidRPr="00315ADD" w14:paraId="06C78352" w14:textId="77777777" w:rsidTr="00B0578B">
        <w:trPr>
          <w:trHeight w:val="238"/>
        </w:trPr>
        <w:tc>
          <w:tcPr>
            <w:tcW w:w="1455" w:type="pct"/>
            <w:vMerge/>
          </w:tcPr>
          <w:p w14:paraId="4354072C" w14:textId="77777777" w:rsidR="00815B85" w:rsidRPr="00580003" w:rsidRDefault="00815B85" w:rsidP="00815B85">
            <w:pPr>
              <w:pStyle w:val="NoSpacing"/>
              <w:rPr>
                <w:rFonts w:ascii="Arial" w:hAnsi="Arial" w:cs="Arial"/>
                <w:color w:val="000000"/>
                <w:sz w:val="18"/>
                <w:szCs w:val="18"/>
              </w:rPr>
            </w:pPr>
          </w:p>
        </w:tc>
        <w:tc>
          <w:tcPr>
            <w:tcW w:w="1281" w:type="pct"/>
          </w:tcPr>
          <w:p w14:paraId="09A3F08A" w14:textId="77777777" w:rsidR="00815B85" w:rsidRPr="00580003" w:rsidRDefault="00815B85" w:rsidP="00815B85">
            <w:pPr>
              <w:pStyle w:val="NoSpacing"/>
              <w:rPr>
                <w:rFonts w:ascii="Arial" w:hAnsi="Arial" w:cs="Arial"/>
                <w:color w:val="000000"/>
                <w:sz w:val="18"/>
                <w:szCs w:val="18"/>
              </w:rPr>
            </w:pPr>
            <w:r w:rsidRPr="00580003">
              <w:rPr>
                <w:rFonts w:ascii="Arial" w:hAnsi="Arial" w:cs="Arial"/>
                <w:color w:val="000000"/>
                <w:sz w:val="18"/>
                <w:szCs w:val="18"/>
              </w:rPr>
              <w:t>Proactive</w:t>
            </w:r>
          </w:p>
        </w:tc>
        <w:tc>
          <w:tcPr>
            <w:tcW w:w="754" w:type="pct"/>
            <w:noWrap/>
          </w:tcPr>
          <w:p w14:paraId="714F9188" w14:textId="77777777" w:rsidR="00815B85" w:rsidRPr="00580003" w:rsidRDefault="00815B85" w:rsidP="00DC5CF3">
            <w:pPr>
              <w:pStyle w:val="NoSpacing"/>
              <w:jc w:val="center"/>
              <w:rPr>
                <w:rFonts w:ascii="Arial" w:hAnsi="Arial" w:cs="Arial"/>
                <w:color w:val="000000"/>
                <w:sz w:val="18"/>
                <w:szCs w:val="18"/>
              </w:rPr>
            </w:pPr>
            <w:r>
              <w:rPr>
                <w:rFonts w:ascii="Arial" w:hAnsi="Arial" w:cs="Arial"/>
                <w:noProof/>
                <w:sz w:val="18"/>
                <w:szCs w:val="18"/>
              </w:rPr>
              <w:t>-</w:t>
            </w:r>
          </w:p>
        </w:tc>
        <w:tc>
          <w:tcPr>
            <w:tcW w:w="755" w:type="pct"/>
            <w:noWrap/>
          </w:tcPr>
          <w:p w14:paraId="148EFF7A" w14:textId="78C33880" w:rsidR="00815B85" w:rsidRPr="00580003" w:rsidRDefault="00815B85" w:rsidP="0001590B">
            <w:pPr>
              <w:pStyle w:val="NoSpacing"/>
              <w:jc w:val="center"/>
              <w:rPr>
                <w:rFonts w:ascii="Arial" w:hAnsi="Arial" w:cs="Arial"/>
                <w:noProof/>
                <w:sz w:val="18"/>
                <w:szCs w:val="18"/>
              </w:rPr>
            </w:pPr>
            <w:r>
              <w:rPr>
                <w:rFonts w:ascii="Arial" w:hAnsi="Arial" w:cs="Arial"/>
                <w:noProof/>
                <w:sz w:val="18"/>
                <w:szCs w:val="18"/>
                <w:lang w:eastAsia="en-AU"/>
              </w:rPr>
              <w:t>#</w:t>
            </w:r>
          </w:p>
        </w:tc>
        <w:tc>
          <w:tcPr>
            <w:tcW w:w="755" w:type="pct"/>
          </w:tcPr>
          <w:p w14:paraId="4CEBA28B" w14:textId="370E82B5" w:rsidR="00815B85" w:rsidRDefault="00815B85" w:rsidP="0001590B">
            <w:pPr>
              <w:pStyle w:val="NoSpacing"/>
              <w:jc w:val="center"/>
              <w:rPr>
                <w:rFonts w:ascii="Arial" w:hAnsi="Arial" w:cs="Arial"/>
                <w:sz w:val="16"/>
                <w:szCs w:val="16"/>
              </w:rPr>
            </w:pPr>
            <w:r>
              <w:rPr>
                <w:rFonts w:ascii="Arial" w:hAnsi="Arial" w:cs="Arial"/>
                <w:sz w:val="18"/>
                <w:szCs w:val="18"/>
              </w:rPr>
              <w:t>#</w:t>
            </w:r>
          </w:p>
        </w:tc>
      </w:tr>
      <w:tr w:rsidR="00815B85" w:rsidRPr="00315ADD" w14:paraId="39E4E8E5" w14:textId="77777777" w:rsidTr="00B0578B">
        <w:trPr>
          <w:trHeight w:val="238"/>
        </w:trPr>
        <w:tc>
          <w:tcPr>
            <w:tcW w:w="2737" w:type="pct"/>
            <w:gridSpan w:val="2"/>
            <w:hideMark/>
          </w:tcPr>
          <w:p w14:paraId="2F058595" w14:textId="77777777" w:rsidR="00815B85" w:rsidRPr="00580003" w:rsidRDefault="00815B85" w:rsidP="00815B85">
            <w:pPr>
              <w:pStyle w:val="NoSpacing"/>
              <w:rPr>
                <w:rFonts w:ascii="Arial" w:hAnsi="Arial" w:cs="Arial"/>
                <w:color w:val="000000"/>
                <w:sz w:val="18"/>
                <w:szCs w:val="18"/>
              </w:rPr>
            </w:pPr>
            <w:r>
              <w:rPr>
                <w:rFonts w:ascii="Arial" w:hAnsi="Arial" w:cs="Arial"/>
                <w:color w:val="000000"/>
                <w:sz w:val="18"/>
                <w:szCs w:val="18"/>
              </w:rPr>
              <w:t>Service A</w:t>
            </w:r>
            <w:r w:rsidRPr="00946E77">
              <w:rPr>
                <w:rFonts w:ascii="Arial" w:hAnsi="Arial" w:cs="Arial"/>
                <w:color w:val="000000"/>
                <w:sz w:val="18"/>
                <w:szCs w:val="18"/>
              </w:rPr>
              <w:t>s</w:t>
            </w:r>
            <w:r>
              <w:rPr>
                <w:rFonts w:ascii="Arial" w:hAnsi="Arial" w:cs="Arial"/>
                <w:color w:val="000000"/>
                <w:sz w:val="18"/>
                <w:szCs w:val="18"/>
              </w:rPr>
              <w:t xml:space="preserve">set &amp; Configuration Management </w:t>
            </w:r>
          </w:p>
        </w:tc>
        <w:tc>
          <w:tcPr>
            <w:tcW w:w="754" w:type="pct"/>
            <w:noWrap/>
            <w:hideMark/>
          </w:tcPr>
          <w:p w14:paraId="01E25FBA" w14:textId="20699DC6" w:rsidR="00815B85" w:rsidRPr="00580003" w:rsidRDefault="00815B85" w:rsidP="00DC5CF3">
            <w:pPr>
              <w:pStyle w:val="NoSpacing"/>
              <w:jc w:val="center"/>
              <w:rPr>
                <w:rFonts w:ascii="Arial" w:hAnsi="Arial" w:cs="Arial"/>
                <w:color w:val="000000"/>
                <w:sz w:val="18"/>
                <w:szCs w:val="18"/>
              </w:rPr>
            </w:pPr>
            <w:r>
              <w:rPr>
                <w:rFonts w:ascii="Segoe UI Symbol" w:hAnsi="Segoe UI Symbol" w:cs="Segoe UI Symbol"/>
                <w:color w:val="242729"/>
                <w:szCs w:val="23"/>
              </w:rPr>
              <w:t>✓</w:t>
            </w:r>
          </w:p>
        </w:tc>
        <w:tc>
          <w:tcPr>
            <w:tcW w:w="755" w:type="pct"/>
            <w:noWrap/>
            <w:hideMark/>
          </w:tcPr>
          <w:p w14:paraId="647F17B1" w14:textId="2EB74333" w:rsidR="00815B85" w:rsidRPr="00580003" w:rsidRDefault="00815B85" w:rsidP="0001590B">
            <w:pPr>
              <w:pStyle w:val="NoSpacing"/>
              <w:jc w:val="center"/>
              <w:rPr>
                <w:rFonts w:ascii="Arial" w:hAnsi="Arial" w:cs="Arial"/>
                <w:color w:val="000000"/>
                <w:sz w:val="18"/>
                <w:szCs w:val="18"/>
              </w:rPr>
            </w:pPr>
            <w:r w:rsidRPr="00582D34">
              <w:rPr>
                <w:rFonts w:ascii="Segoe UI Symbol" w:hAnsi="Segoe UI Symbol" w:cs="Segoe UI Symbol"/>
                <w:color w:val="242729"/>
                <w:szCs w:val="23"/>
              </w:rPr>
              <w:t>✓</w:t>
            </w:r>
          </w:p>
        </w:tc>
        <w:tc>
          <w:tcPr>
            <w:tcW w:w="755" w:type="pct"/>
          </w:tcPr>
          <w:p w14:paraId="7ABCD92F" w14:textId="519D938F" w:rsidR="00815B85" w:rsidRPr="00315ADD" w:rsidRDefault="00815B85" w:rsidP="0001590B">
            <w:pPr>
              <w:pStyle w:val="NoSpacing"/>
              <w:jc w:val="center"/>
              <w:rPr>
                <w:rFonts w:ascii="Arial" w:hAnsi="Arial" w:cs="Arial"/>
                <w:sz w:val="16"/>
                <w:szCs w:val="16"/>
              </w:rPr>
            </w:pPr>
            <w:r>
              <w:rPr>
                <w:rFonts w:ascii="Arial" w:hAnsi="Arial" w:cs="Arial"/>
                <w:sz w:val="18"/>
                <w:szCs w:val="18"/>
              </w:rPr>
              <w:t>#</w:t>
            </w:r>
          </w:p>
        </w:tc>
      </w:tr>
      <w:tr w:rsidR="00815B85" w:rsidRPr="00315ADD" w14:paraId="3D6876C1" w14:textId="77777777" w:rsidTr="00B0578B">
        <w:trPr>
          <w:trHeight w:val="238"/>
        </w:trPr>
        <w:tc>
          <w:tcPr>
            <w:tcW w:w="1455" w:type="pct"/>
            <w:vMerge w:val="restart"/>
            <w:hideMark/>
          </w:tcPr>
          <w:p w14:paraId="1DC766BF" w14:textId="77777777" w:rsidR="00815B85" w:rsidRPr="00B32B45" w:rsidRDefault="00815B85" w:rsidP="00815B85">
            <w:pPr>
              <w:pStyle w:val="NoSpacing"/>
              <w:rPr>
                <w:rFonts w:ascii="Arial" w:hAnsi="Arial" w:cs="Arial"/>
                <w:color w:val="000000"/>
                <w:sz w:val="18"/>
                <w:szCs w:val="18"/>
              </w:rPr>
            </w:pPr>
            <w:r>
              <w:rPr>
                <w:rFonts w:ascii="Arial" w:hAnsi="Arial" w:cs="Arial"/>
                <w:color w:val="000000"/>
                <w:sz w:val="18"/>
                <w:szCs w:val="18"/>
              </w:rPr>
              <w:t>Change M</w:t>
            </w:r>
            <w:r w:rsidRPr="00580003">
              <w:rPr>
                <w:rFonts w:ascii="Arial" w:hAnsi="Arial" w:cs="Arial"/>
                <w:color w:val="000000"/>
                <w:sz w:val="18"/>
                <w:szCs w:val="18"/>
              </w:rPr>
              <w:t>anagement</w:t>
            </w:r>
          </w:p>
        </w:tc>
        <w:tc>
          <w:tcPr>
            <w:tcW w:w="1281" w:type="pct"/>
          </w:tcPr>
          <w:p w14:paraId="05BD60CB" w14:textId="77777777" w:rsidR="00815B85" w:rsidRPr="002E1419" w:rsidRDefault="00815B85" w:rsidP="00815B85">
            <w:pPr>
              <w:pStyle w:val="NoSpacing"/>
              <w:rPr>
                <w:rFonts w:ascii="Arial" w:hAnsi="Arial" w:cs="Arial"/>
                <w:color w:val="000000"/>
                <w:sz w:val="18"/>
                <w:szCs w:val="18"/>
              </w:rPr>
            </w:pPr>
            <w:r>
              <w:rPr>
                <w:rFonts w:ascii="Arial" w:hAnsi="Arial" w:cs="Arial"/>
                <w:color w:val="000000"/>
                <w:sz w:val="18"/>
                <w:szCs w:val="18"/>
              </w:rPr>
              <w:t>Standard</w:t>
            </w:r>
          </w:p>
        </w:tc>
        <w:tc>
          <w:tcPr>
            <w:tcW w:w="754" w:type="pct"/>
            <w:noWrap/>
            <w:hideMark/>
          </w:tcPr>
          <w:p w14:paraId="4D36F016" w14:textId="2C3C707E" w:rsidR="00815B85" w:rsidRPr="00580003" w:rsidRDefault="00815B85" w:rsidP="00DC5CF3">
            <w:pPr>
              <w:pStyle w:val="NoSpacing"/>
              <w:jc w:val="center"/>
              <w:rPr>
                <w:rFonts w:ascii="Arial" w:hAnsi="Arial" w:cs="Arial"/>
                <w:color w:val="000000"/>
                <w:sz w:val="18"/>
                <w:szCs w:val="18"/>
              </w:rPr>
            </w:pPr>
            <w:r w:rsidRPr="00582D34">
              <w:rPr>
                <w:rFonts w:ascii="Segoe UI Symbol" w:hAnsi="Segoe UI Symbol" w:cs="Segoe UI Symbol"/>
                <w:color w:val="242729"/>
                <w:szCs w:val="23"/>
              </w:rPr>
              <w:t>✓</w:t>
            </w:r>
          </w:p>
        </w:tc>
        <w:tc>
          <w:tcPr>
            <w:tcW w:w="755" w:type="pct"/>
            <w:noWrap/>
            <w:hideMark/>
          </w:tcPr>
          <w:p w14:paraId="4FA55981" w14:textId="39AFFA27" w:rsidR="00815B85" w:rsidRPr="00580003" w:rsidRDefault="00815B85" w:rsidP="0001590B">
            <w:pPr>
              <w:pStyle w:val="NoSpacing"/>
              <w:jc w:val="center"/>
              <w:rPr>
                <w:rFonts w:ascii="Arial" w:hAnsi="Arial" w:cs="Arial"/>
                <w:color w:val="000000"/>
                <w:sz w:val="18"/>
                <w:szCs w:val="18"/>
              </w:rPr>
            </w:pPr>
            <w:r>
              <w:rPr>
                <w:rFonts w:ascii="Segoe UI Symbol" w:hAnsi="Segoe UI Symbol" w:cs="Segoe UI Symbol"/>
                <w:color w:val="242729"/>
                <w:szCs w:val="23"/>
              </w:rPr>
              <w:t>✓</w:t>
            </w:r>
          </w:p>
        </w:tc>
        <w:tc>
          <w:tcPr>
            <w:tcW w:w="755" w:type="pct"/>
          </w:tcPr>
          <w:p w14:paraId="156777B7" w14:textId="296CDF77" w:rsidR="00815B85" w:rsidRPr="00315ADD" w:rsidRDefault="00815B85" w:rsidP="0001590B">
            <w:pPr>
              <w:pStyle w:val="NoSpacing"/>
              <w:jc w:val="center"/>
              <w:rPr>
                <w:rFonts w:ascii="Arial" w:hAnsi="Arial" w:cs="Arial"/>
                <w:color w:val="000000"/>
                <w:sz w:val="18"/>
                <w:szCs w:val="18"/>
              </w:rPr>
            </w:pPr>
            <w:r>
              <w:rPr>
                <w:rFonts w:ascii="Arial" w:hAnsi="Arial" w:cs="Arial"/>
                <w:sz w:val="18"/>
                <w:szCs w:val="18"/>
              </w:rPr>
              <w:t>#</w:t>
            </w:r>
          </w:p>
        </w:tc>
      </w:tr>
      <w:tr w:rsidR="00815B85" w:rsidRPr="00315ADD" w14:paraId="51467379" w14:textId="77777777" w:rsidTr="00B0578B">
        <w:trPr>
          <w:trHeight w:val="238"/>
        </w:trPr>
        <w:tc>
          <w:tcPr>
            <w:tcW w:w="1455" w:type="pct"/>
            <w:vMerge/>
          </w:tcPr>
          <w:p w14:paraId="6BA0AAB2" w14:textId="77777777" w:rsidR="00815B85" w:rsidRPr="00580003" w:rsidRDefault="00815B85" w:rsidP="00815B85">
            <w:pPr>
              <w:pStyle w:val="NoSpacing"/>
              <w:rPr>
                <w:rFonts w:ascii="Arial" w:hAnsi="Arial" w:cs="Arial"/>
                <w:color w:val="000000"/>
                <w:sz w:val="18"/>
                <w:szCs w:val="18"/>
              </w:rPr>
            </w:pPr>
          </w:p>
        </w:tc>
        <w:tc>
          <w:tcPr>
            <w:tcW w:w="1281" w:type="pct"/>
          </w:tcPr>
          <w:p w14:paraId="0DC14DAD" w14:textId="77777777" w:rsidR="00815B85" w:rsidRPr="00580003" w:rsidRDefault="00815B85" w:rsidP="00815B85">
            <w:pPr>
              <w:pStyle w:val="NoSpacing"/>
              <w:rPr>
                <w:rFonts w:ascii="Arial" w:hAnsi="Arial" w:cs="Arial"/>
                <w:color w:val="000000"/>
                <w:sz w:val="18"/>
                <w:szCs w:val="18"/>
              </w:rPr>
            </w:pPr>
            <w:r>
              <w:rPr>
                <w:rFonts w:ascii="Arial" w:hAnsi="Arial" w:cs="Arial"/>
                <w:color w:val="000000"/>
                <w:sz w:val="18"/>
                <w:szCs w:val="18"/>
              </w:rPr>
              <w:t>Enhanced</w:t>
            </w:r>
          </w:p>
        </w:tc>
        <w:tc>
          <w:tcPr>
            <w:tcW w:w="754" w:type="pct"/>
            <w:noWrap/>
          </w:tcPr>
          <w:p w14:paraId="4BCDA59C" w14:textId="77777777" w:rsidR="00815B85" w:rsidRDefault="00815B85" w:rsidP="00DC5CF3">
            <w:pPr>
              <w:pStyle w:val="NoSpacing"/>
              <w:jc w:val="center"/>
              <w:rPr>
                <w:rFonts w:ascii="Arial" w:hAnsi="Arial" w:cs="Arial"/>
                <w:noProof/>
                <w:sz w:val="18"/>
                <w:szCs w:val="18"/>
              </w:rPr>
            </w:pPr>
            <w:r>
              <w:rPr>
                <w:rFonts w:ascii="Arial" w:hAnsi="Arial" w:cs="Arial"/>
                <w:noProof/>
                <w:sz w:val="18"/>
                <w:szCs w:val="18"/>
              </w:rPr>
              <w:t>-</w:t>
            </w:r>
          </w:p>
        </w:tc>
        <w:tc>
          <w:tcPr>
            <w:tcW w:w="755" w:type="pct"/>
            <w:noWrap/>
          </w:tcPr>
          <w:p w14:paraId="2B57419E" w14:textId="77777777" w:rsidR="00815B85" w:rsidRDefault="00815B85" w:rsidP="00F0548B">
            <w:pPr>
              <w:pStyle w:val="NoSpacing"/>
              <w:jc w:val="center"/>
              <w:rPr>
                <w:rFonts w:ascii="Arial" w:hAnsi="Arial" w:cs="Arial"/>
                <w:noProof/>
                <w:sz w:val="18"/>
                <w:szCs w:val="18"/>
              </w:rPr>
            </w:pPr>
            <w:r>
              <w:rPr>
                <w:rFonts w:ascii="Arial" w:hAnsi="Arial" w:cs="Arial"/>
                <w:noProof/>
                <w:sz w:val="18"/>
                <w:szCs w:val="18"/>
              </w:rPr>
              <w:t>-</w:t>
            </w:r>
          </w:p>
        </w:tc>
        <w:tc>
          <w:tcPr>
            <w:tcW w:w="755" w:type="pct"/>
          </w:tcPr>
          <w:p w14:paraId="4D7D0C1C" w14:textId="026B0516" w:rsidR="00815B85" w:rsidRPr="00946E77" w:rsidRDefault="00815B85" w:rsidP="00B0578B">
            <w:pPr>
              <w:pStyle w:val="NoSpacing"/>
              <w:jc w:val="center"/>
              <w:rPr>
                <w:rFonts w:ascii="Arial" w:hAnsi="Arial" w:cs="Arial"/>
                <w:noProof/>
                <w:color w:val="000000"/>
                <w:sz w:val="18"/>
                <w:szCs w:val="18"/>
              </w:rPr>
            </w:pPr>
            <w:r>
              <w:rPr>
                <w:rFonts w:ascii="Arial" w:hAnsi="Arial" w:cs="Arial"/>
                <w:sz w:val="18"/>
                <w:szCs w:val="18"/>
              </w:rPr>
              <w:t>#</w:t>
            </w:r>
          </w:p>
        </w:tc>
      </w:tr>
      <w:tr w:rsidR="004E697E" w:rsidRPr="00315ADD" w14:paraId="6758C897" w14:textId="77777777" w:rsidTr="00B0578B">
        <w:trPr>
          <w:trHeight w:val="238"/>
        </w:trPr>
        <w:tc>
          <w:tcPr>
            <w:tcW w:w="1455" w:type="pct"/>
            <w:vMerge w:val="restart"/>
          </w:tcPr>
          <w:p w14:paraId="03C101CF" w14:textId="77777777" w:rsidR="004E697E" w:rsidRPr="00580003" w:rsidRDefault="004E697E" w:rsidP="00C71F5D">
            <w:pPr>
              <w:pStyle w:val="NoSpacing"/>
              <w:rPr>
                <w:rFonts w:ascii="Arial" w:hAnsi="Arial" w:cs="Arial"/>
                <w:color w:val="000000"/>
                <w:sz w:val="18"/>
                <w:szCs w:val="18"/>
              </w:rPr>
            </w:pPr>
            <w:r>
              <w:rPr>
                <w:rFonts w:ascii="Arial" w:hAnsi="Arial" w:cs="Arial"/>
                <w:sz w:val="18"/>
                <w:szCs w:val="18"/>
              </w:rPr>
              <w:t>Capacity M</w:t>
            </w:r>
            <w:r w:rsidRPr="00580003">
              <w:rPr>
                <w:rFonts w:ascii="Arial" w:hAnsi="Arial" w:cs="Arial"/>
                <w:sz w:val="18"/>
                <w:szCs w:val="18"/>
              </w:rPr>
              <w:t>anagement</w:t>
            </w:r>
          </w:p>
          <w:p w14:paraId="60FCEFB6" w14:textId="7500EDA0" w:rsidR="004E697E" w:rsidRPr="00580003" w:rsidRDefault="004E697E" w:rsidP="00815B85">
            <w:pPr>
              <w:pStyle w:val="NoSpacing"/>
              <w:rPr>
                <w:rFonts w:ascii="Arial" w:hAnsi="Arial" w:cs="Arial"/>
                <w:color w:val="000000"/>
                <w:sz w:val="18"/>
                <w:szCs w:val="18"/>
              </w:rPr>
            </w:pPr>
          </w:p>
        </w:tc>
        <w:tc>
          <w:tcPr>
            <w:tcW w:w="1281" w:type="pct"/>
          </w:tcPr>
          <w:p w14:paraId="3AF13E83" w14:textId="6C6E58A5" w:rsidR="004E697E" w:rsidRPr="00580003" w:rsidRDefault="004E697E" w:rsidP="00C71F5D">
            <w:pPr>
              <w:pStyle w:val="NoSpacing"/>
              <w:rPr>
                <w:rFonts w:ascii="Arial" w:hAnsi="Arial" w:cs="Arial"/>
                <w:color w:val="000000"/>
                <w:sz w:val="18"/>
                <w:szCs w:val="18"/>
              </w:rPr>
            </w:pPr>
            <w:r>
              <w:rPr>
                <w:rFonts w:ascii="Arial" w:hAnsi="Arial" w:cs="Arial"/>
                <w:color w:val="000000"/>
                <w:sz w:val="18"/>
                <w:szCs w:val="18"/>
              </w:rPr>
              <w:t>Standard</w:t>
            </w:r>
          </w:p>
        </w:tc>
        <w:tc>
          <w:tcPr>
            <w:tcW w:w="754" w:type="pct"/>
            <w:noWrap/>
          </w:tcPr>
          <w:p w14:paraId="53F7F7C3" w14:textId="77777777" w:rsidR="004E697E" w:rsidRPr="00580003" w:rsidRDefault="004E697E" w:rsidP="00DC5CF3">
            <w:pPr>
              <w:pStyle w:val="NoSpacing"/>
              <w:jc w:val="center"/>
              <w:rPr>
                <w:rFonts w:ascii="Arial" w:hAnsi="Arial" w:cs="Arial"/>
                <w:color w:val="000000"/>
                <w:sz w:val="18"/>
                <w:szCs w:val="18"/>
              </w:rPr>
            </w:pPr>
            <w:r>
              <w:rPr>
                <w:rFonts w:ascii="Arial" w:hAnsi="Arial" w:cs="Arial"/>
                <w:color w:val="000000"/>
                <w:sz w:val="18"/>
                <w:szCs w:val="18"/>
              </w:rPr>
              <w:t>-</w:t>
            </w:r>
          </w:p>
        </w:tc>
        <w:tc>
          <w:tcPr>
            <w:tcW w:w="755" w:type="pct"/>
            <w:noWrap/>
          </w:tcPr>
          <w:p w14:paraId="6AE8DB50" w14:textId="77777777" w:rsidR="004E697E" w:rsidRPr="00580003" w:rsidRDefault="004E697E" w:rsidP="00F0548B">
            <w:pPr>
              <w:pStyle w:val="NoSpacing"/>
              <w:jc w:val="center"/>
              <w:rPr>
                <w:rFonts w:ascii="Arial" w:hAnsi="Arial" w:cs="Arial"/>
                <w:noProof/>
                <w:sz w:val="18"/>
                <w:szCs w:val="18"/>
              </w:rPr>
            </w:pPr>
            <w:r>
              <w:rPr>
                <w:rFonts w:ascii="Arial" w:hAnsi="Arial" w:cs="Arial"/>
                <w:noProof/>
                <w:sz w:val="18"/>
                <w:szCs w:val="18"/>
              </w:rPr>
              <w:t>#</w:t>
            </w:r>
          </w:p>
        </w:tc>
        <w:tc>
          <w:tcPr>
            <w:tcW w:w="755" w:type="pct"/>
          </w:tcPr>
          <w:p w14:paraId="02328659" w14:textId="77777777" w:rsidR="004E697E" w:rsidRPr="00B0578B" w:rsidRDefault="004E697E" w:rsidP="00B0578B">
            <w:pPr>
              <w:pStyle w:val="NoSpacing"/>
              <w:jc w:val="center"/>
              <w:rPr>
                <w:rFonts w:ascii="Arial" w:hAnsi="Arial" w:cs="Arial"/>
                <w:sz w:val="18"/>
                <w:szCs w:val="18"/>
              </w:rPr>
            </w:pPr>
            <w:r>
              <w:rPr>
                <w:rFonts w:ascii="Arial" w:hAnsi="Arial" w:cs="Arial"/>
                <w:sz w:val="18"/>
                <w:szCs w:val="18"/>
              </w:rPr>
              <w:t>#</w:t>
            </w:r>
          </w:p>
        </w:tc>
      </w:tr>
      <w:tr w:rsidR="004E697E" w:rsidRPr="00315ADD" w14:paraId="7D2ADCEE" w14:textId="77777777" w:rsidTr="00B0578B">
        <w:trPr>
          <w:trHeight w:val="238"/>
        </w:trPr>
        <w:tc>
          <w:tcPr>
            <w:tcW w:w="1455" w:type="pct"/>
            <w:vMerge/>
          </w:tcPr>
          <w:p w14:paraId="1F8F5968" w14:textId="0BEFA607" w:rsidR="004E697E" w:rsidRPr="00580003" w:rsidRDefault="004E697E" w:rsidP="00815B85">
            <w:pPr>
              <w:pStyle w:val="NoSpacing"/>
              <w:rPr>
                <w:rFonts w:ascii="Arial" w:hAnsi="Arial" w:cs="Arial"/>
                <w:color w:val="000000"/>
                <w:sz w:val="18"/>
                <w:szCs w:val="18"/>
              </w:rPr>
            </w:pPr>
          </w:p>
        </w:tc>
        <w:tc>
          <w:tcPr>
            <w:tcW w:w="1281" w:type="pct"/>
          </w:tcPr>
          <w:p w14:paraId="541434E7" w14:textId="604BA2A2" w:rsidR="004E697E" w:rsidRPr="00580003" w:rsidRDefault="004E697E" w:rsidP="00C71F5D">
            <w:pPr>
              <w:pStyle w:val="NoSpacing"/>
              <w:rPr>
                <w:rFonts w:ascii="Arial" w:hAnsi="Arial" w:cs="Arial"/>
                <w:color w:val="000000"/>
                <w:sz w:val="18"/>
                <w:szCs w:val="18"/>
              </w:rPr>
            </w:pPr>
            <w:r>
              <w:rPr>
                <w:rFonts w:ascii="Arial" w:hAnsi="Arial" w:cs="Arial"/>
                <w:color w:val="000000"/>
                <w:sz w:val="18"/>
                <w:szCs w:val="18"/>
              </w:rPr>
              <w:t>Demand Forecasting</w:t>
            </w:r>
          </w:p>
        </w:tc>
        <w:tc>
          <w:tcPr>
            <w:tcW w:w="754" w:type="pct"/>
            <w:noWrap/>
          </w:tcPr>
          <w:p w14:paraId="263E6FEA" w14:textId="77777777" w:rsidR="004E697E" w:rsidRPr="00580003" w:rsidRDefault="004E697E" w:rsidP="00DC5CF3">
            <w:pPr>
              <w:pStyle w:val="NoSpacing"/>
              <w:jc w:val="center"/>
              <w:rPr>
                <w:rFonts w:ascii="Arial" w:hAnsi="Arial" w:cs="Arial"/>
                <w:color w:val="000000"/>
                <w:sz w:val="18"/>
                <w:szCs w:val="18"/>
              </w:rPr>
            </w:pPr>
            <w:r>
              <w:rPr>
                <w:rFonts w:ascii="Arial" w:hAnsi="Arial" w:cs="Arial"/>
                <w:color w:val="000000"/>
                <w:sz w:val="18"/>
                <w:szCs w:val="18"/>
              </w:rPr>
              <w:t>-</w:t>
            </w:r>
          </w:p>
        </w:tc>
        <w:tc>
          <w:tcPr>
            <w:tcW w:w="755" w:type="pct"/>
            <w:noWrap/>
          </w:tcPr>
          <w:p w14:paraId="4458305C" w14:textId="77777777" w:rsidR="004E697E" w:rsidRPr="00580003" w:rsidRDefault="004E697E" w:rsidP="00F0548B">
            <w:pPr>
              <w:pStyle w:val="NoSpacing"/>
              <w:jc w:val="center"/>
              <w:rPr>
                <w:rFonts w:ascii="Arial" w:hAnsi="Arial" w:cs="Arial"/>
                <w:noProof/>
                <w:sz w:val="18"/>
                <w:szCs w:val="18"/>
              </w:rPr>
            </w:pPr>
            <w:r>
              <w:rPr>
                <w:rFonts w:ascii="Arial" w:hAnsi="Arial" w:cs="Arial"/>
                <w:noProof/>
                <w:sz w:val="18"/>
                <w:szCs w:val="18"/>
              </w:rPr>
              <w:t>#</w:t>
            </w:r>
          </w:p>
        </w:tc>
        <w:tc>
          <w:tcPr>
            <w:tcW w:w="755" w:type="pct"/>
          </w:tcPr>
          <w:p w14:paraId="064416C9" w14:textId="77777777" w:rsidR="004E697E" w:rsidRPr="00B0578B" w:rsidRDefault="004E697E" w:rsidP="00B0578B">
            <w:pPr>
              <w:pStyle w:val="NoSpacing"/>
              <w:jc w:val="center"/>
              <w:rPr>
                <w:rFonts w:ascii="Arial" w:hAnsi="Arial" w:cs="Arial"/>
                <w:sz w:val="18"/>
                <w:szCs w:val="18"/>
              </w:rPr>
            </w:pPr>
            <w:r>
              <w:rPr>
                <w:rFonts w:ascii="Arial" w:hAnsi="Arial" w:cs="Arial"/>
                <w:sz w:val="18"/>
                <w:szCs w:val="18"/>
              </w:rPr>
              <w:t>#</w:t>
            </w:r>
          </w:p>
        </w:tc>
      </w:tr>
      <w:tr w:rsidR="004E697E" w:rsidRPr="00315ADD" w14:paraId="0A147079" w14:textId="77777777" w:rsidTr="00B0578B">
        <w:trPr>
          <w:trHeight w:val="238"/>
        </w:trPr>
        <w:tc>
          <w:tcPr>
            <w:tcW w:w="1455" w:type="pct"/>
            <w:vMerge/>
          </w:tcPr>
          <w:p w14:paraId="3C84CF25" w14:textId="6B611E5F" w:rsidR="004E697E" w:rsidRPr="00580003" w:rsidRDefault="004E697E" w:rsidP="00815B85">
            <w:pPr>
              <w:pStyle w:val="NoSpacing"/>
              <w:rPr>
                <w:rFonts w:ascii="Arial" w:hAnsi="Arial" w:cs="Arial"/>
                <w:color w:val="000000"/>
                <w:sz w:val="18"/>
                <w:szCs w:val="18"/>
              </w:rPr>
            </w:pPr>
          </w:p>
        </w:tc>
        <w:tc>
          <w:tcPr>
            <w:tcW w:w="1281" w:type="pct"/>
          </w:tcPr>
          <w:p w14:paraId="16C8D8FA" w14:textId="45DF162A" w:rsidR="004E697E" w:rsidRPr="00580003" w:rsidRDefault="004E697E" w:rsidP="00815B85">
            <w:pPr>
              <w:pStyle w:val="NoSpacing"/>
              <w:rPr>
                <w:rFonts w:ascii="Arial" w:hAnsi="Arial" w:cs="Arial"/>
                <w:color w:val="000000"/>
                <w:sz w:val="18"/>
                <w:szCs w:val="18"/>
              </w:rPr>
            </w:pPr>
            <w:r w:rsidRPr="004E697E">
              <w:rPr>
                <w:rFonts w:ascii="Arial" w:hAnsi="Arial" w:cs="Arial"/>
                <w:color w:val="000000"/>
                <w:sz w:val="18"/>
                <w:szCs w:val="18"/>
              </w:rPr>
              <w:t>Proactively Manage Findings &amp; Recommendations</w:t>
            </w:r>
          </w:p>
        </w:tc>
        <w:tc>
          <w:tcPr>
            <w:tcW w:w="754" w:type="pct"/>
            <w:noWrap/>
          </w:tcPr>
          <w:p w14:paraId="3238B780" w14:textId="77777777" w:rsidR="004E697E" w:rsidRPr="00580003" w:rsidRDefault="004E697E" w:rsidP="00DC5CF3">
            <w:pPr>
              <w:pStyle w:val="NoSpacing"/>
              <w:jc w:val="center"/>
              <w:rPr>
                <w:rFonts w:ascii="Arial" w:hAnsi="Arial" w:cs="Arial"/>
                <w:color w:val="000000"/>
                <w:sz w:val="18"/>
                <w:szCs w:val="18"/>
              </w:rPr>
            </w:pPr>
            <w:r>
              <w:rPr>
                <w:rFonts w:ascii="Arial" w:hAnsi="Arial" w:cs="Arial"/>
                <w:color w:val="000000"/>
                <w:sz w:val="18"/>
                <w:szCs w:val="18"/>
              </w:rPr>
              <w:t>-</w:t>
            </w:r>
          </w:p>
        </w:tc>
        <w:tc>
          <w:tcPr>
            <w:tcW w:w="755" w:type="pct"/>
            <w:noWrap/>
          </w:tcPr>
          <w:p w14:paraId="44E48AAF" w14:textId="3FA8FFB2" w:rsidR="004E697E" w:rsidRPr="00580003" w:rsidRDefault="004E697E" w:rsidP="0001590B">
            <w:pPr>
              <w:pStyle w:val="NoSpacing"/>
              <w:jc w:val="center"/>
              <w:rPr>
                <w:rFonts w:ascii="Arial" w:hAnsi="Arial" w:cs="Arial"/>
                <w:noProof/>
                <w:sz w:val="18"/>
                <w:szCs w:val="18"/>
              </w:rPr>
            </w:pPr>
            <w:r>
              <w:rPr>
                <w:rFonts w:ascii="Arial" w:hAnsi="Arial" w:cs="Arial"/>
                <w:noProof/>
                <w:sz w:val="18"/>
                <w:szCs w:val="18"/>
              </w:rPr>
              <w:t>#</w:t>
            </w:r>
          </w:p>
        </w:tc>
        <w:tc>
          <w:tcPr>
            <w:tcW w:w="755" w:type="pct"/>
          </w:tcPr>
          <w:p w14:paraId="0EA9259B" w14:textId="5C24E7A6" w:rsidR="004E697E" w:rsidRPr="00B0578B" w:rsidRDefault="004E697E" w:rsidP="0001590B">
            <w:pPr>
              <w:pStyle w:val="NoSpacing"/>
              <w:jc w:val="center"/>
              <w:rPr>
                <w:rFonts w:ascii="Arial" w:hAnsi="Arial" w:cs="Arial"/>
                <w:sz w:val="18"/>
                <w:szCs w:val="18"/>
              </w:rPr>
            </w:pPr>
            <w:r>
              <w:rPr>
                <w:rFonts w:ascii="Arial" w:hAnsi="Arial" w:cs="Arial"/>
                <w:sz w:val="18"/>
                <w:szCs w:val="18"/>
              </w:rPr>
              <w:t>#</w:t>
            </w:r>
          </w:p>
        </w:tc>
      </w:tr>
      <w:tr w:rsidR="00815B85" w:rsidRPr="00315ADD" w14:paraId="1661BE54" w14:textId="77777777" w:rsidTr="00B0578B">
        <w:trPr>
          <w:trHeight w:val="238"/>
        </w:trPr>
        <w:tc>
          <w:tcPr>
            <w:tcW w:w="1455" w:type="pct"/>
            <w:vMerge w:val="restart"/>
          </w:tcPr>
          <w:p w14:paraId="4D2B782C" w14:textId="77777777" w:rsidR="00815B85" w:rsidRPr="00580003" w:rsidRDefault="00815B85" w:rsidP="00815B85">
            <w:pPr>
              <w:pStyle w:val="NoSpacing"/>
              <w:rPr>
                <w:rFonts w:ascii="Arial" w:hAnsi="Arial" w:cs="Arial"/>
                <w:sz w:val="18"/>
                <w:szCs w:val="18"/>
              </w:rPr>
            </w:pPr>
            <w:r w:rsidRPr="00580003">
              <w:rPr>
                <w:rFonts w:ascii="Arial" w:hAnsi="Arial" w:cs="Arial"/>
                <w:sz w:val="18"/>
                <w:szCs w:val="18"/>
              </w:rPr>
              <w:t xml:space="preserve">Third Party </w:t>
            </w:r>
            <w:r>
              <w:rPr>
                <w:rFonts w:ascii="Arial" w:hAnsi="Arial" w:cs="Arial"/>
                <w:sz w:val="18"/>
                <w:szCs w:val="18"/>
              </w:rPr>
              <w:t>M</w:t>
            </w:r>
            <w:r w:rsidRPr="00580003">
              <w:rPr>
                <w:rFonts w:ascii="Arial" w:hAnsi="Arial" w:cs="Arial"/>
                <w:sz w:val="18"/>
                <w:szCs w:val="18"/>
              </w:rPr>
              <w:t>anagement</w:t>
            </w:r>
          </w:p>
        </w:tc>
        <w:tc>
          <w:tcPr>
            <w:tcW w:w="1281" w:type="pct"/>
          </w:tcPr>
          <w:p w14:paraId="17ADFBE4" w14:textId="77777777" w:rsidR="00815B85" w:rsidRPr="00580003" w:rsidRDefault="00815B85" w:rsidP="00815B85">
            <w:pPr>
              <w:pStyle w:val="NoSpacing"/>
              <w:rPr>
                <w:rFonts w:ascii="Arial" w:hAnsi="Arial" w:cs="Arial"/>
                <w:sz w:val="18"/>
                <w:szCs w:val="18"/>
              </w:rPr>
            </w:pPr>
            <w:r w:rsidRPr="00580003">
              <w:rPr>
                <w:rFonts w:ascii="Arial" w:hAnsi="Arial" w:cs="Arial"/>
                <w:sz w:val="18"/>
                <w:szCs w:val="18"/>
              </w:rPr>
              <w:t>Standard</w:t>
            </w:r>
          </w:p>
        </w:tc>
        <w:tc>
          <w:tcPr>
            <w:tcW w:w="754" w:type="pct"/>
            <w:noWrap/>
          </w:tcPr>
          <w:p w14:paraId="08A50D62" w14:textId="0183A929" w:rsidR="00815B85" w:rsidRPr="00580003" w:rsidRDefault="00815B85" w:rsidP="00DC5CF3">
            <w:pPr>
              <w:pStyle w:val="NoSpacing"/>
              <w:jc w:val="center"/>
              <w:rPr>
                <w:rFonts w:ascii="Arial" w:hAnsi="Arial" w:cs="Arial"/>
                <w:color w:val="000000"/>
                <w:sz w:val="18"/>
                <w:szCs w:val="18"/>
              </w:rPr>
            </w:pPr>
            <w:r>
              <w:rPr>
                <w:rFonts w:ascii="Segoe UI Symbol" w:hAnsi="Segoe UI Symbol" w:cs="Segoe UI Symbol"/>
                <w:color w:val="242729"/>
                <w:szCs w:val="23"/>
              </w:rPr>
              <w:t>✓</w:t>
            </w:r>
          </w:p>
        </w:tc>
        <w:tc>
          <w:tcPr>
            <w:tcW w:w="755" w:type="pct"/>
            <w:noWrap/>
          </w:tcPr>
          <w:p w14:paraId="3EFF1AE1" w14:textId="7E3CE9A5" w:rsidR="00815B85" w:rsidRPr="00580003" w:rsidRDefault="00815B85" w:rsidP="0001590B">
            <w:pPr>
              <w:pStyle w:val="NoSpacing"/>
              <w:jc w:val="center"/>
              <w:rPr>
                <w:rFonts w:ascii="Arial" w:hAnsi="Arial" w:cs="Arial"/>
                <w:noProof/>
                <w:sz w:val="18"/>
                <w:szCs w:val="18"/>
              </w:rPr>
            </w:pPr>
            <w:r>
              <w:rPr>
                <w:rFonts w:ascii="Segoe UI Symbol" w:hAnsi="Segoe UI Symbol" w:cs="Segoe UI Symbol"/>
                <w:color w:val="242729"/>
                <w:szCs w:val="23"/>
              </w:rPr>
              <w:t>✓</w:t>
            </w:r>
          </w:p>
        </w:tc>
        <w:tc>
          <w:tcPr>
            <w:tcW w:w="755" w:type="pct"/>
          </w:tcPr>
          <w:p w14:paraId="5BB6FF01" w14:textId="30B14965" w:rsidR="00815B85" w:rsidRPr="00B0578B" w:rsidRDefault="00815B85" w:rsidP="0001590B">
            <w:pPr>
              <w:pStyle w:val="NoSpacing"/>
              <w:jc w:val="center"/>
              <w:rPr>
                <w:rFonts w:ascii="Arial" w:hAnsi="Arial" w:cs="Arial"/>
                <w:sz w:val="18"/>
                <w:szCs w:val="18"/>
              </w:rPr>
            </w:pPr>
            <w:r>
              <w:rPr>
                <w:rFonts w:ascii="Arial" w:hAnsi="Arial" w:cs="Arial"/>
                <w:sz w:val="18"/>
                <w:szCs w:val="18"/>
              </w:rPr>
              <w:t>#</w:t>
            </w:r>
          </w:p>
        </w:tc>
      </w:tr>
      <w:tr w:rsidR="00815B85" w:rsidRPr="00315ADD" w14:paraId="7551F03C" w14:textId="77777777" w:rsidTr="00B0578B">
        <w:trPr>
          <w:trHeight w:val="238"/>
        </w:trPr>
        <w:tc>
          <w:tcPr>
            <w:tcW w:w="1455" w:type="pct"/>
            <w:vMerge/>
          </w:tcPr>
          <w:p w14:paraId="3ECF64BF" w14:textId="77777777" w:rsidR="00815B85" w:rsidRPr="00580003" w:rsidRDefault="00815B85" w:rsidP="00815B85">
            <w:pPr>
              <w:pStyle w:val="NoSpacing"/>
              <w:rPr>
                <w:rFonts w:ascii="Arial" w:hAnsi="Arial" w:cs="Arial"/>
                <w:sz w:val="18"/>
                <w:szCs w:val="18"/>
              </w:rPr>
            </w:pPr>
          </w:p>
        </w:tc>
        <w:tc>
          <w:tcPr>
            <w:tcW w:w="1281" w:type="pct"/>
          </w:tcPr>
          <w:p w14:paraId="3558D11F" w14:textId="77777777" w:rsidR="00815B85" w:rsidRPr="00580003" w:rsidRDefault="00815B85" w:rsidP="00815B85">
            <w:pPr>
              <w:pStyle w:val="NoSpacing"/>
              <w:rPr>
                <w:rFonts w:ascii="Arial" w:hAnsi="Arial" w:cs="Arial"/>
                <w:sz w:val="18"/>
                <w:szCs w:val="18"/>
              </w:rPr>
            </w:pPr>
            <w:r w:rsidRPr="00580003">
              <w:rPr>
                <w:rFonts w:ascii="Arial" w:hAnsi="Arial" w:cs="Arial"/>
                <w:sz w:val="18"/>
                <w:szCs w:val="18"/>
              </w:rPr>
              <w:t>Custom</w:t>
            </w:r>
          </w:p>
        </w:tc>
        <w:tc>
          <w:tcPr>
            <w:tcW w:w="754" w:type="pct"/>
            <w:noWrap/>
          </w:tcPr>
          <w:p w14:paraId="2B5B7505" w14:textId="77777777" w:rsidR="00815B85" w:rsidRPr="00580003" w:rsidRDefault="00815B85" w:rsidP="00DC5CF3">
            <w:pPr>
              <w:pStyle w:val="NoSpacing"/>
              <w:jc w:val="center"/>
              <w:rPr>
                <w:rFonts w:ascii="Arial" w:hAnsi="Arial" w:cs="Arial"/>
                <w:color w:val="000000"/>
                <w:sz w:val="18"/>
                <w:szCs w:val="18"/>
              </w:rPr>
            </w:pPr>
            <w:r>
              <w:rPr>
                <w:rFonts w:ascii="Arial" w:hAnsi="Arial" w:cs="Arial"/>
                <w:color w:val="000000"/>
                <w:sz w:val="18"/>
                <w:szCs w:val="18"/>
              </w:rPr>
              <w:t>-</w:t>
            </w:r>
          </w:p>
        </w:tc>
        <w:tc>
          <w:tcPr>
            <w:tcW w:w="755" w:type="pct"/>
            <w:noWrap/>
          </w:tcPr>
          <w:p w14:paraId="6EA503BA" w14:textId="77777777" w:rsidR="00815B85" w:rsidRPr="00580003" w:rsidRDefault="00815B85" w:rsidP="00F0548B">
            <w:pPr>
              <w:pStyle w:val="NoSpacing"/>
              <w:jc w:val="center"/>
              <w:rPr>
                <w:rFonts w:ascii="Arial" w:hAnsi="Arial" w:cs="Arial"/>
                <w:noProof/>
                <w:sz w:val="18"/>
                <w:szCs w:val="18"/>
              </w:rPr>
            </w:pPr>
            <w:r>
              <w:rPr>
                <w:rFonts w:ascii="Arial" w:hAnsi="Arial" w:cs="Arial"/>
                <w:noProof/>
                <w:sz w:val="18"/>
                <w:szCs w:val="18"/>
              </w:rPr>
              <w:t>-</w:t>
            </w:r>
          </w:p>
        </w:tc>
        <w:tc>
          <w:tcPr>
            <w:tcW w:w="755" w:type="pct"/>
          </w:tcPr>
          <w:p w14:paraId="4B8CD847" w14:textId="058DC8A4" w:rsidR="00815B85" w:rsidRPr="00242290" w:rsidRDefault="00815B85" w:rsidP="00B0578B">
            <w:pPr>
              <w:pStyle w:val="NoSpacing"/>
              <w:jc w:val="center"/>
              <w:rPr>
                <w:rFonts w:ascii="Arial" w:hAnsi="Arial" w:cs="Arial"/>
                <w:sz w:val="16"/>
                <w:szCs w:val="16"/>
              </w:rPr>
            </w:pPr>
            <w:r>
              <w:rPr>
                <w:rFonts w:ascii="Arial" w:hAnsi="Arial" w:cs="Arial"/>
                <w:sz w:val="18"/>
                <w:szCs w:val="18"/>
              </w:rPr>
              <w:t>#</w:t>
            </w:r>
          </w:p>
        </w:tc>
      </w:tr>
    </w:tbl>
    <w:p w14:paraId="04CAB9EF" w14:textId="77777777" w:rsidR="006D07CC" w:rsidRDefault="006D07CC" w:rsidP="007E52E1"/>
    <w:p w14:paraId="704BC330" w14:textId="66ADC12A" w:rsidR="00E53D8A" w:rsidRDefault="001657D5" w:rsidP="00514463">
      <w:pPr>
        <w:pStyle w:val="Heading2"/>
      </w:pPr>
      <w:r>
        <w:t xml:space="preserve">The </w:t>
      </w:r>
      <w:r w:rsidR="00E53D8A">
        <w:t>Essential and Enhanced Tiers are pre-defined packages</w:t>
      </w:r>
      <w:r>
        <w:t xml:space="preserve"> that can be expanded with the optional (</w:t>
      </w:r>
      <w:r w:rsidR="008A26BC">
        <w:t>Add</w:t>
      </w:r>
      <w:r>
        <w:t xml:space="preserve">-on) capabilities noted in the table above. Any </w:t>
      </w:r>
      <w:r w:rsidR="008A26BC">
        <w:t>Add</w:t>
      </w:r>
      <w:r>
        <w:t xml:space="preserve">-on Capabilities you have taken up are set out in your agreement with us and form part of </w:t>
      </w:r>
      <w:r w:rsidR="00C06F87">
        <w:t>your</w:t>
      </w:r>
      <w:r>
        <w:t xml:space="preserve"> Service Inclusions.</w:t>
      </w:r>
    </w:p>
    <w:p w14:paraId="258BFF93" w14:textId="32D84A31" w:rsidR="001C6FA3" w:rsidRDefault="001C6FA3" w:rsidP="00514463">
      <w:pPr>
        <w:pStyle w:val="Heading2"/>
      </w:pPr>
      <w:r>
        <w:t>The Premium Tier is a customisable offer for organisations with complex needs.</w:t>
      </w:r>
      <w:r w:rsidRPr="001C6FA3">
        <w:t xml:space="preserve"> </w:t>
      </w:r>
      <w:r>
        <w:t xml:space="preserve">If you have taken up the Premium Tier, further details about your Service Inclusions are set out in </w:t>
      </w:r>
      <w:r w:rsidR="0039239A">
        <w:t xml:space="preserve">your </w:t>
      </w:r>
      <w:r>
        <w:t xml:space="preserve">separate agreement </w:t>
      </w:r>
      <w:r w:rsidR="0039239A">
        <w:t xml:space="preserve">with </w:t>
      </w:r>
      <w:r>
        <w:t xml:space="preserve">us. </w:t>
      </w:r>
    </w:p>
    <w:p w14:paraId="06D87D0D" w14:textId="77777777" w:rsidR="00AF6AFA" w:rsidRDefault="00AF6AFA" w:rsidP="00AF6AFA">
      <w:pPr>
        <w:pStyle w:val="Indent1"/>
      </w:pPr>
      <w:bookmarkStart w:id="7" w:name="_Toc486819575"/>
      <w:r>
        <w:t>Prices</w:t>
      </w:r>
      <w:bookmarkEnd w:id="7"/>
    </w:p>
    <w:p w14:paraId="3A421C9C" w14:textId="77777777" w:rsidR="00AF6AFA" w:rsidRDefault="00AF6AFA" w:rsidP="00AF6AFA">
      <w:pPr>
        <w:pStyle w:val="Heading2"/>
        <w:tabs>
          <w:tab w:val="num" w:pos="737"/>
        </w:tabs>
      </w:pPr>
      <w:bookmarkStart w:id="8" w:name="_Ref395865871"/>
      <w:r w:rsidRPr="00AD79D1">
        <w:t xml:space="preserve">The charges for </w:t>
      </w:r>
      <w:r>
        <w:t xml:space="preserve">your ISM Service </w:t>
      </w:r>
      <w:r w:rsidRPr="00AD79D1">
        <w:t>are set out</w:t>
      </w:r>
      <w:r>
        <w:t>:</w:t>
      </w:r>
      <w:r w:rsidRPr="00AD79D1">
        <w:t xml:space="preserve"> </w:t>
      </w:r>
    </w:p>
    <w:p w14:paraId="1550720E" w14:textId="77777777" w:rsidR="00AF6AFA" w:rsidRDefault="00AF6AFA" w:rsidP="00AF6AFA">
      <w:pPr>
        <w:pStyle w:val="Heading3"/>
      </w:pPr>
      <w:r w:rsidRPr="00AD79D1">
        <w:t xml:space="preserve">in </w:t>
      </w:r>
      <w:r>
        <w:t xml:space="preserve">your </w:t>
      </w:r>
      <w:r w:rsidRPr="00AD79D1">
        <w:t>Agreement</w:t>
      </w:r>
      <w:r>
        <w:t xml:space="preserve"> with us; and</w:t>
      </w:r>
    </w:p>
    <w:p w14:paraId="4A342D58" w14:textId="77777777" w:rsidR="00AF6AFA" w:rsidRPr="00AD79D1" w:rsidRDefault="00AF6AFA" w:rsidP="00AF6AFA">
      <w:pPr>
        <w:pStyle w:val="Heading3"/>
      </w:pPr>
      <w:r>
        <w:t>as agreed in any Change Request.</w:t>
      </w:r>
      <w:r w:rsidRPr="00AD79D1">
        <w:t xml:space="preserve"> </w:t>
      </w:r>
    </w:p>
    <w:bookmarkEnd w:id="8"/>
    <w:p w14:paraId="4EBC73E4" w14:textId="77777777" w:rsidR="00AF6AFA" w:rsidRPr="00AD79D1" w:rsidRDefault="00AF6AFA" w:rsidP="00AF6AFA">
      <w:pPr>
        <w:pStyle w:val="Heading2"/>
        <w:tabs>
          <w:tab w:val="num" w:pos="737"/>
        </w:tabs>
      </w:pPr>
      <w:r w:rsidRPr="00AD79D1">
        <w:t xml:space="preserve">Charges </w:t>
      </w:r>
      <w:r>
        <w:t xml:space="preserve">for your ISM Service </w:t>
      </w:r>
      <w:r w:rsidRPr="00AD79D1">
        <w:t xml:space="preserve">are in addition to charges for your </w:t>
      </w:r>
      <w:r>
        <w:t xml:space="preserve">In-scope </w:t>
      </w:r>
      <w:r w:rsidRPr="00AD79D1">
        <w:t>Service</w:t>
      </w:r>
      <w:r>
        <w:t>s</w:t>
      </w:r>
      <w:r w:rsidRPr="00AD79D1">
        <w:t xml:space="preserve">. </w:t>
      </w:r>
    </w:p>
    <w:p w14:paraId="2EB6D363" w14:textId="77777777" w:rsidR="00AF6AFA" w:rsidRDefault="00AF6AFA" w:rsidP="00AF6AFA">
      <w:pPr>
        <w:pStyle w:val="Heading2"/>
      </w:pPr>
      <w:r>
        <w:t xml:space="preserve">We may increase the Charges to reflect any increase in the scope of the ISM Service including any additional In-scope Services or Premises. We will agree such increases with you as part of the Change </w:t>
      </w:r>
      <w:r w:rsidR="00D30DB8">
        <w:t xml:space="preserve">Management </w:t>
      </w:r>
      <w:r>
        <w:t xml:space="preserve">process. </w:t>
      </w:r>
    </w:p>
    <w:p w14:paraId="21A14FE0" w14:textId="77777777" w:rsidR="006C32A5" w:rsidRDefault="006C32A5" w:rsidP="006C32A5">
      <w:pPr>
        <w:pStyle w:val="Indent1"/>
      </w:pPr>
      <w:bookmarkStart w:id="9" w:name="_Toc486819576"/>
      <w:r>
        <w:t>Eligibility</w:t>
      </w:r>
      <w:bookmarkEnd w:id="9"/>
      <w:r>
        <w:t xml:space="preserve"> </w:t>
      </w:r>
    </w:p>
    <w:p w14:paraId="448212D3" w14:textId="77777777" w:rsidR="00A05227" w:rsidRDefault="00E53D8A" w:rsidP="009A29A4">
      <w:pPr>
        <w:pStyle w:val="Heading2"/>
      </w:pPr>
      <w:r>
        <w:t>Integrated Service Management</w:t>
      </w:r>
      <w:r w:rsidR="00BF1A3C">
        <w:t xml:space="preserve"> is </w:t>
      </w:r>
      <w:r w:rsidR="006C32A5">
        <w:t>not available</w:t>
      </w:r>
      <w:r w:rsidR="00BF1A3C">
        <w:t xml:space="preserve"> to Telstra Wholesale customers or for resale. </w:t>
      </w:r>
      <w:r w:rsidR="00A05227">
        <w:t xml:space="preserve">You must only use your Service (and any part of it) for your own internal business purposes. </w:t>
      </w:r>
      <w:r w:rsidR="00EC64A0">
        <w:t>You must not assign or resupply your ISM Service to a third party, including the use of your ISM Service to provide a managed service to a third party</w:t>
      </w:r>
      <w:r w:rsidR="007331C0">
        <w:t xml:space="preserve">, </w:t>
      </w:r>
      <w:r w:rsidR="00A05227">
        <w:t>unless we have otherwise agreed in writing.</w:t>
      </w:r>
    </w:p>
    <w:p w14:paraId="4D19094F" w14:textId="0863DD5F" w:rsidR="00EC64A0" w:rsidRDefault="00EC64A0" w:rsidP="00EC64A0">
      <w:pPr>
        <w:pStyle w:val="Heading2"/>
      </w:pPr>
      <w:r>
        <w:t xml:space="preserve">You must have at least </w:t>
      </w:r>
      <w:r w:rsidR="004A2EC2">
        <w:t xml:space="preserve">one </w:t>
      </w:r>
      <w:r>
        <w:t xml:space="preserve">Telstra product </w:t>
      </w:r>
      <w:r w:rsidR="00C127C9">
        <w:t xml:space="preserve">managed </w:t>
      </w:r>
      <w:r>
        <w:t>as In-scope Services at all relevant times.</w:t>
      </w:r>
    </w:p>
    <w:p w14:paraId="548701AD" w14:textId="7A304426" w:rsidR="00E87DF7" w:rsidRDefault="00E87DF7" w:rsidP="00EC64A0">
      <w:pPr>
        <w:pStyle w:val="Heading2"/>
      </w:pPr>
      <w:r>
        <w:t>You must be the legal lessee of all In-scope Services unless otherwise agreed</w:t>
      </w:r>
      <w:r w:rsidR="00E54367">
        <w:t>.</w:t>
      </w:r>
    </w:p>
    <w:p w14:paraId="5A582BDA" w14:textId="28B36050" w:rsidR="00FB3749" w:rsidRPr="005F675B" w:rsidRDefault="00FB3749" w:rsidP="00FB3749">
      <w:pPr>
        <w:pStyle w:val="Indent1"/>
      </w:pPr>
      <w:bookmarkStart w:id="10" w:name="_Toc486819577"/>
      <w:r>
        <w:t xml:space="preserve">Service </w:t>
      </w:r>
      <w:r w:rsidR="0044396E">
        <w:t>Levels</w:t>
      </w:r>
      <w:bookmarkEnd w:id="10"/>
    </w:p>
    <w:p w14:paraId="03973A84" w14:textId="3ECA8E78" w:rsidR="00FB3749" w:rsidRDefault="00FB3749" w:rsidP="00EC64A0">
      <w:pPr>
        <w:pStyle w:val="Heading2"/>
      </w:pPr>
      <w:r>
        <w:t>We will provide your ISM Service to the Service Levels specified in your agreement with us.</w:t>
      </w:r>
      <w:r w:rsidR="00E54367">
        <w:t xml:space="preserve"> Unless otherwise agreed, the ISM Service does not change the service levels of your </w:t>
      </w:r>
      <w:r w:rsidR="00913CC5">
        <w:t>In-scope Service</w:t>
      </w:r>
      <w:r w:rsidR="00E54367">
        <w:t>s.</w:t>
      </w:r>
    </w:p>
    <w:p w14:paraId="5BAC9824" w14:textId="77777777" w:rsidR="00FB3749" w:rsidRDefault="00FB3749" w:rsidP="00EC64A0">
      <w:pPr>
        <w:pStyle w:val="Heading2"/>
      </w:pPr>
      <w:r w:rsidRPr="00792DE4">
        <w:t xml:space="preserve">We will not be responsible for a failure to meet a </w:t>
      </w:r>
      <w:r>
        <w:t>service target</w:t>
      </w:r>
      <w:r w:rsidRPr="00792DE4">
        <w:t xml:space="preserve"> to the extent that such failure is caused by your breach of this agreement.</w:t>
      </w:r>
    </w:p>
    <w:p w14:paraId="07559425" w14:textId="77777777" w:rsidR="00C76ED6" w:rsidRDefault="007331C0" w:rsidP="00FB4CB1">
      <w:pPr>
        <w:pStyle w:val="Heading1"/>
        <w:tabs>
          <w:tab w:val="clear" w:pos="737"/>
        </w:tabs>
      </w:pPr>
      <w:bookmarkStart w:id="11" w:name="_Toc486819578"/>
      <w:bookmarkStart w:id="12" w:name="_Toc422341966"/>
      <w:r>
        <w:t>General Terms</w:t>
      </w:r>
      <w:bookmarkEnd w:id="11"/>
    </w:p>
    <w:p w14:paraId="7920F49A" w14:textId="77777777" w:rsidR="005F675B" w:rsidRPr="005F675B" w:rsidRDefault="007331C0" w:rsidP="005F675B">
      <w:pPr>
        <w:pStyle w:val="Indent1"/>
      </w:pPr>
      <w:bookmarkStart w:id="13" w:name="_Toc486819579"/>
      <w:r>
        <w:t>Your Responsibilities</w:t>
      </w:r>
      <w:bookmarkEnd w:id="13"/>
    </w:p>
    <w:p w14:paraId="0054BBC0" w14:textId="77777777" w:rsidR="00EC64A0" w:rsidRDefault="00EC64A0" w:rsidP="00EC64A0">
      <w:pPr>
        <w:pStyle w:val="Heading2"/>
      </w:pPr>
      <w:bookmarkStart w:id="14" w:name="_Ref395865751"/>
      <w:r>
        <w:t>You must promptly comply with our reasonable directions regarding your use of the ISM Service.</w:t>
      </w:r>
      <w:bookmarkEnd w:id="14"/>
    </w:p>
    <w:p w14:paraId="4DB35558" w14:textId="77777777" w:rsidR="002B5578" w:rsidRDefault="002B5578" w:rsidP="002B5578">
      <w:pPr>
        <w:pStyle w:val="Heading2"/>
      </w:pPr>
      <w:r>
        <w:t xml:space="preserve">You must provide us with at least 30 days’ notice of any proposed changes to your In-scope Services or Premises prior to the proposed date of the effective change. We are entitled to charge you </w:t>
      </w:r>
      <w:r w:rsidR="00ED5C1C">
        <w:t xml:space="preserve">for Service Inclusions we provide in relation to any </w:t>
      </w:r>
      <w:r>
        <w:t xml:space="preserve">additional </w:t>
      </w:r>
      <w:r w:rsidR="00A43B12">
        <w:t>s</w:t>
      </w:r>
      <w:r>
        <w:t xml:space="preserve">ervices or </w:t>
      </w:r>
      <w:r w:rsidR="00A43B12">
        <w:t xml:space="preserve">locations </w:t>
      </w:r>
      <w:r w:rsidR="00ED5C1C">
        <w:t>you request</w:t>
      </w:r>
      <w:r>
        <w:t>. If you do not provide us with at least 30 days’ notice and agree to any additional fee, we will (at our election) either:</w:t>
      </w:r>
    </w:p>
    <w:p w14:paraId="73DDEB55" w14:textId="77777777" w:rsidR="002B5578" w:rsidRDefault="002B5578" w:rsidP="002B5578">
      <w:pPr>
        <w:pStyle w:val="Heading3"/>
      </w:pPr>
      <w:r>
        <w:t xml:space="preserve">use reasonable endeavours to provide the Service Inclusions in respect of any additional services </w:t>
      </w:r>
      <w:r w:rsidR="00ED5C1C">
        <w:t xml:space="preserve">and </w:t>
      </w:r>
      <w:r w:rsidR="00A43B12">
        <w:t xml:space="preserve">locations </w:t>
      </w:r>
      <w:r>
        <w:t xml:space="preserve">you </w:t>
      </w:r>
      <w:r w:rsidR="00A43B12">
        <w:t xml:space="preserve">have </w:t>
      </w:r>
      <w:r w:rsidR="00ED5C1C">
        <w:t>request</w:t>
      </w:r>
      <w:r w:rsidR="00A43B12">
        <w:t>ed</w:t>
      </w:r>
      <w:r>
        <w:t>, however we do not guarantee this will be possible or that the Service Levels will apply to those additional services</w:t>
      </w:r>
      <w:r w:rsidR="00ED5C1C">
        <w:t xml:space="preserve"> or services at those additional </w:t>
      </w:r>
      <w:r w:rsidR="00A43B12">
        <w:t>locations</w:t>
      </w:r>
      <w:r>
        <w:t>; or</w:t>
      </w:r>
    </w:p>
    <w:p w14:paraId="239A065B" w14:textId="77777777" w:rsidR="002B5578" w:rsidRDefault="002B5578" w:rsidP="002B5578">
      <w:pPr>
        <w:pStyle w:val="Heading3"/>
      </w:pPr>
      <w:r>
        <w:t xml:space="preserve">refuse to provide the Service Inclusions in relation to those additional services or additional </w:t>
      </w:r>
      <w:r w:rsidR="00BF5C9A">
        <w:t>locations</w:t>
      </w:r>
      <w:r>
        <w:t>.</w:t>
      </w:r>
    </w:p>
    <w:p w14:paraId="66F288E1" w14:textId="77777777" w:rsidR="007331C0" w:rsidRDefault="007331C0" w:rsidP="007331C0">
      <w:pPr>
        <w:pStyle w:val="Heading2"/>
      </w:pPr>
      <w:r>
        <w:t xml:space="preserve">You must make available to us all Customer Inputs to the extent required to allow us to perform the </w:t>
      </w:r>
      <w:r w:rsidR="007578C1">
        <w:t xml:space="preserve">Included </w:t>
      </w:r>
      <w:r>
        <w:t>Services. You may remove or replace Customer Inputs at any time through the Change Management process.</w:t>
      </w:r>
    </w:p>
    <w:p w14:paraId="017A05F2" w14:textId="77777777" w:rsidR="001904F6" w:rsidRDefault="001904F6" w:rsidP="004D2931">
      <w:pPr>
        <w:pStyle w:val="Heading2"/>
      </w:pPr>
      <w:r>
        <w:t xml:space="preserve">You are responsible for all equipment, </w:t>
      </w:r>
      <w:proofErr w:type="gramStart"/>
      <w:r>
        <w:t>devices</w:t>
      </w:r>
      <w:proofErr w:type="gramEnd"/>
      <w:r>
        <w:t xml:space="preserve"> and network security. We do not provide you with any security services as part of your ISM Service.</w:t>
      </w:r>
    </w:p>
    <w:p w14:paraId="4142BF19" w14:textId="77777777" w:rsidR="006E226B" w:rsidRDefault="00AE708F" w:rsidP="006E226B">
      <w:pPr>
        <w:pStyle w:val="Indent1"/>
      </w:pPr>
      <w:bookmarkStart w:id="15" w:name="_Toc486819580"/>
      <w:r>
        <w:t>Service Catalogue</w:t>
      </w:r>
      <w:bookmarkEnd w:id="15"/>
    </w:p>
    <w:p w14:paraId="38AA060A" w14:textId="77777777" w:rsidR="006E226B" w:rsidRDefault="006E226B" w:rsidP="006E226B">
      <w:pPr>
        <w:pStyle w:val="Heading2"/>
      </w:pPr>
      <w:bookmarkStart w:id="16" w:name="_Ref480822619"/>
      <w:r>
        <w:t xml:space="preserve">We will, from time to time, make available a service catalogue that describes the various </w:t>
      </w:r>
      <w:r w:rsidR="00E45AE7">
        <w:t xml:space="preserve">Telstra </w:t>
      </w:r>
      <w:r>
        <w:t>services that can benefit from the Capabilities and the extent to which they can benefit (</w:t>
      </w:r>
      <w:r w:rsidRPr="00630C68">
        <w:rPr>
          <w:b/>
        </w:rPr>
        <w:t>Service Catalogue</w:t>
      </w:r>
      <w:r>
        <w:t>).</w:t>
      </w:r>
      <w:bookmarkEnd w:id="16"/>
    </w:p>
    <w:p w14:paraId="6DB67869" w14:textId="185DCDF8" w:rsidR="006E226B" w:rsidRDefault="006E226B" w:rsidP="006E226B">
      <w:pPr>
        <w:pStyle w:val="Heading2"/>
      </w:pPr>
      <w:r>
        <w:t xml:space="preserve">Where we withdraw a service from the Service Catalogue which is one of your In-scope Services, we will </w:t>
      </w:r>
      <w:r w:rsidR="00D51B83">
        <w:t>do so in accordance with the General Terms of Our Customer Terms</w:t>
      </w:r>
      <w:r>
        <w:t xml:space="preserve">. We will </w:t>
      </w:r>
      <w:r w:rsidR="00D51B83">
        <w:t xml:space="preserve">also </w:t>
      </w:r>
      <w:r>
        <w:t xml:space="preserve">agree with you a proportionate </w:t>
      </w:r>
      <w:r w:rsidR="002F1895">
        <w:t>pro-rated</w:t>
      </w:r>
      <w:r>
        <w:t xml:space="preserve"> refund of Charges to the extent you had paid for the ISM Service in relation to that withdrawn service after the</w:t>
      </w:r>
      <w:r w:rsidR="00565D3A">
        <w:t xml:space="preserve"> effective date of withdrawal.</w:t>
      </w:r>
    </w:p>
    <w:p w14:paraId="0C3638A0" w14:textId="77777777" w:rsidR="00333348" w:rsidRDefault="00333348" w:rsidP="00333348">
      <w:pPr>
        <w:pStyle w:val="Indent1"/>
      </w:pPr>
      <w:bookmarkStart w:id="17" w:name="_Toc486819581"/>
      <w:r>
        <w:t>ISM Handbook</w:t>
      </w:r>
      <w:bookmarkEnd w:id="17"/>
    </w:p>
    <w:p w14:paraId="17271BEF" w14:textId="77777777" w:rsidR="001B3153" w:rsidRDefault="00333348" w:rsidP="009A76AD">
      <w:pPr>
        <w:pStyle w:val="Heading2"/>
      </w:pPr>
      <w:bookmarkStart w:id="18" w:name="_Ref485823410"/>
      <w:r w:rsidRPr="006F3135">
        <w:t xml:space="preserve">We will prepare and provide to you </w:t>
      </w:r>
      <w:r w:rsidR="00E45AE7">
        <w:t xml:space="preserve">the </w:t>
      </w:r>
      <w:r w:rsidRPr="009A76AD">
        <w:rPr>
          <w:bCs w:val="0"/>
        </w:rPr>
        <w:t>ISM</w:t>
      </w:r>
      <w:r w:rsidRPr="009A76AD">
        <w:t xml:space="preserve"> Handbook</w:t>
      </w:r>
      <w:r w:rsidR="00E45AE7">
        <w:t xml:space="preserve"> within the timeframe set out in your agreement with us</w:t>
      </w:r>
      <w:r>
        <w:t xml:space="preserve">. </w:t>
      </w:r>
      <w:r w:rsidR="00923642">
        <w:t xml:space="preserve">You must </w:t>
      </w:r>
      <w:proofErr w:type="gramStart"/>
      <w:r w:rsidR="00923642">
        <w:t>provide assistance</w:t>
      </w:r>
      <w:proofErr w:type="gramEnd"/>
      <w:r w:rsidR="00923642">
        <w:t xml:space="preserve"> and work collaboratively with us in preparation of the </w:t>
      </w:r>
      <w:r w:rsidR="00923642" w:rsidRPr="009A76AD">
        <w:rPr>
          <w:bCs w:val="0"/>
        </w:rPr>
        <w:t>ISM</w:t>
      </w:r>
      <w:r w:rsidR="00923642" w:rsidRPr="009A76AD">
        <w:t xml:space="preserve"> Handbook</w:t>
      </w:r>
      <w:r w:rsidR="00923642">
        <w:t xml:space="preserve"> as we reasonably request.</w:t>
      </w:r>
      <w:bookmarkEnd w:id="18"/>
    </w:p>
    <w:p w14:paraId="52675014" w14:textId="3A446E3F" w:rsidR="00333348" w:rsidRDefault="00333348" w:rsidP="009A76AD">
      <w:pPr>
        <w:pStyle w:val="Heading2"/>
      </w:pPr>
      <w:r>
        <w:t xml:space="preserve">We may update the ISM Handbook </w:t>
      </w:r>
      <w:r w:rsidR="00D51B83">
        <w:t>from time to time in accordance with the General Terms of Our Customer Terms as if the change to the ISM Handbook is a change to Our Customer Terms</w:t>
      </w:r>
      <w:r>
        <w:t>.</w:t>
      </w:r>
    </w:p>
    <w:p w14:paraId="6077E834" w14:textId="77777777" w:rsidR="00333348" w:rsidRDefault="00333348" w:rsidP="009A76AD">
      <w:pPr>
        <w:pStyle w:val="Heading2"/>
      </w:pPr>
      <w:bookmarkStart w:id="19" w:name="_Ref485823411"/>
      <w:r>
        <w:t>To the extent that the parties’ service management framework and processes need to interact, the parties will work collaboratively to establish:</w:t>
      </w:r>
      <w:bookmarkEnd w:id="19"/>
    </w:p>
    <w:p w14:paraId="73140408" w14:textId="77777777" w:rsidR="00333348" w:rsidRDefault="00333348" w:rsidP="00385031">
      <w:pPr>
        <w:pStyle w:val="Heading3"/>
      </w:pPr>
      <w:r>
        <w:t>demarcation points (including your other third party providers);</w:t>
      </w:r>
    </w:p>
    <w:p w14:paraId="61EB8B62" w14:textId="77777777" w:rsidR="00333348" w:rsidRDefault="00333348" w:rsidP="00385031">
      <w:pPr>
        <w:pStyle w:val="Heading3"/>
      </w:pPr>
      <w:r>
        <w:t>each parties’ roles and responsibilities;</w:t>
      </w:r>
    </w:p>
    <w:p w14:paraId="244F1EC5" w14:textId="77777777" w:rsidR="00333348" w:rsidRDefault="00333348" w:rsidP="00385031">
      <w:pPr>
        <w:pStyle w:val="Heading3"/>
      </w:pPr>
      <w:r>
        <w:t>the method of interaction (for example, via phone or email);</w:t>
      </w:r>
    </w:p>
    <w:p w14:paraId="0A5C4230" w14:textId="77777777" w:rsidR="00333348" w:rsidRDefault="00333348" w:rsidP="00385031">
      <w:pPr>
        <w:pStyle w:val="Heading3"/>
      </w:pPr>
      <w:r>
        <w:t>the process to be followed for handover of matters (including to your other third party providers);</w:t>
      </w:r>
    </w:p>
    <w:p w14:paraId="1063DE04" w14:textId="77777777" w:rsidR="00333348" w:rsidRDefault="00333348" w:rsidP="00385031">
      <w:pPr>
        <w:pStyle w:val="Heading3"/>
      </w:pPr>
      <w:r>
        <w:t xml:space="preserve">information required (including format, </w:t>
      </w:r>
      <w:proofErr w:type="gramStart"/>
      <w:r>
        <w:t>content</w:t>
      </w:r>
      <w:proofErr w:type="gramEnd"/>
      <w:r>
        <w:t xml:space="preserve"> and timeframes); and</w:t>
      </w:r>
    </w:p>
    <w:p w14:paraId="62490A3B" w14:textId="77777777" w:rsidR="00333348" w:rsidRDefault="00333348" w:rsidP="00385031">
      <w:pPr>
        <w:pStyle w:val="Heading3"/>
      </w:pPr>
      <w:r>
        <w:t>escalation paths and triggers.</w:t>
      </w:r>
    </w:p>
    <w:p w14:paraId="271A5DEA" w14:textId="77777777" w:rsidR="00F26330" w:rsidRDefault="00F26330" w:rsidP="00F26330">
      <w:pPr>
        <w:pStyle w:val="Indent1"/>
      </w:pPr>
      <w:bookmarkStart w:id="20" w:name="_Toc486819582"/>
      <w:r>
        <w:t>Intellectual Property and Confidentiality</w:t>
      </w:r>
      <w:bookmarkEnd w:id="20"/>
    </w:p>
    <w:p w14:paraId="3991A3BD" w14:textId="77777777" w:rsidR="00F26330" w:rsidRDefault="00F26330" w:rsidP="00F26330">
      <w:pPr>
        <w:pStyle w:val="Heading2"/>
      </w:pPr>
      <w:bookmarkStart w:id="21" w:name="_Ref395865898"/>
      <w:r>
        <w:t>We own all Intellectual Property Rights in the ISM Service and any materials we provide to you in connection with the ISM Service (“</w:t>
      </w:r>
      <w:r w:rsidRPr="00C82A99">
        <w:rPr>
          <w:b/>
          <w:bCs w:val="0"/>
        </w:rPr>
        <w:t>Items</w:t>
      </w:r>
      <w:r>
        <w:t>”).</w:t>
      </w:r>
      <w:bookmarkEnd w:id="21"/>
    </w:p>
    <w:p w14:paraId="23435950" w14:textId="77777777" w:rsidR="00F26330" w:rsidRDefault="00F26330" w:rsidP="00F26330">
      <w:pPr>
        <w:pStyle w:val="Heading2"/>
      </w:pPr>
      <w:bookmarkStart w:id="22" w:name="_Ref452975883"/>
      <w:r>
        <w:t>We licence you to use the Items solely for the purpose of your ISM Service. The licence ends upon expiry or termination of the ISM Service (or that element of the ISM Service that corresponds to the relevant Item).</w:t>
      </w:r>
      <w:bookmarkEnd w:id="22"/>
    </w:p>
    <w:p w14:paraId="69C608C2" w14:textId="77777777" w:rsidR="00F26330" w:rsidRDefault="00F26330" w:rsidP="00F26330">
      <w:pPr>
        <w:pStyle w:val="Heading2"/>
      </w:pPr>
      <w:r>
        <w:t xml:space="preserve">The Items that we give you access to in connection with your ISM Service are our confidential information. You must </w:t>
      </w:r>
      <w:proofErr w:type="gramStart"/>
      <w:r>
        <w:t>protect and keep this confidential at all times</w:t>
      </w:r>
      <w:proofErr w:type="gramEnd"/>
      <w:r>
        <w:t>.</w:t>
      </w:r>
    </w:p>
    <w:p w14:paraId="6D4AEB3E" w14:textId="77777777" w:rsidR="007331C0" w:rsidRDefault="00333348" w:rsidP="00565D3A">
      <w:pPr>
        <w:pStyle w:val="Heading1"/>
      </w:pPr>
      <w:bookmarkStart w:id="23" w:name="_Toc486819583"/>
      <w:r>
        <w:t>Contact Channels</w:t>
      </w:r>
      <w:bookmarkEnd w:id="23"/>
    </w:p>
    <w:p w14:paraId="6E2F9185" w14:textId="77777777" w:rsidR="00333348" w:rsidRDefault="00544881" w:rsidP="007331C0">
      <w:pPr>
        <w:pStyle w:val="Heading2"/>
      </w:pPr>
      <w:r>
        <w:t xml:space="preserve">We deliver most Service Inclusions </w:t>
      </w:r>
      <w:r w:rsidR="00C306BF">
        <w:t>from our</w:t>
      </w:r>
      <w:r>
        <w:t xml:space="preserve"> Service Desk. </w:t>
      </w:r>
      <w:r w:rsidR="00333348">
        <w:t xml:space="preserve">You can </w:t>
      </w:r>
      <w:r w:rsidR="00A02C8F">
        <w:t xml:space="preserve">contact </w:t>
      </w:r>
      <w:r w:rsidR="00CC6086">
        <w:t xml:space="preserve">and access </w:t>
      </w:r>
      <w:r w:rsidR="00333348">
        <w:t xml:space="preserve">the </w:t>
      </w:r>
      <w:r>
        <w:t xml:space="preserve">Service Desk </w:t>
      </w:r>
      <w:r w:rsidR="00333348">
        <w:t xml:space="preserve">through </w:t>
      </w:r>
      <w:r w:rsidR="009B3469">
        <w:t>the Contact Channels we make available to you as part of your ISM Service.</w:t>
      </w:r>
    </w:p>
    <w:p w14:paraId="31EEA004" w14:textId="77777777" w:rsidR="009B3469" w:rsidRDefault="00544881" w:rsidP="007331C0">
      <w:pPr>
        <w:pStyle w:val="Heading2"/>
      </w:pPr>
      <w:r>
        <w:t xml:space="preserve">When raising an Incident, Change </w:t>
      </w:r>
      <w:proofErr w:type="gramStart"/>
      <w:r>
        <w:t>Request</w:t>
      </w:r>
      <w:proofErr w:type="gramEnd"/>
      <w:r>
        <w:t xml:space="preserve"> or other ticket with the Service Desk, you must follow the process specified in the ISM Handbook consistent with your request type and Priority Level. Unless otherwise agreed, </w:t>
      </w:r>
      <w:r w:rsidR="00AD70DF">
        <w:t>all Major Incidents</w:t>
      </w:r>
      <w:r w:rsidRPr="00956BF1">
        <w:t xml:space="preserve"> </w:t>
      </w:r>
      <w:r>
        <w:t>must</w:t>
      </w:r>
      <w:r w:rsidRPr="002D49CF">
        <w:t xml:space="preserve"> be reported by telephone</w:t>
      </w:r>
      <w:r>
        <w:t>.</w:t>
      </w:r>
    </w:p>
    <w:p w14:paraId="2A7D874E" w14:textId="77777777" w:rsidR="00F56597" w:rsidRDefault="00F56597" w:rsidP="007331C0">
      <w:pPr>
        <w:pStyle w:val="Heading2"/>
      </w:pPr>
      <w:r>
        <w:t xml:space="preserve">We will operate the Service Desk </w:t>
      </w:r>
      <w:r w:rsidR="00005058">
        <w:t xml:space="preserve">to the </w:t>
      </w:r>
      <w:r w:rsidR="00C90D1A">
        <w:t xml:space="preserve">Service Levels specified in </w:t>
      </w:r>
      <w:r w:rsidR="00581D2E">
        <w:t>your agreement with us. Unless otherwise specified, we will use reasonable endeavours to make the Servi</w:t>
      </w:r>
      <w:r w:rsidR="003B7779">
        <w:t xml:space="preserve">ce Desk available to you 24 x 7 for </w:t>
      </w:r>
      <w:r w:rsidR="00EB7EE6">
        <w:t xml:space="preserve">any reporting any </w:t>
      </w:r>
      <w:r w:rsidR="00AD70DF">
        <w:t>Major Incidents</w:t>
      </w:r>
      <w:r w:rsidR="003B7779">
        <w:t>.</w:t>
      </w:r>
    </w:p>
    <w:p w14:paraId="2CBC8A9D" w14:textId="77777777" w:rsidR="009B3469" w:rsidRPr="00B85873" w:rsidRDefault="009B3469" w:rsidP="009B3469">
      <w:pPr>
        <w:pStyle w:val="SubHead"/>
      </w:pPr>
      <w:bookmarkStart w:id="24" w:name="_Toc477252076"/>
      <w:r w:rsidRPr="00956BF1">
        <w:t>Your obligations</w:t>
      </w:r>
      <w:bookmarkEnd w:id="24"/>
    </w:p>
    <w:p w14:paraId="581E6341" w14:textId="77777777" w:rsidR="009B3469" w:rsidRDefault="009B3469" w:rsidP="00036329">
      <w:pPr>
        <w:pStyle w:val="Heading2"/>
      </w:pPr>
      <w:r w:rsidRPr="00956BF1">
        <w:t>You agree to</w:t>
      </w:r>
      <w:r>
        <w:t xml:space="preserve"> </w:t>
      </w:r>
      <w:r w:rsidRPr="00956BF1">
        <w:t xml:space="preserve">train your Authorised Representatives on the appropriate use </w:t>
      </w:r>
      <w:r w:rsidR="00EA0942">
        <w:t xml:space="preserve">and contact procedures for </w:t>
      </w:r>
      <w:r w:rsidRPr="00956BF1">
        <w:t>the Service Desk</w:t>
      </w:r>
      <w:r w:rsidR="00EA0942">
        <w:t>, consistent with the ISM Handbook.</w:t>
      </w:r>
    </w:p>
    <w:p w14:paraId="20D293A0" w14:textId="77777777" w:rsidR="009B3469" w:rsidRPr="00B85873" w:rsidRDefault="009B3469" w:rsidP="009B3469">
      <w:pPr>
        <w:pStyle w:val="Heading2"/>
      </w:pPr>
      <w:r>
        <w:t xml:space="preserve">You will </w:t>
      </w:r>
      <w:r w:rsidRPr="00956BF1">
        <w:t>inform us of:</w:t>
      </w:r>
    </w:p>
    <w:p w14:paraId="497620E4" w14:textId="77777777" w:rsidR="009B3469" w:rsidRPr="00B85873" w:rsidRDefault="009B3469" w:rsidP="009B3469">
      <w:pPr>
        <w:pStyle w:val="Heading3"/>
      </w:pPr>
      <w:r w:rsidRPr="00956BF1">
        <w:t xml:space="preserve">any activity that may affect our delivery of the Service Desk, including changes to your </w:t>
      </w:r>
      <w:r>
        <w:t>In-scope Service</w:t>
      </w:r>
      <w:r w:rsidRPr="00956BF1">
        <w:t xml:space="preserve">s; and </w:t>
      </w:r>
    </w:p>
    <w:p w14:paraId="53D89468" w14:textId="77777777" w:rsidR="009B3469" w:rsidRDefault="009B3469" w:rsidP="009B3469">
      <w:pPr>
        <w:pStyle w:val="Heading3"/>
      </w:pPr>
      <w:r w:rsidRPr="00956BF1">
        <w:t xml:space="preserve">any changes to your Authorised Representatives which may affect our provision of the Service Desk. </w:t>
      </w:r>
    </w:p>
    <w:p w14:paraId="36C241DC" w14:textId="77777777" w:rsidR="00F56597" w:rsidRPr="004D5120" w:rsidRDefault="00F56597" w:rsidP="009A1A5D">
      <w:pPr>
        <w:pStyle w:val="SubHead"/>
      </w:pPr>
      <w:bookmarkStart w:id="25" w:name="_Toc477252096"/>
      <w:r w:rsidRPr="004D5120">
        <w:t>Web Portal</w:t>
      </w:r>
      <w:bookmarkEnd w:id="25"/>
    </w:p>
    <w:p w14:paraId="556553DC" w14:textId="77777777" w:rsidR="00F56597" w:rsidRPr="00DC5391" w:rsidRDefault="00F56597" w:rsidP="009A1A5D">
      <w:pPr>
        <w:pStyle w:val="Heading2"/>
      </w:pPr>
      <w:r w:rsidRPr="00DC5391">
        <w:t xml:space="preserve">You may access the following functions of the </w:t>
      </w:r>
      <w:r w:rsidR="002558CB">
        <w:t>S</w:t>
      </w:r>
      <w:r w:rsidRPr="00DC5391">
        <w:t xml:space="preserve">ervice </w:t>
      </w:r>
      <w:r w:rsidR="002558CB">
        <w:t>D</w:t>
      </w:r>
      <w:r w:rsidRPr="00DC5391">
        <w:t xml:space="preserve">esk via the Web Portal </w:t>
      </w:r>
      <w:r w:rsidR="002558CB">
        <w:t>as one of the Contact Channels</w:t>
      </w:r>
      <w:r w:rsidRPr="00DC5391">
        <w:t>:</w:t>
      </w:r>
    </w:p>
    <w:p w14:paraId="2B4F0EF1" w14:textId="77777777" w:rsidR="00F56597" w:rsidRPr="00DC5391" w:rsidRDefault="00F56597" w:rsidP="00A02C8F">
      <w:pPr>
        <w:pStyle w:val="Heading3"/>
      </w:pPr>
      <w:r w:rsidRPr="00DC5391">
        <w:t xml:space="preserve">lodge service requests for your </w:t>
      </w:r>
      <w:r>
        <w:t>In-scope Service</w:t>
      </w:r>
      <w:r w:rsidRPr="00DC5391">
        <w:t>s</w:t>
      </w:r>
      <w:r w:rsidR="002B6594">
        <w:t>;</w:t>
      </w:r>
    </w:p>
    <w:p w14:paraId="12FCFC3C" w14:textId="77777777" w:rsidR="00F56597" w:rsidRPr="00DC5391" w:rsidRDefault="00F56597" w:rsidP="00A02C8F">
      <w:pPr>
        <w:pStyle w:val="Heading3"/>
      </w:pPr>
      <w:r w:rsidRPr="00DC5391">
        <w:t xml:space="preserve">lodge </w:t>
      </w:r>
      <w:r w:rsidR="00AD70DF">
        <w:t xml:space="preserve">a Minor Incident </w:t>
      </w:r>
      <w:r w:rsidR="002B6594">
        <w:t xml:space="preserve">relating to </w:t>
      </w:r>
      <w:r w:rsidRPr="00DC5391">
        <w:t xml:space="preserve">your </w:t>
      </w:r>
      <w:r>
        <w:t>In-scope Service</w:t>
      </w:r>
      <w:r w:rsidRPr="00DC5391">
        <w:t xml:space="preserve">s; </w:t>
      </w:r>
    </w:p>
    <w:p w14:paraId="0E65449E" w14:textId="77777777" w:rsidR="00F56597" w:rsidRPr="00DC5391" w:rsidRDefault="00F56597" w:rsidP="00A02C8F">
      <w:pPr>
        <w:pStyle w:val="Heading3"/>
      </w:pPr>
      <w:r w:rsidRPr="00DC5391">
        <w:t xml:space="preserve">access an online knowledge centre, including service information, "how to" information, and frequently asked questions relating to your </w:t>
      </w:r>
      <w:r>
        <w:t>In-scope Service</w:t>
      </w:r>
      <w:r w:rsidRPr="00DC5391">
        <w:t xml:space="preserve">s; </w:t>
      </w:r>
    </w:p>
    <w:p w14:paraId="5E062B6D" w14:textId="77777777" w:rsidR="00F56597" w:rsidRPr="00DC5391" w:rsidRDefault="00F56597" w:rsidP="00A02C8F">
      <w:pPr>
        <w:pStyle w:val="Heading3"/>
      </w:pPr>
      <w:r w:rsidRPr="00DC5391">
        <w:t xml:space="preserve">access the most recent and historical monthly reports relating to the </w:t>
      </w:r>
      <w:r w:rsidR="002B6594">
        <w:t>S</w:t>
      </w:r>
      <w:r w:rsidRPr="00DC5391">
        <w:t xml:space="preserve">ervice </w:t>
      </w:r>
      <w:r w:rsidR="002B6594">
        <w:t>D</w:t>
      </w:r>
      <w:r w:rsidRPr="00DC5391">
        <w:t>esk; and</w:t>
      </w:r>
    </w:p>
    <w:p w14:paraId="2DBCE01F" w14:textId="128F9392" w:rsidR="00F56597" w:rsidRPr="00DC5391" w:rsidRDefault="00F56597" w:rsidP="00A02C8F">
      <w:pPr>
        <w:pStyle w:val="Heading3"/>
      </w:pPr>
      <w:r w:rsidRPr="00DC5391">
        <w:t>if we make available such functionality to your use of the Web Portal, allow you to place orders on your account and saving orders as a quote.</w:t>
      </w:r>
    </w:p>
    <w:p w14:paraId="01F4F103" w14:textId="0AF12248" w:rsidR="00F56597" w:rsidRPr="00DC5391" w:rsidRDefault="00ED0B4E" w:rsidP="009A1A5D">
      <w:pPr>
        <w:pStyle w:val="Heading2"/>
      </w:pPr>
      <w:r w:rsidRPr="00ED0B4E">
        <w:t>Subject to the Australian Consumer Law provisions in the General Terms of Our Customer Terms</w:t>
      </w:r>
      <w:r>
        <w:t>,</w:t>
      </w:r>
      <w:r w:rsidRPr="00ED0B4E">
        <w:t xml:space="preserve"> </w:t>
      </w:r>
      <w:r>
        <w:t>y</w:t>
      </w:r>
      <w:r w:rsidR="00F56597" w:rsidRPr="00DC5391">
        <w:t xml:space="preserve">ou acknowledge that due to the nature of the Web Portal, that we cannot guarantee that access to the Web Portal will be continuous, accessible </w:t>
      </w:r>
      <w:proofErr w:type="gramStart"/>
      <w:r w:rsidR="00F56597" w:rsidRPr="00DC5391">
        <w:t>at all times</w:t>
      </w:r>
      <w:proofErr w:type="gramEnd"/>
      <w:r w:rsidR="00F56597" w:rsidRPr="00DC5391">
        <w:t xml:space="preserve"> or fault-free, that any defects will be corrected, or that the services or the servers that make them available are free of viruses.</w:t>
      </w:r>
    </w:p>
    <w:p w14:paraId="2CCEB3A4" w14:textId="77777777" w:rsidR="00F56597" w:rsidRPr="009A1A5D" w:rsidRDefault="00F56597" w:rsidP="009A1A5D">
      <w:pPr>
        <w:pStyle w:val="Heading2"/>
      </w:pPr>
      <w:r w:rsidRPr="009A1A5D">
        <w:t>You must not appoint or allow a third party to access or act on your behalf in relation to the Web Portal</w:t>
      </w:r>
      <w:r w:rsidR="00872B8F" w:rsidRPr="00872B8F">
        <w:t xml:space="preserve"> </w:t>
      </w:r>
      <w:r w:rsidR="00872B8F" w:rsidRPr="009A1A5D">
        <w:t>without our express written permission</w:t>
      </w:r>
      <w:r w:rsidRPr="009A1A5D">
        <w:t>.</w:t>
      </w:r>
    </w:p>
    <w:p w14:paraId="10CE7339" w14:textId="77777777" w:rsidR="00F56597" w:rsidRPr="00B40200" w:rsidRDefault="00F56597" w:rsidP="00F56597">
      <w:pPr>
        <w:pStyle w:val="SubHead"/>
      </w:pPr>
      <w:r>
        <w:t>Service requests p</w:t>
      </w:r>
      <w:r w:rsidRPr="00B40200">
        <w:t>laced Through the Web Portal</w:t>
      </w:r>
    </w:p>
    <w:p w14:paraId="5B27179D" w14:textId="77777777" w:rsidR="00F56597" w:rsidRPr="009A1A5D" w:rsidRDefault="00F56597" w:rsidP="009A1A5D">
      <w:pPr>
        <w:pStyle w:val="Heading2"/>
      </w:pPr>
      <w:r w:rsidRPr="009A1A5D">
        <w:t>You are responsible for ensuring that the person accessing your online account as a User is authorised to do so in the manner authorised by you. You</w:t>
      </w:r>
      <w:r w:rsidR="00050CF8">
        <w:t xml:space="preserve"> represent</w:t>
      </w:r>
      <w:r w:rsidRPr="009A1A5D">
        <w:t xml:space="preserve"> and agree that:</w:t>
      </w:r>
    </w:p>
    <w:p w14:paraId="05C1CDF0" w14:textId="77777777" w:rsidR="00F56597" w:rsidRPr="009A1A5D" w:rsidRDefault="00F56597" w:rsidP="009A1A5D">
      <w:pPr>
        <w:pStyle w:val="Heading3"/>
      </w:pPr>
      <w:r w:rsidRPr="009A1A5D">
        <w:t xml:space="preserve">any person accessing your online account as a User is authorised by you to do so; </w:t>
      </w:r>
    </w:p>
    <w:p w14:paraId="770612E0" w14:textId="77777777" w:rsidR="00F56597" w:rsidRPr="009A1A5D" w:rsidRDefault="00F56597" w:rsidP="009A1A5D">
      <w:pPr>
        <w:pStyle w:val="Heading3"/>
      </w:pPr>
      <w:r w:rsidRPr="009A1A5D">
        <w:t xml:space="preserve">any action, instruction, representation, or information made or given by a person accessing your online account as a User is an action, instruction, </w:t>
      </w:r>
      <w:proofErr w:type="gramStart"/>
      <w:r w:rsidRPr="009A1A5D">
        <w:t>representation</w:t>
      </w:r>
      <w:proofErr w:type="gramEnd"/>
      <w:r w:rsidRPr="009A1A5D">
        <w:t xml:space="preserve"> or information made or given by you; and</w:t>
      </w:r>
    </w:p>
    <w:p w14:paraId="3F0F1F66" w14:textId="77777777" w:rsidR="00F56597" w:rsidRPr="009A1A5D" w:rsidRDefault="00F56597" w:rsidP="009A1A5D">
      <w:pPr>
        <w:pStyle w:val="Heading3"/>
      </w:pPr>
      <w:r w:rsidRPr="009A1A5D">
        <w:t xml:space="preserve">you are liable to pay for all orders placed using your account except if such requests or orders are placed </w:t>
      </w:r>
      <w:proofErr w:type="gramStart"/>
      <w:r w:rsidRPr="009A1A5D">
        <w:t>as a result of</w:t>
      </w:r>
      <w:proofErr w:type="gramEnd"/>
      <w:r w:rsidRPr="009A1A5D">
        <w:t xml:space="preserve"> our negligence or error.</w:t>
      </w:r>
    </w:p>
    <w:p w14:paraId="423467FE" w14:textId="77777777" w:rsidR="00F56597" w:rsidRPr="00F56597" w:rsidRDefault="00F56597" w:rsidP="00F56597">
      <w:pPr>
        <w:pStyle w:val="Heading2"/>
      </w:pPr>
      <w:r w:rsidRPr="00F56597">
        <w:t xml:space="preserve">A person accesses your online account as a User if that person does so </w:t>
      </w:r>
      <w:proofErr w:type="gramStart"/>
      <w:r w:rsidRPr="00F56597">
        <w:t>using</w:t>
      </w:r>
      <w:proofErr w:type="gramEnd"/>
      <w:r w:rsidRPr="00F56597">
        <w:t xml:space="preserve"> </w:t>
      </w:r>
      <w:r w:rsidR="009D04AB">
        <w:t>authentication credentials we have provided to you or otherwise agreed with you (for example, a username &amp; password)</w:t>
      </w:r>
      <w:r w:rsidRPr="00F56597">
        <w:t xml:space="preserve">. You acknowledge that we cannot verify whether access by </w:t>
      </w:r>
      <w:r w:rsidR="00D35528">
        <w:t xml:space="preserve">the </w:t>
      </w:r>
      <w:r w:rsidRPr="00F56597">
        <w:t xml:space="preserve">person quoting </w:t>
      </w:r>
      <w:r w:rsidR="00D35528">
        <w:t xml:space="preserve">accurate authentication credentials </w:t>
      </w:r>
      <w:r w:rsidRPr="00F56597">
        <w:t>is authorised by you to do so.</w:t>
      </w:r>
    </w:p>
    <w:p w14:paraId="6F86503D" w14:textId="77777777" w:rsidR="00F56597" w:rsidRPr="00F56597" w:rsidRDefault="00F56597" w:rsidP="00F56597">
      <w:pPr>
        <w:pStyle w:val="Heading2"/>
      </w:pPr>
      <w:r w:rsidRPr="00F56597">
        <w:t>You are responsible for the accuracy and completeness of order details (including delivery) provided to us. We will not be responsible or liable for any incorrect orders placed by you, or a User using the Web Portal.</w:t>
      </w:r>
    </w:p>
    <w:p w14:paraId="0EC1339E" w14:textId="54C6A8E9" w:rsidR="00F56597" w:rsidRPr="00F56597" w:rsidRDefault="00F56597" w:rsidP="00F56597">
      <w:pPr>
        <w:pStyle w:val="Heading2"/>
      </w:pPr>
      <w:r w:rsidRPr="00F56597">
        <w:t>You acknowledge that any prices we display on the Web Portal together with the charges for In-scope Services set out in your Agreement with us at the time you place an order are the prices that you will be charged for the In-scope Services that you order</w:t>
      </w:r>
      <w:r w:rsidR="005B45CC">
        <w:t xml:space="preserve"> unless otherwise agreed</w:t>
      </w:r>
      <w:r w:rsidRPr="00F56597">
        <w:t>.</w:t>
      </w:r>
    </w:p>
    <w:p w14:paraId="24E5E6D4" w14:textId="77777777" w:rsidR="00F56597" w:rsidRPr="00F56597" w:rsidRDefault="00F56597" w:rsidP="00F56597">
      <w:pPr>
        <w:pStyle w:val="Heading2"/>
      </w:pPr>
      <w:bookmarkStart w:id="26" w:name="_Ref480824879"/>
      <w:r w:rsidRPr="00F56597">
        <w:t>You agree that by submitting an order, we do not guarantee that we will supply the products or services to you. The provision of some products or services will be subject (amongst other things) to its availability.</w:t>
      </w:r>
      <w:bookmarkEnd w:id="26"/>
    </w:p>
    <w:p w14:paraId="22D50FDC" w14:textId="77777777" w:rsidR="00F56597" w:rsidRPr="00F56597" w:rsidRDefault="00F56597" w:rsidP="00F56597">
      <w:pPr>
        <w:pStyle w:val="Heading2"/>
      </w:pPr>
      <w:r w:rsidRPr="00F56597">
        <w:t>You acknowledge that there may be delays in the provision of In-scope Services to you which are ordered via the Web Portal.</w:t>
      </w:r>
    </w:p>
    <w:p w14:paraId="62CE3147" w14:textId="77777777" w:rsidR="00F56597" w:rsidRPr="00F56597" w:rsidRDefault="00F56597" w:rsidP="00F56597">
      <w:pPr>
        <w:pStyle w:val="Heading2"/>
      </w:pPr>
      <w:r w:rsidRPr="00F56597">
        <w:t xml:space="preserve">You must keep a copy of the Telstra Reference Number generated by submitting your order and you must quote the Telstra Reference Number to us </w:t>
      </w:r>
      <w:r w:rsidR="00F94F4E">
        <w:t xml:space="preserve">in connection with your request </w:t>
      </w:r>
      <w:r w:rsidRPr="00F56597">
        <w:t>if we ask you to do so.</w:t>
      </w:r>
    </w:p>
    <w:p w14:paraId="1B456024" w14:textId="77777777" w:rsidR="00F56597" w:rsidRPr="00F56597" w:rsidRDefault="00F56597" w:rsidP="00F56597">
      <w:pPr>
        <w:pStyle w:val="Heading2"/>
      </w:pPr>
      <w:r w:rsidRPr="00F56597">
        <w:t xml:space="preserve">You must notify us immediately if you wish to change any information provided to us in your order. Subject to clause </w:t>
      </w:r>
      <w:r w:rsidRPr="00F56597">
        <w:fldChar w:fldCharType="begin"/>
      </w:r>
      <w:r w:rsidRPr="00F56597">
        <w:instrText xml:space="preserve"> REF _Ref480824879 \n \h </w:instrText>
      </w:r>
      <w:r>
        <w:instrText xml:space="preserve"> \* MERGEFORMAT </w:instrText>
      </w:r>
      <w:r w:rsidRPr="00F56597">
        <w:fldChar w:fldCharType="separate"/>
      </w:r>
      <w:r w:rsidR="00F672EB">
        <w:t>4.13</w:t>
      </w:r>
      <w:r w:rsidRPr="00F56597">
        <w:fldChar w:fldCharType="end"/>
      </w:r>
      <w:r w:rsidRPr="00F56597">
        <w:t xml:space="preserve"> above, we will endeavour to supply the In-scope Services ordered by you in accordance with the updated order, where possible.</w:t>
      </w:r>
    </w:p>
    <w:p w14:paraId="4F85F568" w14:textId="4174FA53" w:rsidR="00F56597" w:rsidRPr="00F56597" w:rsidRDefault="00F56597" w:rsidP="00F56597">
      <w:pPr>
        <w:pStyle w:val="Heading2"/>
      </w:pPr>
      <w:r w:rsidRPr="00F56597">
        <w:t xml:space="preserve">You may cancel your order at any time before it has been provisioned, by giving us notice in writing. </w:t>
      </w:r>
      <w:proofErr w:type="gramStart"/>
      <w:r w:rsidRPr="00F56597">
        <w:t>However</w:t>
      </w:r>
      <w:proofErr w:type="gramEnd"/>
      <w:r w:rsidRPr="00F56597">
        <w:t xml:space="preserve"> we may charge you any </w:t>
      </w:r>
      <w:r w:rsidR="008B31F9">
        <w:t>reasonable</w:t>
      </w:r>
      <w:r w:rsidR="00FE7ECD">
        <w:t xml:space="preserve"> </w:t>
      </w:r>
      <w:r w:rsidRPr="00F56597">
        <w:t>costs we incur</w:t>
      </w:r>
      <w:r w:rsidR="00436FE6">
        <w:t xml:space="preserve"> (and that, as a result of the cancellation, are not reasonably recoverable)</w:t>
      </w:r>
      <w:r w:rsidRPr="00F56597">
        <w:t xml:space="preserve"> in preparing to provide the order to you up to the date we receive your notice, as a reasonable pre-estimate of the loss suffered by us as a result of your cancellation of the order.</w:t>
      </w:r>
    </w:p>
    <w:p w14:paraId="612476B0" w14:textId="77777777" w:rsidR="00F56597" w:rsidRDefault="00F56597" w:rsidP="00F56597">
      <w:pPr>
        <w:pStyle w:val="Heading2"/>
      </w:pPr>
      <w:r w:rsidRPr="00F56597">
        <w:t>You must notify us as soon as reasonably practicable when providing or changing your details for the purposes of using the Web Portal.</w:t>
      </w:r>
    </w:p>
    <w:p w14:paraId="4EEA2AF5" w14:textId="77777777" w:rsidR="001758D7" w:rsidRPr="0048369E" w:rsidRDefault="001758D7" w:rsidP="0048369E">
      <w:pPr>
        <w:pStyle w:val="Heading1"/>
      </w:pPr>
      <w:bookmarkStart w:id="27" w:name="_Ref485858636"/>
      <w:bookmarkStart w:id="28" w:name="_Toc486819584"/>
      <w:r w:rsidRPr="0048369E">
        <w:t>Incident Management</w:t>
      </w:r>
      <w:bookmarkEnd w:id="27"/>
      <w:bookmarkEnd w:id="28"/>
    </w:p>
    <w:p w14:paraId="087EDDDC" w14:textId="77777777" w:rsidR="001758D7" w:rsidRPr="00B85873" w:rsidRDefault="001758D7" w:rsidP="0048369E">
      <w:pPr>
        <w:pStyle w:val="Heading2"/>
      </w:pPr>
      <w:r w:rsidRPr="00956BF1">
        <w:t xml:space="preserve">We will implement an Incident management process that is documented in the </w:t>
      </w:r>
      <w:r>
        <w:t xml:space="preserve">ISM </w:t>
      </w:r>
      <w:r w:rsidRPr="00956BF1">
        <w:t xml:space="preserve">Handbook. All Incidents must be reported and managed according to the process defined in the </w:t>
      </w:r>
      <w:r>
        <w:t>ISM Handbook</w:t>
      </w:r>
      <w:r w:rsidRPr="00956BF1">
        <w:t>.</w:t>
      </w:r>
    </w:p>
    <w:p w14:paraId="06120722" w14:textId="77777777" w:rsidR="001758D7" w:rsidRPr="00B85873" w:rsidRDefault="001758D7" w:rsidP="0048369E">
      <w:pPr>
        <w:pStyle w:val="Heading2"/>
      </w:pPr>
      <w:r w:rsidRPr="00956BF1">
        <w:t xml:space="preserve">All Incidents detected by us or reported to the Service Desk will be raised as an Incident in our </w:t>
      </w:r>
      <w:r>
        <w:t>ISM</w:t>
      </w:r>
      <w:r w:rsidRPr="00956BF1">
        <w:t xml:space="preserve"> Tool. The </w:t>
      </w:r>
      <w:r>
        <w:t>ISM</w:t>
      </w:r>
      <w:r w:rsidRPr="00956BF1">
        <w:t xml:space="preserve"> Tool will be the single source of truth for Incident management.</w:t>
      </w:r>
    </w:p>
    <w:p w14:paraId="7CA85E64" w14:textId="77777777" w:rsidR="001758D7" w:rsidRPr="009119EC" w:rsidRDefault="005D6FF1" w:rsidP="0048369E">
      <w:pPr>
        <w:pStyle w:val="Heading2"/>
      </w:pPr>
      <w:r>
        <w:t>As part of Incident Management, t</w:t>
      </w:r>
      <w:r w:rsidR="001758D7" w:rsidRPr="00956BF1">
        <w:t>he Service Desk w</w:t>
      </w:r>
      <w:r w:rsidR="001758D7" w:rsidRPr="009119EC">
        <w:t>ill:</w:t>
      </w:r>
    </w:p>
    <w:p w14:paraId="623A27A0" w14:textId="77777777" w:rsidR="001758D7" w:rsidRPr="005C6CCD" w:rsidRDefault="001758D7" w:rsidP="0048369E">
      <w:pPr>
        <w:pStyle w:val="Heading3"/>
      </w:pPr>
      <w:r w:rsidRPr="005C6CCD">
        <w:t>log and provide a job reference number for each Incident;</w:t>
      </w:r>
    </w:p>
    <w:p w14:paraId="6C0F045B" w14:textId="77777777" w:rsidR="001758D7" w:rsidRPr="005C6CCD" w:rsidRDefault="001758D7" w:rsidP="0048369E">
      <w:pPr>
        <w:pStyle w:val="Heading3"/>
      </w:pPr>
      <w:r w:rsidRPr="005C6CCD">
        <w:t xml:space="preserve">allocate a </w:t>
      </w:r>
      <w:r>
        <w:t>Priority Level</w:t>
      </w:r>
      <w:r w:rsidRPr="005C6CCD">
        <w:t xml:space="preserve"> to each Incident as appropriate;</w:t>
      </w:r>
    </w:p>
    <w:p w14:paraId="17271218" w14:textId="77777777" w:rsidR="001758D7" w:rsidRPr="005C6CCD" w:rsidRDefault="001758D7" w:rsidP="0048369E">
      <w:pPr>
        <w:pStyle w:val="Heading3"/>
      </w:pPr>
      <w:r w:rsidRPr="005C6CCD">
        <w:t xml:space="preserve">monitor, track and co-ordinate each Incident until it is </w:t>
      </w:r>
      <w:proofErr w:type="gramStart"/>
      <w:r w:rsidRPr="005C6CCD">
        <w:t>Resolved;</w:t>
      </w:r>
      <w:proofErr w:type="gramEnd"/>
      <w:r w:rsidRPr="005C6CCD">
        <w:t xml:space="preserve"> </w:t>
      </w:r>
    </w:p>
    <w:p w14:paraId="50EDE016" w14:textId="77777777" w:rsidR="001758D7" w:rsidRPr="005C6CCD" w:rsidRDefault="001758D7" w:rsidP="0048369E">
      <w:pPr>
        <w:pStyle w:val="Heading3"/>
      </w:pPr>
      <w:r w:rsidRPr="005C6CCD">
        <w:t>provide regular status updates for each Incident;</w:t>
      </w:r>
    </w:p>
    <w:p w14:paraId="50BA7CC4" w14:textId="77777777" w:rsidR="001758D7" w:rsidRPr="005C6CCD" w:rsidRDefault="001758D7" w:rsidP="0048369E">
      <w:pPr>
        <w:pStyle w:val="Heading3"/>
      </w:pPr>
      <w:r w:rsidRPr="005C6CCD">
        <w:t>promptly advise you of Resolution of the Incident; and</w:t>
      </w:r>
    </w:p>
    <w:p w14:paraId="1D513DB4" w14:textId="77777777" w:rsidR="001758D7" w:rsidRPr="005C6CCD" w:rsidRDefault="001758D7" w:rsidP="0048369E">
      <w:pPr>
        <w:pStyle w:val="Heading3"/>
      </w:pPr>
      <w:r w:rsidRPr="005C6CCD">
        <w:t>close the Incident after it has been Resolved.</w:t>
      </w:r>
    </w:p>
    <w:p w14:paraId="50B8D557" w14:textId="77777777" w:rsidR="001758D7" w:rsidRPr="00B85873" w:rsidRDefault="001758D7" w:rsidP="0048369E">
      <w:pPr>
        <w:pStyle w:val="Heading2"/>
      </w:pPr>
      <w:r w:rsidRPr="00956BF1">
        <w:t xml:space="preserve">We will investigate and diagnose the Incident (either remotely or by attending on-site). Where on-site attendance is required to resolve an Incident, we will arrange a suitable time to attend your Premises with </w:t>
      </w:r>
      <w:r>
        <w:t>you</w:t>
      </w:r>
      <w:r w:rsidRPr="00956BF1">
        <w:t>.</w:t>
      </w:r>
    </w:p>
    <w:p w14:paraId="5DDD5839" w14:textId="77777777" w:rsidR="001758D7" w:rsidRDefault="001758D7" w:rsidP="0048369E">
      <w:pPr>
        <w:pStyle w:val="Heading2"/>
      </w:pPr>
      <w:r w:rsidRPr="00956BF1">
        <w:t xml:space="preserve">Where we reasonably determine that an Incident does not to arise from or relate to the </w:t>
      </w:r>
      <w:r>
        <w:t>In-scope Service</w:t>
      </w:r>
      <w:r w:rsidRPr="00956BF1">
        <w:t xml:space="preserve">s, we will promptly advise you, and will work collaboratively with any relevant third party suppliers to resolve the Incident. Where we reasonably determine that an Incident has not arisen from or is not related to the </w:t>
      </w:r>
      <w:r>
        <w:t>In-scope Service</w:t>
      </w:r>
      <w:r w:rsidRPr="00956BF1">
        <w:t>s, or has been caused by you (or your Personnel), we may charge you our reasonable costs incurred in relation to identifying, investigating and Resolving the Incident</w:t>
      </w:r>
      <w:r>
        <w:t xml:space="preserve"> (including any collaboration with Third Party Suppliers)</w:t>
      </w:r>
      <w:r w:rsidRPr="00956BF1">
        <w:t>.</w:t>
      </w:r>
    </w:p>
    <w:p w14:paraId="0F8E78F2" w14:textId="77777777" w:rsidR="001758D7" w:rsidRDefault="001758D7" w:rsidP="0048369E">
      <w:pPr>
        <w:pStyle w:val="Heading2"/>
      </w:pPr>
      <w:r w:rsidRPr="00956BF1">
        <w:t xml:space="preserve">If we reasonably believe that the Incident cannot be Resolved, we will communicate the reasons why we believe </w:t>
      </w:r>
      <w:r>
        <w:t>the Incident cannot be Resolved.</w:t>
      </w:r>
    </w:p>
    <w:p w14:paraId="67C2A784" w14:textId="77777777" w:rsidR="001758D7" w:rsidRDefault="001758D7" w:rsidP="0048369E">
      <w:pPr>
        <w:pStyle w:val="Heading2"/>
      </w:pPr>
      <w:r w:rsidRPr="00956BF1">
        <w:t>When reporting Incidents via the Service Desk, you must provide us with the following information:</w:t>
      </w:r>
    </w:p>
    <w:p w14:paraId="31A1575C" w14:textId="77777777" w:rsidR="001758D7" w:rsidRPr="009119EC" w:rsidRDefault="001758D7" w:rsidP="0048369E">
      <w:pPr>
        <w:pStyle w:val="Heading3"/>
      </w:pPr>
      <w:r w:rsidRPr="009119EC">
        <w:t xml:space="preserve">the Full National Number or service number for all impacted </w:t>
      </w:r>
      <w:r>
        <w:t>In-scope Service</w:t>
      </w:r>
      <w:r w:rsidRPr="009119EC">
        <w:t>s;</w:t>
      </w:r>
    </w:p>
    <w:p w14:paraId="15A12730" w14:textId="77777777" w:rsidR="001758D7" w:rsidRPr="009119EC" w:rsidRDefault="001758D7" w:rsidP="0048369E">
      <w:pPr>
        <w:pStyle w:val="Heading3"/>
      </w:pPr>
      <w:r w:rsidRPr="009119EC">
        <w:t>details of the Incident (for example, symptoms and degree of impact);</w:t>
      </w:r>
    </w:p>
    <w:p w14:paraId="626909D8" w14:textId="77777777" w:rsidR="001758D7" w:rsidRPr="009119EC" w:rsidRDefault="001758D7" w:rsidP="0048369E">
      <w:pPr>
        <w:pStyle w:val="Heading3"/>
      </w:pPr>
      <w:r w:rsidRPr="009119EC">
        <w:t>impacted areas of your business; and</w:t>
      </w:r>
    </w:p>
    <w:p w14:paraId="72AB8027" w14:textId="77777777" w:rsidR="001758D7" w:rsidRPr="009119EC" w:rsidRDefault="001758D7" w:rsidP="0048369E">
      <w:pPr>
        <w:pStyle w:val="Heading3"/>
      </w:pPr>
      <w:r w:rsidRPr="009119EC">
        <w:t>contact details for Incident management (including the address of your Premise and your contact person’s details where on-site attendance may be required).</w:t>
      </w:r>
    </w:p>
    <w:p w14:paraId="38604C75" w14:textId="77777777" w:rsidR="001758D7" w:rsidRPr="009119EC" w:rsidRDefault="001758D7" w:rsidP="0048369E">
      <w:pPr>
        <w:pStyle w:val="Heading2"/>
      </w:pPr>
      <w:r>
        <w:t xml:space="preserve">The following </w:t>
      </w:r>
      <w:r w:rsidR="00F73621">
        <w:t xml:space="preserve">functionality will be provided as part of </w:t>
      </w:r>
      <w:r>
        <w:t>Incident Management</w:t>
      </w:r>
      <w:r>
        <w:rPr>
          <w:lang w:val="en-GB"/>
        </w:rPr>
        <w:t>:</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24"/>
        <w:gridCol w:w="5671"/>
      </w:tblGrid>
      <w:tr w:rsidR="00F73621" w14:paraId="73005D37" w14:textId="77777777" w:rsidTr="00905A99">
        <w:trPr>
          <w:cantSplit/>
          <w:tblHeader/>
        </w:trPr>
        <w:tc>
          <w:tcPr>
            <w:tcW w:w="1662" w:type="pct"/>
            <w:shd w:val="clear" w:color="auto" w:fill="007AB0"/>
          </w:tcPr>
          <w:p w14:paraId="6161FABF" w14:textId="77777777" w:rsidR="00F73621" w:rsidRPr="00E53F18" w:rsidRDefault="00F73621" w:rsidP="004D2931">
            <w:pPr>
              <w:pStyle w:val="OCTableHeadings"/>
            </w:pPr>
            <w:r w:rsidRPr="00E53F18">
              <w:t>Attribute</w:t>
            </w:r>
          </w:p>
        </w:tc>
        <w:tc>
          <w:tcPr>
            <w:tcW w:w="3338" w:type="pct"/>
            <w:shd w:val="clear" w:color="auto" w:fill="007AB0"/>
          </w:tcPr>
          <w:p w14:paraId="06DD4DDA" w14:textId="77777777" w:rsidR="00F73621" w:rsidRPr="00E53F18" w:rsidRDefault="00F73621" w:rsidP="004D2931">
            <w:pPr>
              <w:pStyle w:val="OCTableHeadings"/>
            </w:pPr>
            <w:r w:rsidRPr="00E53F18">
              <w:t>Detail</w:t>
            </w:r>
          </w:p>
        </w:tc>
      </w:tr>
      <w:tr w:rsidR="00F73621" w14:paraId="2080810B" w14:textId="77777777" w:rsidTr="00742B24">
        <w:trPr>
          <w:cantSplit/>
        </w:trPr>
        <w:tc>
          <w:tcPr>
            <w:tcW w:w="1662" w:type="pct"/>
            <w:shd w:val="clear" w:color="auto" w:fill="E9E9E9"/>
          </w:tcPr>
          <w:p w14:paraId="7004E995" w14:textId="77777777" w:rsidR="00F73621" w:rsidRDefault="00F73621" w:rsidP="004D2931">
            <w:pPr>
              <w:pStyle w:val="OCTableText"/>
            </w:pPr>
            <w:r w:rsidRPr="00AC5921">
              <w:t>Incident Detection and Recording</w:t>
            </w:r>
          </w:p>
        </w:tc>
        <w:tc>
          <w:tcPr>
            <w:tcW w:w="3338" w:type="pct"/>
            <w:shd w:val="clear" w:color="auto" w:fill="E9E9E9"/>
          </w:tcPr>
          <w:p w14:paraId="0781FAD5" w14:textId="77777777" w:rsidR="00F73621" w:rsidRDefault="00F73621" w:rsidP="007B39EE">
            <w:pPr>
              <w:pStyle w:val="OCTableText"/>
            </w:pPr>
            <w:r>
              <w:t xml:space="preserve">Ability to </w:t>
            </w:r>
            <w:r w:rsidR="007B39EE">
              <w:t xml:space="preserve">report </w:t>
            </w:r>
            <w:r>
              <w:t>an incident via the agreed Contact Channels.</w:t>
            </w:r>
          </w:p>
        </w:tc>
      </w:tr>
      <w:tr w:rsidR="00F73621" w14:paraId="61BF33C0" w14:textId="77777777" w:rsidTr="00742B24">
        <w:trPr>
          <w:cantSplit/>
        </w:trPr>
        <w:tc>
          <w:tcPr>
            <w:tcW w:w="1662" w:type="pct"/>
            <w:vMerge w:val="restart"/>
            <w:shd w:val="clear" w:color="auto" w:fill="E9E9E9"/>
          </w:tcPr>
          <w:p w14:paraId="7CE3374B" w14:textId="77777777" w:rsidR="00F73621" w:rsidRPr="00AC5921" w:rsidRDefault="00F73621" w:rsidP="004D2931">
            <w:pPr>
              <w:pStyle w:val="OCTableText"/>
            </w:pPr>
            <w:r w:rsidRPr="00112D66">
              <w:t>Ownership, Monitoring, Tracking and Communication</w:t>
            </w:r>
          </w:p>
        </w:tc>
        <w:tc>
          <w:tcPr>
            <w:tcW w:w="3338" w:type="pct"/>
            <w:shd w:val="clear" w:color="auto" w:fill="E9E9E9"/>
          </w:tcPr>
          <w:p w14:paraId="33CD3035" w14:textId="77777777" w:rsidR="00F73621" w:rsidRPr="0064359D" w:rsidRDefault="00F73621" w:rsidP="004D2931">
            <w:pPr>
              <w:pStyle w:val="OCTableText"/>
            </w:pPr>
            <w:r w:rsidRPr="0064359D">
              <w:t xml:space="preserve">Recording incident details </w:t>
            </w:r>
            <w:proofErr w:type="gramStart"/>
            <w:r w:rsidRPr="0064359D">
              <w:t>including:</w:t>
            </w:r>
            <w:proofErr w:type="gramEnd"/>
            <w:r w:rsidRPr="0064359D">
              <w:t xml:space="preserve"> categorisation; priority assignment; diagnosis and resolution.</w:t>
            </w:r>
          </w:p>
        </w:tc>
      </w:tr>
      <w:tr w:rsidR="00F73621" w14:paraId="36A56F46" w14:textId="77777777" w:rsidTr="00742B24">
        <w:trPr>
          <w:cantSplit/>
        </w:trPr>
        <w:tc>
          <w:tcPr>
            <w:tcW w:w="1662" w:type="pct"/>
            <w:vMerge/>
            <w:shd w:val="clear" w:color="auto" w:fill="E9E9E9"/>
          </w:tcPr>
          <w:p w14:paraId="7F312610" w14:textId="77777777" w:rsidR="00F73621" w:rsidRPr="00112D66" w:rsidRDefault="00F73621" w:rsidP="004D2931">
            <w:pPr>
              <w:pStyle w:val="OCTableText"/>
            </w:pPr>
          </w:p>
        </w:tc>
        <w:tc>
          <w:tcPr>
            <w:tcW w:w="3338" w:type="pct"/>
            <w:shd w:val="clear" w:color="auto" w:fill="E9E9E9"/>
          </w:tcPr>
          <w:p w14:paraId="1B8E216F" w14:textId="77777777" w:rsidR="00F73621" w:rsidRPr="0064359D" w:rsidRDefault="00F73621" w:rsidP="004D2931">
            <w:pPr>
              <w:pStyle w:val="OCTableText"/>
            </w:pPr>
            <w:r w:rsidRPr="0064359D">
              <w:t>Provide status information to customers on progress of incidents at the agreed timeframes</w:t>
            </w:r>
          </w:p>
        </w:tc>
      </w:tr>
      <w:tr w:rsidR="00F73621" w14:paraId="50560EA8" w14:textId="77777777" w:rsidTr="00742B24">
        <w:trPr>
          <w:cantSplit/>
        </w:trPr>
        <w:tc>
          <w:tcPr>
            <w:tcW w:w="1662" w:type="pct"/>
            <w:shd w:val="clear" w:color="auto" w:fill="E9E9E9"/>
          </w:tcPr>
          <w:p w14:paraId="03AAA301" w14:textId="77777777" w:rsidR="00F73621" w:rsidRPr="00112D66" w:rsidRDefault="00F73621" w:rsidP="004D2931">
            <w:pPr>
              <w:pStyle w:val="OCTableText"/>
            </w:pPr>
            <w:r>
              <w:t>Classification and Initial Support</w:t>
            </w:r>
          </w:p>
        </w:tc>
        <w:tc>
          <w:tcPr>
            <w:tcW w:w="3338" w:type="pct"/>
            <w:shd w:val="clear" w:color="auto" w:fill="E9E9E9"/>
          </w:tcPr>
          <w:p w14:paraId="443C1748" w14:textId="77777777" w:rsidR="00F73621" w:rsidRPr="002C03BE" w:rsidRDefault="00F73621" w:rsidP="00F73621">
            <w:pPr>
              <w:pStyle w:val="OCTableText"/>
              <w:rPr>
                <w:lang w:val="en-AU"/>
              </w:rPr>
            </w:pPr>
            <w:r>
              <w:rPr>
                <w:lang w:val="en-AU"/>
              </w:rPr>
              <w:t xml:space="preserve">Allocate a </w:t>
            </w:r>
            <w:r>
              <w:t>Priority Level</w:t>
            </w:r>
            <w:r w:rsidRPr="005C6CCD">
              <w:t xml:space="preserve"> </w:t>
            </w:r>
            <w:r>
              <w:t>to the Incident</w:t>
            </w:r>
            <w:r w:rsidRPr="00D73245">
              <w:rPr>
                <w:lang w:val="en-AU"/>
              </w:rPr>
              <w:t xml:space="preserve">. Priorities are dynamic and may be changed during the life of the incident. </w:t>
            </w:r>
            <w:r>
              <w:rPr>
                <w:lang w:val="en-AU"/>
              </w:rPr>
              <w:t>The Incident is assigned to the appropriate resolver group.</w:t>
            </w:r>
          </w:p>
        </w:tc>
      </w:tr>
      <w:tr w:rsidR="00F73621" w14:paraId="688CE8F5" w14:textId="77777777" w:rsidTr="00742B24">
        <w:trPr>
          <w:cantSplit/>
        </w:trPr>
        <w:tc>
          <w:tcPr>
            <w:tcW w:w="1662" w:type="pct"/>
            <w:shd w:val="clear" w:color="auto" w:fill="E9E9E9"/>
          </w:tcPr>
          <w:p w14:paraId="107D1348" w14:textId="77777777" w:rsidR="00F73621" w:rsidRDefault="00F73621" w:rsidP="004D2931">
            <w:pPr>
              <w:pStyle w:val="OCTableText"/>
            </w:pPr>
            <w:r w:rsidRPr="000D662A">
              <w:t>Investigation and Diagnosis</w:t>
            </w:r>
          </w:p>
        </w:tc>
        <w:tc>
          <w:tcPr>
            <w:tcW w:w="3338" w:type="pct"/>
            <w:shd w:val="clear" w:color="auto" w:fill="E9E9E9"/>
          </w:tcPr>
          <w:p w14:paraId="2959793D" w14:textId="77777777" w:rsidR="00F73621" w:rsidRPr="002C03BE" w:rsidRDefault="00F73621" w:rsidP="00F73621">
            <w:pPr>
              <w:pStyle w:val="OCTableText"/>
            </w:pPr>
            <w:r w:rsidRPr="00241CF2">
              <w:t xml:space="preserve">Collect and analyse </w:t>
            </w:r>
            <w:r>
              <w:t xml:space="preserve">provided and available information to </w:t>
            </w:r>
            <w:r w:rsidRPr="00241CF2">
              <w:rPr>
                <w:lang w:val="en-AU"/>
              </w:rPr>
              <w:t xml:space="preserve">identify </w:t>
            </w:r>
            <w:r>
              <w:rPr>
                <w:lang w:val="en-AU"/>
              </w:rPr>
              <w:t>one or more solutions or workarounds</w:t>
            </w:r>
            <w:r w:rsidRPr="00241CF2">
              <w:t>.</w:t>
            </w:r>
          </w:p>
        </w:tc>
      </w:tr>
      <w:tr w:rsidR="00F73621" w14:paraId="707F22B0" w14:textId="77777777" w:rsidTr="00742B24">
        <w:trPr>
          <w:cantSplit/>
        </w:trPr>
        <w:tc>
          <w:tcPr>
            <w:tcW w:w="1662" w:type="pct"/>
            <w:shd w:val="clear" w:color="auto" w:fill="E9E9E9"/>
          </w:tcPr>
          <w:p w14:paraId="00D1EA01" w14:textId="77777777" w:rsidR="00F73621" w:rsidRPr="000D662A" w:rsidRDefault="00F73621" w:rsidP="004D2931">
            <w:pPr>
              <w:pStyle w:val="OCTableText"/>
            </w:pPr>
            <w:r>
              <w:t>Resolution and Recovery</w:t>
            </w:r>
          </w:p>
        </w:tc>
        <w:tc>
          <w:tcPr>
            <w:tcW w:w="3338" w:type="pct"/>
            <w:shd w:val="clear" w:color="auto" w:fill="E9E9E9"/>
          </w:tcPr>
          <w:p w14:paraId="100AEA87" w14:textId="77777777" w:rsidR="00F73621" w:rsidRDefault="00F73621" w:rsidP="004D2931">
            <w:pPr>
              <w:pStyle w:val="OCPointsBulletsLevel1"/>
              <w:ind w:left="567" w:hanging="567"/>
            </w:pPr>
            <w:r w:rsidRPr="00EF5760">
              <w:t xml:space="preserve">Assess </w:t>
            </w:r>
            <w:r>
              <w:t xml:space="preserve">and implement actions to </w:t>
            </w:r>
            <w:proofErr w:type="gramStart"/>
            <w:r>
              <w:t>Resolution</w:t>
            </w:r>
            <w:proofErr w:type="gramEnd"/>
          </w:p>
          <w:p w14:paraId="0DD3FF6F" w14:textId="77777777" w:rsidR="00F73621" w:rsidRDefault="00F73621" w:rsidP="004D2931">
            <w:pPr>
              <w:pStyle w:val="OCPointsBulletsLevel1"/>
              <w:ind w:left="567" w:hanging="567"/>
            </w:pPr>
            <w:r w:rsidRPr="00EF5760">
              <w:rPr>
                <w:lang w:val="en-AU"/>
              </w:rPr>
              <w:t xml:space="preserve">Escalate </w:t>
            </w:r>
          </w:p>
          <w:p w14:paraId="18FB01C2" w14:textId="77777777" w:rsidR="00F73621" w:rsidRDefault="00F73621" w:rsidP="004D2931">
            <w:pPr>
              <w:pStyle w:val="OCPointsBulletsLevel1"/>
              <w:ind w:left="567" w:hanging="567"/>
            </w:pPr>
            <w:r w:rsidRPr="00EF5760">
              <w:t>Record all events and actions in the Incident record.</w:t>
            </w:r>
          </w:p>
        </w:tc>
      </w:tr>
      <w:tr w:rsidR="00F73621" w14:paraId="4F8CC176" w14:textId="77777777" w:rsidTr="00742B24">
        <w:trPr>
          <w:cantSplit/>
        </w:trPr>
        <w:tc>
          <w:tcPr>
            <w:tcW w:w="1662" w:type="pct"/>
            <w:shd w:val="clear" w:color="auto" w:fill="E9E9E9"/>
          </w:tcPr>
          <w:p w14:paraId="5862ACC4" w14:textId="77777777" w:rsidR="00F73621" w:rsidRDefault="00F73621" w:rsidP="004D2931">
            <w:pPr>
              <w:pStyle w:val="OCTableText"/>
            </w:pPr>
            <w:r>
              <w:t>Incident Closure</w:t>
            </w:r>
          </w:p>
        </w:tc>
        <w:tc>
          <w:tcPr>
            <w:tcW w:w="3338" w:type="pct"/>
            <w:shd w:val="clear" w:color="auto" w:fill="E9E9E9"/>
          </w:tcPr>
          <w:p w14:paraId="5C8AAFF2" w14:textId="77777777" w:rsidR="00F73621" w:rsidRDefault="00F73621" w:rsidP="00AA4653">
            <w:pPr>
              <w:pStyle w:val="OCTableText"/>
            </w:pPr>
            <w:r>
              <w:t xml:space="preserve">Follow agreed incident closure </w:t>
            </w:r>
            <w:r w:rsidR="00AA4653">
              <w:t>process as described in the ISM Handbook.</w:t>
            </w:r>
          </w:p>
        </w:tc>
      </w:tr>
    </w:tbl>
    <w:p w14:paraId="65E6B0F2" w14:textId="77777777" w:rsidR="001758D7" w:rsidRPr="009119EC" w:rsidRDefault="001758D7" w:rsidP="00B95902"/>
    <w:p w14:paraId="5E1F0F06" w14:textId="77777777" w:rsidR="001758D7" w:rsidRPr="005C6CCD" w:rsidRDefault="001758D7" w:rsidP="0048369E">
      <w:pPr>
        <w:pStyle w:val="Heading2"/>
      </w:pPr>
      <w:r>
        <w:rPr>
          <w:lang w:val="en-GB"/>
        </w:rPr>
        <w:t xml:space="preserve">The following </w:t>
      </w:r>
      <w:r w:rsidR="00147BC2">
        <w:rPr>
          <w:lang w:val="en-GB"/>
        </w:rPr>
        <w:t xml:space="preserve">functionality is </w:t>
      </w:r>
      <w:r>
        <w:rPr>
          <w:lang w:val="en-GB"/>
        </w:rPr>
        <w:t xml:space="preserve">excluded </w:t>
      </w:r>
      <w:r>
        <w:t>from Incident Management</w:t>
      </w:r>
      <w:r w:rsidR="00AA4653">
        <w:t xml:space="preserve"> (but may be provided as part of other Service Inclusion</w:t>
      </w:r>
      <w:r w:rsidR="00D82AF7">
        <w:t>s in your ISM Service</w:t>
      </w:r>
      <w:r w:rsidR="00AA4653">
        <w:t>)</w:t>
      </w:r>
      <w:r>
        <w:rPr>
          <w:lang w:val="en-GB"/>
        </w:rPr>
        <w:t>:</w:t>
      </w:r>
    </w:p>
    <w:tbl>
      <w:tblPr>
        <w:tblStyle w:val="TableGrid"/>
        <w:tblW w:w="5003"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61"/>
        <w:gridCol w:w="6839"/>
      </w:tblGrid>
      <w:tr w:rsidR="001758D7" w14:paraId="09AB9BD2" w14:textId="77777777" w:rsidTr="00905A99">
        <w:trPr>
          <w:cantSplit/>
          <w:tblHeader/>
        </w:trPr>
        <w:tc>
          <w:tcPr>
            <w:tcW w:w="977" w:type="pct"/>
            <w:shd w:val="clear" w:color="auto" w:fill="007AB0"/>
          </w:tcPr>
          <w:p w14:paraId="68905496" w14:textId="77777777" w:rsidR="001758D7" w:rsidRPr="00E53F18" w:rsidRDefault="001758D7" w:rsidP="00F73621">
            <w:pPr>
              <w:pStyle w:val="OCTableHeadings"/>
              <w:keepNext w:val="0"/>
            </w:pPr>
            <w:r w:rsidRPr="00E53F18">
              <w:t>Attribute</w:t>
            </w:r>
          </w:p>
        </w:tc>
        <w:tc>
          <w:tcPr>
            <w:tcW w:w="4023" w:type="pct"/>
            <w:shd w:val="clear" w:color="auto" w:fill="007AB0"/>
          </w:tcPr>
          <w:p w14:paraId="0409DE8E" w14:textId="77777777" w:rsidR="001758D7" w:rsidRPr="00E53F18" w:rsidRDefault="001758D7" w:rsidP="00F73621">
            <w:pPr>
              <w:pStyle w:val="OCTableHeadings"/>
              <w:keepNext w:val="0"/>
            </w:pPr>
            <w:r w:rsidRPr="00E53F18">
              <w:t>Detail</w:t>
            </w:r>
          </w:p>
        </w:tc>
      </w:tr>
      <w:tr w:rsidR="001758D7" w14:paraId="35ADF2B8" w14:textId="77777777" w:rsidTr="00121108">
        <w:trPr>
          <w:cantSplit/>
        </w:trPr>
        <w:tc>
          <w:tcPr>
            <w:tcW w:w="977" w:type="pct"/>
            <w:shd w:val="clear" w:color="auto" w:fill="E9E9E9"/>
          </w:tcPr>
          <w:p w14:paraId="17857D8A" w14:textId="77777777" w:rsidR="001758D7" w:rsidRPr="00026CC1" w:rsidRDefault="001758D7" w:rsidP="00F73621">
            <w:pPr>
              <w:pStyle w:val="OCTableText"/>
            </w:pPr>
            <w:r>
              <w:t>Risk Management</w:t>
            </w:r>
          </w:p>
        </w:tc>
        <w:tc>
          <w:tcPr>
            <w:tcW w:w="4023" w:type="pct"/>
            <w:shd w:val="clear" w:color="auto" w:fill="E9E9E9"/>
          </w:tcPr>
          <w:p w14:paraId="772DDE16" w14:textId="77777777" w:rsidR="001758D7" w:rsidRPr="00026CC1" w:rsidRDefault="001F3C1F" w:rsidP="001F3C1F">
            <w:pPr>
              <w:pStyle w:val="OCTableText"/>
            </w:pPr>
            <w:r>
              <w:t xml:space="preserve">Incident Management does not </w:t>
            </w:r>
            <w:r w:rsidR="001758D7">
              <w:t>c</w:t>
            </w:r>
            <w:r w:rsidR="001758D7" w:rsidRPr="009473A3">
              <w:t xml:space="preserve">onduct risk analysis </w:t>
            </w:r>
            <w:r w:rsidR="001758D7">
              <w:t>or</w:t>
            </w:r>
            <w:r w:rsidR="001758D7" w:rsidRPr="009473A3">
              <w:t xml:space="preserve"> develop contingency plans for </w:t>
            </w:r>
            <w:r w:rsidR="001758D7">
              <w:t xml:space="preserve">categories of </w:t>
            </w:r>
            <w:r w:rsidR="001758D7" w:rsidRPr="009473A3">
              <w:t>incident</w:t>
            </w:r>
            <w:r w:rsidR="001758D7">
              <w:t>s.</w:t>
            </w:r>
          </w:p>
        </w:tc>
      </w:tr>
      <w:tr w:rsidR="001758D7" w14:paraId="32A30BEE" w14:textId="77777777" w:rsidTr="00121108">
        <w:trPr>
          <w:cantSplit/>
        </w:trPr>
        <w:tc>
          <w:tcPr>
            <w:tcW w:w="977" w:type="pct"/>
            <w:shd w:val="clear" w:color="auto" w:fill="E9E9E9"/>
          </w:tcPr>
          <w:p w14:paraId="6D455914" w14:textId="77777777" w:rsidR="001758D7" w:rsidRPr="00026CC1" w:rsidRDefault="001758D7" w:rsidP="00F73621">
            <w:pPr>
              <w:pStyle w:val="OCTableText"/>
            </w:pPr>
            <w:r>
              <w:t>Service Continuity A</w:t>
            </w:r>
            <w:r w:rsidRPr="009473A3">
              <w:t>ssurance</w:t>
            </w:r>
          </w:p>
        </w:tc>
        <w:tc>
          <w:tcPr>
            <w:tcW w:w="4023" w:type="pct"/>
            <w:shd w:val="clear" w:color="auto" w:fill="E9E9E9"/>
          </w:tcPr>
          <w:p w14:paraId="1877451C" w14:textId="77777777" w:rsidR="001758D7" w:rsidRPr="00026CC1" w:rsidRDefault="001758D7" w:rsidP="00F73621">
            <w:pPr>
              <w:pStyle w:val="OCTableText"/>
            </w:pPr>
            <w:r>
              <w:t>Incident Management does not implement Service Continuity Plans.</w:t>
            </w:r>
          </w:p>
        </w:tc>
      </w:tr>
      <w:tr w:rsidR="001758D7" w14:paraId="5F88B66D" w14:textId="77777777" w:rsidTr="00121108">
        <w:trPr>
          <w:cantSplit/>
        </w:trPr>
        <w:tc>
          <w:tcPr>
            <w:tcW w:w="977" w:type="pct"/>
            <w:shd w:val="clear" w:color="auto" w:fill="E9E9E9"/>
          </w:tcPr>
          <w:p w14:paraId="340D6B40" w14:textId="77777777" w:rsidR="001758D7" w:rsidRDefault="001758D7" w:rsidP="00F73621">
            <w:pPr>
              <w:pStyle w:val="OCTableText"/>
            </w:pPr>
            <w:r>
              <w:t>Major Incident Review</w:t>
            </w:r>
          </w:p>
        </w:tc>
        <w:tc>
          <w:tcPr>
            <w:tcW w:w="4023" w:type="pct"/>
            <w:shd w:val="clear" w:color="auto" w:fill="E9E9E9"/>
          </w:tcPr>
          <w:p w14:paraId="01D83C2A" w14:textId="77777777" w:rsidR="001758D7" w:rsidRPr="009473A3" w:rsidRDefault="001F3C1F" w:rsidP="001F3C1F">
            <w:pPr>
              <w:pStyle w:val="OCTableText"/>
            </w:pPr>
            <w:r>
              <w:t xml:space="preserve">Major Incident Review is a review of </w:t>
            </w:r>
            <w:r w:rsidRPr="006328AA">
              <w:t xml:space="preserve">actions taken during the handling of </w:t>
            </w:r>
            <w:r>
              <w:t>a</w:t>
            </w:r>
            <w:r w:rsidRPr="006328AA">
              <w:t xml:space="preserve"> Major Incident</w:t>
            </w:r>
            <w:r>
              <w:t xml:space="preserve">. MIR is provided as part of the </w:t>
            </w:r>
            <w:r w:rsidR="001758D7" w:rsidRPr="006328AA">
              <w:t>Major Incident Manage</w:t>
            </w:r>
            <w:r w:rsidR="001758D7">
              <w:t xml:space="preserve">ment </w:t>
            </w:r>
            <w:r>
              <w:t>C</w:t>
            </w:r>
            <w:r w:rsidR="001758D7">
              <w:t>apability</w:t>
            </w:r>
            <w:r>
              <w:t>, not the Incident Management Capability</w:t>
            </w:r>
            <w:r w:rsidR="001758D7" w:rsidRPr="006328AA">
              <w:t>.</w:t>
            </w:r>
          </w:p>
        </w:tc>
      </w:tr>
      <w:tr w:rsidR="001758D7" w14:paraId="00D9A2A0" w14:textId="77777777" w:rsidTr="00121108">
        <w:trPr>
          <w:cantSplit/>
        </w:trPr>
        <w:tc>
          <w:tcPr>
            <w:tcW w:w="977" w:type="pct"/>
            <w:shd w:val="clear" w:color="auto" w:fill="E9E9E9"/>
          </w:tcPr>
          <w:p w14:paraId="1ACB6305" w14:textId="77777777" w:rsidR="001758D7" w:rsidRPr="009473A3" w:rsidRDefault="001758D7" w:rsidP="004D2931">
            <w:pPr>
              <w:pStyle w:val="OCTableText"/>
            </w:pPr>
            <w:r>
              <w:t>Post Incident Review</w:t>
            </w:r>
          </w:p>
        </w:tc>
        <w:tc>
          <w:tcPr>
            <w:tcW w:w="4023" w:type="pct"/>
            <w:shd w:val="clear" w:color="auto" w:fill="E9E9E9"/>
          </w:tcPr>
          <w:p w14:paraId="07A2851F" w14:textId="77777777" w:rsidR="001758D7" w:rsidRPr="00026CC1" w:rsidRDefault="001758D7" w:rsidP="00C079CE">
            <w:pPr>
              <w:pStyle w:val="OCTableText"/>
            </w:pPr>
            <w:r>
              <w:t xml:space="preserve">Incident Management drives the fault to </w:t>
            </w:r>
            <w:r w:rsidR="001D335D">
              <w:t>R</w:t>
            </w:r>
            <w:r>
              <w:t>esolution only</w:t>
            </w:r>
            <w:r w:rsidR="00AA4653">
              <w:t>. Roo</w:t>
            </w:r>
            <w:r>
              <w:t xml:space="preserve">t cause analysis and </w:t>
            </w:r>
            <w:r w:rsidR="00C079CE">
              <w:t xml:space="preserve">activities to address the root cause of </w:t>
            </w:r>
            <w:r w:rsidR="001D335D">
              <w:t xml:space="preserve">recurring incidents </w:t>
            </w:r>
            <w:r>
              <w:t xml:space="preserve">are </w:t>
            </w:r>
            <w:r w:rsidR="001D335D">
              <w:t>part of</w:t>
            </w:r>
            <w:r>
              <w:t xml:space="preserve"> the Problem Management Capability.</w:t>
            </w:r>
          </w:p>
        </w:tc>
      </w:tr>
    </w:tbl>
    <w:p w14:paraId="3840759E" w14:textId="77777777" w:rsidR="001758D7" w:rsidRDefault="001758D7" w:rsidP="001758D7">
      <w:pPr>
        <w:spacing w:after="160" w:line="259" w:lineRule="auto"/>
        <w:rPr>
          <w:b/>
          <w:bCs/>
          <w:caps/>
          <w:szCs w:val="21"/>
        </w:rPr>
      </w:pPr>
    </w:p>
    <w:p w14:paraId="1BED0FA9" w14:textId="77777777" w:rsidR="001758D7" w:rsidRPr="0048369E" w:rsidRDefault="001758D7" w:rsidP="0048369E">
      <w:pPr>
        <w:pStyle w:val="Heading1"/>
      </w:pPr>
      <w:bookmarkStart w:id="29" w:name="_Toc486819585"/>
      <w:r w:rsidRPr="0048369E">
        <w:t xml:space="preserve">Request </w:t>
      </w:r>
      <w:r w:rsidR="002725AA" w:rsidRPr="0048369E">
        <w:t>Fulfilment</w:t>
      </w:r>
      <w:bookmarkEnd w:id="29"/>
    </w:p>
    <w:p w14:paraId="707E7C7D" w14:textId="77777777" w:rsidR="001758D7" w:rsidRPr="00B85873" w:rsidRDefault="005D6FF1" w:rsidP="0048369E">
      <w:pPr>
        <w:pStyle w:val="Heading2"/>
      </w:pPr>
      <w:r>
        <w:t xml:space="preserve">We will implement a service Request Fulfilment </w:t>
      </w:r>
      <w:r w:rsidRPr="00956BF1">
        <w:t xml:space="preserve">process documented in the </w:t>
      </w:r>
      <w:r>
        <w:t>ISM Handbook for end-to-end management of your service Requests.</w:t>
      </w:r>
    </w:p>
    <w:p w14:paraId="3F7ACD28" w14:textId="77777777" w:rsidR="001758D7" w:rsidRPr="00B85873" w:rsidRDefault="001758D7" w:rsidP="0048369E">
      <w:pPr>
        <w:pStyle w:val="Heading2"/>
      </w:pPr>
      <w:r>
        <w:t>As part of Request Fulfilment, t</w:t>
      </w:r>
      <w:r w:rsidRPr="00956BF1">
        <w:t>he Service Desk will:</w:t>
      </w:r>
    </w:p>
    <w:p w14:paraId="651D5A36" w14:textId="77777777" w:rsidR="001758D7" w:rsidRPr="00B85873" w:rsidRDefault="001758D7" w:rsidP="0048369E">
      <w:pPr>
        <w:pStyle w:val="Heading3"/>
      </w:pPr>
      <w:r w:rsidRPr="00956BF1">
        <w:t>identify and log each Request having regard to whether it is a Standard Request or a Non-Standard Request, and manage the Request accordingly;</w:t>
      </w:r>
    </w:p>
    <w:p w14:paraId="321AABED" w14:textId="77777777" w:rsidR="001758D7" w:rsidRPr="00B85873" w:rsidRDefault="001758D7" w:rsidP="0048369E">
      <w:pPr>
        <w:pStyle w:val="Heading3"/>
      </w:pPr>
      <w:r w:rsidRPr="00956BF1">
        <w:t>provide a job reference number for each Request;</w:t>
      </w:r>
    </w:p>
    <w:p w14:paraId="44426290" w14:textId="77777777" w:rsidR="001758D7" w:rsidRPr="00B85873" w:rsidRDefault="001758D7" w:rsidP="0048369E">
      <w:pPr>
        <w:pStyle w:val="Heading3"/>
      </w:pPr>
      <w:r w:rsidRPr="00956BF1">
        <w:t>track and manage each Request until it is Resolved;</w:t>
      </w:r>
    </w:p>
    <w:p w14:paraId="41CC0262" w14:textId="77777777" w:rsidR="001758D7" w:rsidRPr="00B85873" w:rsidRDefault="001758D7" w:rsidP="0048369E">
      <w:pPr>
        <w:pStyle w:val="Heading3"/>
      </w:pPr>
      <w:r w:rsidRPr="00956BF1">
        <w:t>provide regular status updates for each Request; and</w:t>
      </w:r>
    </w:p>
    <w:p w14:paraId="4A843BCC" w14:textId="77777777" w:rsidR="001758D7" w:rsidRDefault="001758D7" w:rsidP="0048369E">
      <w:pPr>
        <w:pStyle w:val="Heading3"/>
      </w:pPr>
      <w:r w:rsidRPr="00956BF1">
        <w:t xml:space="preserve">close each Request after it has been Resolved. </w:t>
      </w:r>
    </w:p>
    <w:p w14:paraId="4DF6E4EA" w14:textId="77777777" w:rsidR="001758D7" w:rsidRDefault="001758D7" w:rsidP="0048369E">
      <w:pPr>
        <w:pStyle w:val="Heading2"/>
      </w:pPr>
      <w:r w:rsidRPr="00956BF1">
        <w:t xml:space="preserve">The Service Desk will only accept and action Requests from Authorised Representatives in accordance with the agreed process in the </w:t>
      </w:r>
      <w:r>
        <w:t>ISM Handbook</w:t>
      </w:r>
      <w:r w:rsidRPr="00956BF1">
        <w:t>.</w:t>
      </w:r>
    </w:p>
    <w:p w14:paraId="13B8BCC0" w14:textId="77777777" w:rsidR="001758D7" w:rsidRDefault="001758D7" w:rsidP="0048369E">
      <w:pPr>
        <w:pStyle w:val="Heading2"/>
      </w:pPr>
      <w:r>
        <w:t xml:space="preserve">The following </w:t>
      </w:r>
      <w:r w:rsidR="00387397">
        <w:t xml:space="preserve">functionality will be provided as part of </w:t>
      </w:r>
      <w:r>
        <w:t>Request Fulfilment:</w:t>
      </w:r>
    </w:p>
    <w:tbl>
      <w:tblPr>
        <w:tblStyle w:val="TableGrid"/>
        <w:tblW w:w="86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1"/>
        <w:gridCol w:w="5217"/>
      </w:tblGrid>
      <w:tr w:rsidR="00147BC2" w14:paraId="2A64B82A" w14:textId="77777777" w:rsidTr="00905A99">
        <w:trPr>
          <w:cantSplit/>
          <w:tblHeader/>
        </w:trPr>
        <w:tc>
          <w:tcPr>
            <w:tcW w:w="3391" w:type="dxa"/>
            <w:shd w:val="clear" w:color="auto" w:fill="007AB0"/>
          </w:tcPr>
          <w:p w14:paraId="312DE020" w14:textId="77777777" w:rsidR="00147BC2" w:rsidRPr="00E53F18" w:rsidRDefault="00147BC2" w:rsidP="004D2931">
            <w:pPr>
              <w:pStyle w:val="OCTableHeadings"/>
            </w:pPr>
            <w:r w:rsidRPr="00E53F18">
              <w:t>Attribute</w:t>
            </w:r>
          </w:p>
        </w:tc>
        <w:tc>
          <w:tcPr>
            <w:tcW w:w="5217" w:type="dxa"/>
            <w:shd w:val="clear" w:color="auto" w:fill="007AB0"/>
          </w:tcPr>
          <w:p w14:paraId="47FC0550" w14:textId="77777777" w:rsidR="00147BC2" w:rsidRPr="00E53F18" w:rsidRDefault="00147BC2" w:rsidP="004D2931">
            <w:pPr>
              <w:pStyle w:val="OCTableHeadings"/>
            </w:pPr>
            <w:r w:rsidRPr="00E53F18">
              <w:t>Detail</w:t>
            </w:r>
          </w:p>
        </w:tc>
      </w:tr>
      <w:tr w:rsidR="00147BC2" w14:paraId="5065F743" w14:textId="77777777" w:rsidTr="00147BC2">
        <w:trPr>
          <w:cantSplit/>
        </w:trPr>
        <w:tc>
          <w:tcPr>
            <w:tcW w:w="3391" w:type="dxa"/>
            <w:vMerge w:val="restart"/>
            <w:shd w:val="clear" w:color="auto" w:fill="E9E9E9"/>
          </w:tcPr>
          <w:p w14:paraId="74F9DE86" w14:textId="77777777" w:rsidR="00147BC2" w:rsidRDefault="00147BC2" w:rsidP="004D2931">
            <w:pPr>
              <w:pStyle w:val="OCTableText"/>
            </w:pPr>
            <w:r>
              <w:t>Service Request Recording and Classification</w:t>
            </w:r>
          </w:p>
        </w:tc>
        <w:tc>
          <w:tcPr>
            <w:tcW w:w="5217" w:type="dxa"/>
            <w:shd w:val="clear" w:color="auto" w:fill="E9E9E9"/>
          </w:tcPr>
          <w:p w14:paraId="30DAAE85" w14:textId="77777777" w:rsidR="00147BC2" w:rsidRDefault="00147BC2" w:rsidP="00147BC2">
            <w:pPr>
              <w:pStyle w:val="OCTableText"/>
            </w:pPr>
            <w:r>
              <w:t xml:space="preserve">Produce and maintain a list (Service Request Catalogue) </w:t>
            </w:r>
            <w:r w:rsidR="00987F3A">
              <w:t>of “standard” service R</w:t>
            </w:r>
            <w:r w:rsidRPr="00B00687">
              <w:t>equests, for which a pre-defined approval process exists</w:t>
            </w:r>
          </w:p>
        </w:tc>
      </w:tr>
      <w:tr w:rsidR="00147BC2" w14:paraId="42459FCD" w14:textId="77777777" w:rsidTr="00147BC2">
        <w:trPr>
          <w:cantSplit/>
        </w:trPr>
        <w:tc>
          <w:tcPr>
            <w:tcW w:w="3391" w:type="dxa"/>
            <w:vMerge/>
            <w:shd w:val="clear" w:color="auto" w:fill="E9E9E9"/>
          </w:tcPr>
          <w:p w14:paraId="72CBA219" w14:textId="77777777" w:rsidR="00147BC2" w:rsidRDefault="00147BC2" w:rsidP="004D2931">
            <w:pPr>
              <w:pStyle w:val="OCTableText"/>
            </w:pPr>
          </w:p>
        </w:tc>
        <w:tc>
          <w:tcPr>
            <w:tcW w:w="5217" w:type="dxa"/>
            <w:shd w:val="clear" w:color="auto" w:fill="E9E9E9"/>
          </w:tcPr>
          <w:p w14:paraId="09169458" w14:textId="77777777" w:rsidR="00147BC2" w:rsidRDefault="00147BC2" w:rsidP="004D2931">
            <w:pPr>
              <w:pStyle w:val="OCTableText"/>
            </w:pPr>
            <w:r>
              <w:t>Acknowledge acceptance (or non-acceptance) of Service Request</w:t>
            </w:r>
          </w:p>
        </w:tc>
      </w:tr>
      <w:tr w:rsidR="00147BC2" w14:paraId="16E89C26" w14:textId="77777777" w:rsidTr="00147BC2">
        <w:trPr>
          <w:cantSplit/>
        </w:trPr>
        <w:tc>
          <w:tcPr>
            <w:tcW w:w="3391" w:type="dxa"/>
            <w:vMerge w:val="restart"/>
            <w:shd w:val="clear" w:color="auto" w:fill="E9E9E9"/>
          </w:tcPr>
          <w:p w14:paraId="04105F48" w14:textId="77777777" w:rsidR="00147BC2" w:rsidRDefault="00147BC2" w:rsidP="004D2931">
            <w:pPr>
              <w:pStyle w:val="OCTableText"/>
            </w:pPr>
            <w:r w:rsidRPr="00611EAC">
              <w:t>Ownership, Monitoring, Tracking and Communication</w:t>
            </w:r>
          </w:p>
        </w:tc>
        <w:tc>
          <w:tcPr>
            <w:tcW w:w="5217" w:type="dxa"/>
            <w:shd w:val="clear" w:color="auto" w:fill="E9E9E9"/>
          </w:tcPr>
          <w:p w14:paraId="0323FE8A" w14:textId="77777777" w:rsidR="00147BC2" w:rsidRDefault="00147BC2" w:rsidP="004D2931">
            <w:pPr>
              <w:pStyle w:val="OCTableText"/>
            </w:pPr>
            <w:r w:rsidRPr="00611EAC">
              <w:t>Provide any</w:t>
            </w:r>
            <w:r>
              <w:t xml:space="preserve"> </w:t>
            </w:r>
            <w:r w:rsidRPr="00611EAC">
              <w:t>update details</w:t>
            </w:r>
            <w:r>
              <w:t xml:space="preserve"> </w:t>
            </w:r>
            <w:r w:rsidRPr="00611EAC">
              <w:t>identified for</w:t>
            </w:r>
            <w:r>
              <w:t xml:space="preserve"> </w:t>
            </w:r>
            <w:r w:rsidRPr="00611EAC">
              <w:t>Service Request</w:t>
            </w:r>
            <w:r w:rsidRPr="00C625E5">
              <w:t> </w:t>
            </w:r>
          </w:p>
        </w:tc>
      </w:tr>
      <w:tr w:rsidR="00147BC2" w14:paraId="0C14EB00" w14:textId="77777777" w:rsidTr="00147BC2">
        <w:trPr>
          <w:cantSplit/>
        </w:trPr>
        <w:tc>
          <w:tcPr>
            <w:tcW w:w="3391" w:type="dxa"/>
            <w:vMerge/>
            <w:shd w:val="clear" w:color="auto" w:fill="E9E9E9"/>
          </w:tcPr>
          <w:p w14:paraId="74BB1121" w14:textId="77777777" w:rsidR="00147BC2" w:rsidRPr="00611EAC" w:rsidRDefault="00147BC2" w:rsidP="004D2931">
            <w:pPr>
              <w:pStyle w:val="OCTableText"/>
            </w:pPr>
          </w:p>
        </w:tc>
        <w:tc>
          <w:tcPr>
            <w:tcW w:w="5217" w:type="dxa"/>
            <w:shd w:val="clear" w:color="auto" w:fill="E9E9E9"/>
          </w:tcPr>
          <w:p w14:paraId="478D2017" w14:textId="77777777" w:rsidR="00147BC2" w:rsidRPr="00611EAC" w:rsidRDefault="00147BC2" w:rsidP="004D2931">
            <w:pPr>
              <w:pStyle w:val="OCTableText"/>
            </w:pPr>
            <w:r w:rsidRPr="0051074B">
              <w:t>Monitor Delivery</w:t>
            </w:r>
            <w:r>
              <w:t xml:space="preserve"> </w:t>
            </w:r>
            <w:r w:rsidRPr="00C625E5">
              <w:t>across active Service Requests</w:t>
            </w:r>
          </w:p>
        </w:tc>
      </w:tr>
      <w:tr w:rsidR="00147BC2" w14:paraId="3B8DE555" w14:textId="77777777" w:rsidTr="00147BC2">
        <w:trPr>
          <w:cantSplit/>
        </w:trPr>
        <w:tc>
          <w:tcPr>
            <w:tcW w:w="3391" w:type="dxa"/>
            <w:shd w:val="clear" w:color="auto" w:fill="E9E9E9"/>
          </w:tcPr>
          <w:p w14:paraId="19880DE8" w14:textId="77777777" w:rsidR="00147BC2" w:rsidRPr="00273DB8" w:rsidRDefault="00273DB8" w:rsidP="004D2931">
            <w:pPr>
              <w:pStyle w:val="OCTableText"/>
              <w:rPr>
                <w:lang w:val="en-AU"/>
              </w:rPr>
            </w:pPr>
            <w:r>
              <w:rPr>
                <w:lang w:val="en-AU"/>
              </w:rPr>
              <w:t>Non-</w:t>
            </w:r>
            <w:r w:rsidR="00147BC2" w:rsidRPr="0051074B">
              <w:rPr>
                <w:lang w:val="en-AU"/>
              </w:rPr>
              <w:t>Standard Service Request</w:t>
            </w:r>
          </w:p>
        </w:tc>
        <w:tc>
          <w:tcPr>
            <w:tcW w:w="5217" w:type="dxa"/>
            <w:shd w:val="clear" w:color="auto" w:fill="E9E9E9"/>
          </w:tcPr>
          <w:p w14:paraId="138A4BE2" w14:textId="77777777" w:rsidR="00147BC2" w:rsidRPr="0051074B" w:rsidRDefault="00147BC2" w:rsidP="004D2931">
            <w:pPr>
              <w:pStyle w:val="OCTableText"/>
            </w:pPr>
            <w:r w:rsidRPr="00C625E5">
              <w:t>Provide notification and escalation for non-standard Service Request. Process to provide lodgement, receipt and a statement of work or quote for customer approval.</w:t>
            </w:r>
          </w:p>
        </w:tc>
      </w:tr>
      <w:tr w:rsidR="00147BC2" w14:paraId="3674B6A8" w14:textId="77777777" w:rsidTr="00147BC2">
        <w:trPr>
          <w:cantSplit/>
        </w:trPr>
        <w:tc>
          <w:tcPr>
            <w:tcW w:w="3391" w:type="dxa"/>
            <w:shd w:val="clear" w:color="auto" w:fill="E9E9E9"/>
          </w:tcPr>
          <w:p w14:paraId="4DA3CB9D" w14:textId="77777777" w:rsidR="00147BC2" w:rsidRPr="0051074B" w:rsidRDefault="00147BC2" w:rsidP="004D2931">
            <w:pPr>
              <w:pStyle w:val="OCTableText"/>
              <w:rPr>
                <w:lang w:val="en-AU"/>
              </w:rPr>
            </w:pPr>
            <w:r w:rsidRPr="00255A09">
              <w:t xml:space="preserve">Standard </w:t>
            </w:r>
            <w:r w:rsidRPr="0051074B">
              <w:rPr>
                <w:lang w:val="en-AU"/>
              </w:rPr>
              <w:t>S</w:t>
            </w:r>
            <w:r>
              <w:rPr>
                <w:lang w:val="en-AU"/>
              </w:rPr>
              <w:t xml:space="preserve">ervice </w:t>
            </w:r>
            <w:r w:rsidRPr="0051074B">
              <w:rPr>
                <w:lang w:val="en-AU"/>
              </w:rPr>
              <w:t>R</w:t>
            </w:r>
            <w:r>
              <w:rPr>
                <w:lang w:val="en-AU"/>
              </w:rPr>
              <w:t>equest</w:t>
            </w:r>
            <w:r w:rsidRPr="0051074B">
              <w:rPr>
                <w:lang w:val="en-AU"/>
              </w:rPr>
              <w:t xml:space="preserve"> Delivery</w:t>
            </w:r>
          </w:p>
        </w:tc>
        <w:tc>
          <w:tcPr>
            <w:tcW w:w="5217" w:type="dxa"/>
            <w:shd w:val="clear" w:color="auto" w:fill="E9E9E9"/>
          </w:tcPr>
          <w:p w14:paraId="1FC728CB" w14:textId="77777777" w:rsidR="00147BC2" w:rsidRPr="00C625E5" w:rsidRDefault="00147BC2" w:rsidP="004D2931">
            <w:pPr>
              <w:pStyle w:val="OCTableText"/>
            </w:pPr>
            <w:r w:rsidRPr="00C625E5">
              <w:t xml:space="preserve">Request and receive standard Services, </w:t>
            </w:r>
            <w:r w:rsidRPr="00255A09">
              <w:t>including decommissions,</w:t>
            </w:r>
            <w:r w:rsidRPr="00C625E5">
              <w:t xml:space="preserve"> for which a pre-defined approval and qualification process exists. </w:t>
            </w:r>
          </w:p>
        </w:tc>
      </w:tr>
      <w:tr w:rsidR="00147BC2" w14:paraId="307C917C" w14:textId="77777777" w:rsidTr="00147BC2">
        <w:trPr>
          <w:cantSplit/>
        </w:trPr>
        <w:tc>
          <w:tcPr>
            <w:tcW w:w="3391" w:type="dxa"/>
            <w:shd w:val="clear" w:color="auto" w:fill="E9E9E9"/>
          </w:tcPr>
          <w:p w14:paraId="36902CBD" w14:textId="77777777" w:rsidR="00147BC2" w:rsidRPr="0051074B" w:rsidRDefault="00147BC2" w:rsidP="004D2931">
            <w:pPr>
              <w:pStyle w:val="OCTableText"/>
              <w:rPr>
                <w:lang w:val="en-AU"/>
              </w:rPr>
            </w:pPr>
            <w:r w:rsidRPr="006E002C">
              <w:rPr>
                <w:lang w:val="en-AU"/>
              </w:rPr>
              <w:t>S</w:t>
            </w:r>
            <w:r>
              <w:rPr>
                <w:lang w:val="en-AU"/>
              </w:rPr>
              <w:t xml:space="preserve">ervice </w:t>
            </w:r>
            <w:r w:rsidRPr="006E002C">
              <w:rPr>
                <w:lang w:val="en-AU"/>
              </w:rPr>
              <w:t>R</w:t>
            </w:r>
            <w:r>
              <w:rPr>
                <w:lang w:val="en-AU"/>
              </w:rPr>
              <w:t>equest</w:t>
            </w:r>
            <w:r w:rsidRPr="006E002C">
              <w:rPr>
                <w:lang w:val="en-AU"/>
              </w:rPr>
              <w:t xml:space="preserve"> Onsite Assistance</w:t>
            </w:r>
          </w:p>
        </w:tc>
        <w:tc>
          <w:tcPr>
            <w:tcW w:w="5217" w:type="dxa"/>
            <w:shd w:val="clear" w:color="auto" w:fill="E9E9E9"/>
          </w:tcPr>
          <w:p w14:paraId="5411231A" w14:textId="77777777" w:rsidR="00147BC2" w:rsidRPr="0051074B" w:rsidRDefault="00147BC2" w:rsidP="004D2931">
            <w:pPr>
              <w:pStyle w:val="OCTableText"/>
            </w:pPr>
            <w:r w:rsidRPr="00524B55">
              <w:t>Provide onsite</w:t>
            </w:r>
            <w:r>
              <w:t xml:space="preserve"> </w:t>
            </w:r>
            <w:r w:rsidRPr="00524B55">
              <w:t>assistance for</w:t>
            </w:r>
            <w:r>
              <w:t xml:space="preserve"> </w:t>
            </w:r>
            <w:r w:rsidRPr="00255A09">
              <w:t>standard</w:t>
            </w:r>
            <w:r>
              <w:t xml:space="preserve"> </w:t>
            </w:r>
            <w:r w:rsidRPr="00524B55">
              <w:t>service request</w:t>
            </w:r>
            <w:r>
              <w:t xml:space="preserve"> </w:t>
            </w:r>
            <w:r w:rsidRPr="00C625E5">
              <w:t>fulfilment</w:t>
            </w:r>
          </w:p>
        </w:tc>
      </w:tr>
      <w:tr w:rsidR="00147BC2" w14:paraId="1C654CA2" w14:textId="77777777" w:rsidTr="00147BC2">
        <w:trPr>
          <w:cantSplit/>
        </w:trPr>
        <w:tc>
          <w:tcPr>
            <w:tcW w:w="3391" w:type="dxa"/>
            <w:shd w:val="clear" w:color="auto" w:fill="E9E9E9"/>
          </w:tcPr>
          <w:p w14:paraId="35E6113F" w14:textId="77777777" w:rsidR="00147BC2" w:rsidRPr="006E002C" w:rsidRDefault="00147BC2" w:rsidP="004D2931">
            <w:pPr>
              <w:pStyle w:val="OCTableText"/>
              <w:rPr>
                <w:lang w:val="en-AU"/>
              </w:rPr>
            </w:pPr>
            <w:r w:rsidRPr="00524B55">
              <w:t>Service Request</w:t>
            </w:r>
            <w:r>
              <w:t xml:space="preserve"> </w:t>
            </w:r>
            <w:r w:rsidRPr="00524B55">
              <w:t>Closure</w:t>
            </w:r>
          </w:p>
        </w:tc>
        <w:tc>
          <w:tcPr>
            <w:tcW w:w="5217" w:type="dxa"/>
            <w:shd w:val="clear" w:color="auto" w:fill="E9E9E9"/>
          </w:tcPr>
          <w:p w14:paraId="56307780" w14:textId="77777777" w:rsidR="00147BC2" w:rsidRPr="00524B55" w:rsidRDefault="00A37EB3" w:rsidP="00A37EB3">
            <w:pPr>
              <w:pStyle w:val="OCTableText"/>
            </w:pPr>
            <w:r>
              <w:t xml:space="preserve">Follow agreed closure process on </w:t>
            </w:r>
            <w:r w:rsidR="00147BC2" w:rsidRPr="00524B55">
              <w:t>completion of</w:t>
            </w:r>
            <w:r w:rsidR="00147BC2">
              <w:t xml:space="preserve"> </w:t>
            </w:r>
            <w:r>
              <w:t xml:space="preserve">the </w:t>
            </w:r>
            <w:r w:rsidR="00147BC2">
              <w:t>Service Request</w:t>
            </w:r>
          </w:p>
        </w:tc>
      </w:tr>
      <w:tr w:rsidR="00147BC2" w14:paraId="608002D6" w14:textId="77777777" w:rsidTr="00147BC2">
        <w:trPr>
          <w:cantSplit/>
        </w:trPr>
        <w:tc>
          <w:tcPr>
            <w:tcW w:w="3391" w:type="dxa"/>
            <w:shd w:val="clear" w:color="auto" w:fill="E9E9E9"/>
          </w:tcPr>
          <w:p w14:paraId="7539A23D" w14:textId="77777777" w:rsidR="00147BC2" w:rsidRPr="00524B55" w:rsidRDefault="00147BC2" w:rsidP="004D2931">
            <w:pPr>
              <w:pStyle w:val="OCTableText"/>
              <w:rPr>
                <w:lang w:val="en-AU"/>
              </w:rPr>
            </w:pPr>
            <w:r w:rsidRPr="00524B55">
              <w:rPr>
                <w:lang w:val="en-AU"/>
              </w:rPr>
              <w:t>Reporting &amp; Continual Improvement</w:t>
            </w:r>
          </w:p>
        </w:tc>
        <w:tc>
          <w:tcPr>
            <w:tcW w:w="5217" w:type="dxa"/>
            <w:shd w:val="clear" w:color="auto" w:fill="E9E9E9"/>
          </w:tcPr>
          <w:p w14:paraId="3F11F1A0" w14:textId="77777777" w:rsidR="00147BC2" w:rsidRDefault="00147BC2" w:rsidP="004D2931">
            <w:pPr>
              <w:pStyle w:val="OCTableText"/>
            </w:pPr>
            <w:r w:rsidRPr="00524B55">
              <w:t>Provide</w:t>
            </w:r>
            <w:r>
              <w:t xml:space="preserve"> Reporting on </w:t>
            </w:r>
            <w:r w:rsidRPr="00524B55">
              <w:t>Request</w:t>
            </w:r>
            <w:r>
              <w:t xml:space="preserve"> </w:t>
            </w:r>
            <w:r w:rsidRPr="00524B55">
              <w:t>Fulfilment</w:t>
            </w:r>
            <w:r>
              <w:t xml:space="preserve"> activities:</w:t>
            </w:r>
          </w:p>
          <w:p w14:paraId="2E6F5D85" w14:textId="77777777" w:rsidR="00147BC2" w:rsidRPr="00B00687" w:rsidRDefault="00147BC2" w:rsidP="004D2931">
            <w:pPr>
              <w:pStyle w:val="OCPointsBulletsLevel1"/>
            </w:pPr>
            <w:r>
              <w:t>Service request volume</w:t>
            </w:r>
          </w:p>
          <w:p w14:paraId="01637B5B" w14:textId="77777777" w:rsidR="00147BC2" w:rsidRPr="00524B55" w:rsidRDefault="00147BC2" w:rsidP="00147BC2">
            <w:pPr>
              <w:pStyle w:val="OCPointsBulletsLevel1"/>
            </w:pPr>
            <w:r>
              <w:t>P</w:t>
            </w:r>
            <w:r w:rsidRPr="00C625E5">
              <w:t>erformance</w:t>
            </w:r>
            <w:r>
              <w:t xml:space="preserve"> to agreed Service Levels</w:t>
            </w:r>
          </w:p>
        </w:tc>
      </w:tr>
      <w:tr w:rsidR="00147BC2" w14:paraId="43E7E431" w14:textId="77777777" w:rsidTr="00147BC2">
        <w:trPr>
          <w:cantSplit/>
        </w:trPr>
        <w:tc>
          <w:tcPr>
            <w:tcW w:w="3391" w:type="dxa"/>
            <w:shd w:val="clear" w:color="auto" w:fill="E9E9E9"/>
          </w:tcPr>
          <w:p w14:paraId="29F9AF1A" w14:textId="77777777" w:rsidR="00147BC2" w:rsidRPr="00A84813" w:rsidRDefault="00147BC2" w:rsidP="004D2931">
            <w:pPr>
              <w:pStyle w:val="OCTableText"/>
            </w:pPr>
            <w:r>
              <w:t>End-User Support</w:t>
            </w:r>
          </w:p>
        </w:tc>
        <w:tc>
          <w:tcPr>
            <w:tcW w:w="5217" w:type="dxa"/>
            <w:shd w:val="clear" w:color="auto" w:fill="E9E9E9"/>
          </w:tcPr>
          <w:p w14:paraId="6ABF31D7" w14:textId="77777777" w:rsidR="00147BC2" w:rsidRPr="00A84813" w:rsidRDefault="00147BC2" w:rsidP="004D2931">
            <w:pPr>
              <w:pStyle w:val="OCTableText"/>
            </w:pPr>
            <w:r w:rsidRPr="0017627C">
              <w:t xml:space="preserve">How to raise a service request, initiate an incident, timeframes or escalation process, access tools such as the </w:t>
            </w:r>
            <w:proofErr w:type="gramStart"/>
            <w:r w:rsidRPr="0017627C">
              <w:t>on line</w:t>
            </w:r>
            <w:proofErr w:type="gramEnd"/>
            <w:r w:rsidRPr="0017627C">
              <w:t xml:space="preserve"> portal</w:t>
            </w:r>
            <w:r>
              <w:t>,</w:t>
            </w:r>
            <w:r w:rsidRPr="0017627C">
              <w:t xml:space="preserve"> etc.</w:t>
            </w:r>
          </w:p>
        </w:tc>
      </w:tr>
      <w:tr w:rsidR="00147BC2" w14:paraId="50359485" w14:textId="77777777" w:rsidTr="00147BC2">
        <w:trPr>
          <w:cantSplit/>
        </w:trPr>
        <w:tc>
          <w:tcPr>
            <w:tcW w:w="3391" w:type="dxa"/>
            <w:shd w:val="clear" w:color="auto" w:fill="E9E9E9"/>
          </w:tcPr>
          <w:p w14:paraId="3229F289" w14:textId="77777777" w:rsidR="00147BC2" w:rsidRPr="00A84813" w:rsidRDefault="00147BC2" w:rsidP="004D2931">
            <w:pPr>
              <w:pStyle w:val="OCTableText"/>
            </w:pPr>
            <w:r>
              <w:t>FAQ, Product Information and User M</w:t>
            </w:r>
            <w:r w:rsidRPr="0017627C">
              <w:t>anuals</w:t>
            </w:r>
          </w:p>
        </w:tc>
        <w:tc>
          <w:tcPr>
            <w:tcW w:w="5217" w:type="dxa"/>
            <w:shd w:val="clear" w:color="auto" w:fill="E9E9E9"/>
          </w:tcPr>
          <w:p w14:paraId="0E4A373B" w14:textId="4A6ACC88" w:rsidR="00147BC2" w:rsidRPr="00A84813" w:rsidRDefault="00147BC2" w:rsidP="0001590B">
            <w:pPr>
              <w:pStyle w:val="OCTableText"/>
            </w:pPr>
            <w:r w:rsidRPr="0017627C">
              <w:t>Access FAQ or information including the configuration setup and operation of customer devices.</w:t>
            </w:r>
          </w:p>
        </w:tc>
      </w:tr>
      <w:tr w:rsidR="00147BC2" w14:paraId="0602F8B2" w14:textId="77777777" w:rsidTr="00147BC2">
        <w:trPr>
          <w:cantSplit/>
        </w:trPr>
        <w:tc>
          <w:tcPr>
            <w:tcW w:w="3391" w:type="dxa"/>
            <w:shd w:val="clear" w:color="auto" w:fill="E9E9E9"/>
          </w:tcPr>
          <w:p w14:paraId="328F9419" w14:textId="77777777" w:rsidR="00147BC2" w:rsidRPr="00A45551" w:rsidRDefault="00147BC2" w:rsidP="004D2931">
            <w:pPr>
              <w:pStyle w:val="OCTableText"/>
            </w:pPr>
            <w:r>
              <w:t>Known Issues and Workaround</w:t>
            </w:r>
            <w:r w:rsidRPr="00803A3A">
              <w:t>s</w:t>
            </w:r>
          </w:p>
        </w:tc>
        <w:tc>
          <w:tcPr>
            <w:tcW w:w="5217" w:type="dxa"/>
            <w:shd w:val="clear" w:color="auto" w:fill="E9E9E9"/>
          </w:tcPr>
          <w:p w14:paraId="49315E7F" w14:textId="77777777" w:rsidR="00147BC2" w:rsidRPr="00A45551" w:rsidRDefault="00147BC2" w:rsidP="004D2931">
            <w:pPr>
              <w:pStyle w:val="OCTableText"/>
            </w:pPr>
            <w:r w:rsidRPr="00803A3A">
              <w:t>Provides information on known issues with specific devices or applications and includes any interim workaround</w:t>
            </w:r>
            <w:r>
              <w:t>s.</w:t>
            </w:r>
          </w:p>
        </w:tc>
      </w:tr>
    </w:tbl>
    <w:p w14:paraId="3B0B6DE0" w14:textId="77777777" w:rsidR="001758D7" w:rsidRDefault="001758D7" w:rsidP="00B95902"/>
    <w:p w14:paraId="40830078" w14:textId="77777777" w:rsidR="001758D7" w:rsidRDefault="001758D7" w:rsidP="0048369E">
      <w:pPr>
        <w:pStyle w:val="Heading2"/>
      </w:pPr>
      <w:r>
        <w:t xml:space="preserve">The following </w:t>
      </w:r>
      <w:r w:rsidR="00D82AF7">
        <w:t xml:space="preserve">functionality </w:t>
      </w:r>
      <w:r w:rsidR="00D82AF7">
        <w:rPr>
          <w:lang w:val="en-GB"/>
        </w:rPr>
        <w:t xml:space="preserve">is excluded </w:t>
      </w:r>
      <w:r w:rsidR="00D82AF7">
        <w:t xml:space="preserve">from </w:t>
      </w:r>
      <w:r>
        <w:t>Request Fulfilment</w:t>
      </w:r>
      <w:r w:rsidR="00D82AF7">
        <w:t xml:space="preserve"> (but may be provided as part of other Service Inclusions in your ISM Service)</w:t>
      </w:r>
      <w:r>
        <w:t>:</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64"/>
        <w:gridCol w:w="6731"/>
      </w:tblGrid>
      <w:tr w:rsidR="001758D7" w14:paraId="5C749E9C" w14:textId="77777777" w:rsidTr="00905A99">
        <w:trPr>
          <w:cantSplit/>
          <w:tblHeader/>
        </w:trPr>
        <w:tc>
          <w:tcPr>
            <w:tcW w:w="1038" w:type="pct"/>
            <w:shd w:val="clear" w:color="auto" w:fill="007AB0"/>
          </w:tcPr>
          <w:p w14:paraId="7CB5CA1D" w14:textId="77777777" w:rsidR="001758D7" w:rsidRPr="00E53F18" w:rsidRDefault="001758D7" w:rsidP="004D2931">
            <w:pPr>
              <w:pStyle w:val="OCTableHeadings"/>
            </w:pPr>
            <w:r w:rsidRPr="00E53F18">
              <w:t>Attribute</w:t>
            </w:r>
          </w:p>
        </w:tc>
        <w:tc>
          <w:tcPr>
            <w:tcW w:w="3962" w:type="pct"/>
            <w:shd w:val="clear" w:color="auto" w:fill="007AB0"/>
          </w:tcPr>
          <w:p w14:paraId="6517C886" w14:textId="77777777" w:rsidR="001758D7" w:rsidRPr="00E53F18" w:rsidRDefault="001758D7" w:rsidP="004D2931">
            <w:pPr>
              <w:pStyle w:val="OCTableHeadings"/>
            </w:pPr>
            <w:r w:rsidRPr="00E53F18">
              <w:t>Detail</w:t>
            </w:r>
          </w:p>
        </w:tc>
      </w:tr>
      <w:tr w:rsidR="007917EA" w14:paraId="69DCEA18" w14:textId="77777777" w:rsidTr="0009581D">
        <w:trPr>
          <w:cantSplit/>
        </w:trPr>
        <w:tc>
          <w:tcPr>
            <w:tcW w:w="1038" w:type="pct"/>
            <w:shd w:val="clear" w:color="auto" w:fill="E9E9E9"/>
          </w:tcPr>
          <w:p w14:paraId="00F5B006" w14:textId="77777777" w:rsidR="007917EA" w:rsidRDefault="007917EA" w:rsidP="0009581D">
            <w:pPr>
              <w:pStyle w:val="OCTableText"/>
            </w:pPr>
            <w:r>
              <w:t>Incident Management</w:t>
            </w:r>
          </w:p>
        </w:tc>
        <w:tc>
          <w:tcPr>
            <w:tcW w:w="3962" w:type="pct"/>
            <w:shd w:val="clear" w:color="auto" w:fill="E9E9E9"/>
          </w:tcPr>
          <w:p w14:paraId="6C6E987D" w14:textId="77777777" w:rsidR="007917EA" w:rsidRPr="00C625E5" w:rsidRDefault="007917EA" w:rsidP="0009581D">
            <w:pPr>
              <w:pStyle w:val="OCTableText"/>
            </w:pPr>
            <w:r>
              <w:t xml:space="preserve">Incidents are managed as part of the Incident Management </w:t>
            </w:r>
            <w:proofErr w:type="gramStart"/>
            <w:r>
              <w:t>capability, and</w:t>
            </w:r>
            <w:proofErr w:type="gramEnd"/>
            <w:r>
              <w:t xml:space="preserve"> will be excluded from the Service Request Catalogue.</w:t>
            </w:r>
          </w:p>
        </w:tc>
      </w:tr>
      <w:tr w:rsidR="001758D7" w14:paraId="5FB78F13" w14:textId="77777777" w:rsidTr="004D2931">
        <w:trPr>
          <w:cantSplit/>
        </w:trPr>
        <w:tc>
          <w:tcPr>
            <w:tcW w:w="1038" w:type="pct"/>
            <w:shd w:val="clear" w:color="auto" w:fill="E9E9E9"/>
          </w:tcPr>
          <w:p w14:paraId="5B0D9BAB" w14:textId="77777777" w:rsidR="001758D7" w:rsidRPr="00026CC1" w:rsidRDefault="001758D7" w:rsidP="004D2931">
            <w:pPr>
              <w:pStyle w:val="OCTableText"/>
            </w:pPr>
            <w:r>
              <w:t>Approval for Standard Service Request</w:t>
            </w:r>
          </w:p>
        </w:tc>
        <w:tc>
          <w:tcPr>
            <w:tcW w:w="3962" w:type="pct"/>
            <w:shd w:val="clear" w:color="auto" w:fill="E9E9E9"/>
          </w:tcPr>
          <w:p w14:paraId="3419E01D" w14:textId="77777777" w:rsidR="001758D7" w:rsidRPr="00026CC1" w:rsidRDefault="001758D7" w:rsidP="004D2931">
            <w:pPr>
              <w:pStyle w:val="OCTableText"/>
            </w:pPr>
            <w:r w:rsidRPr="00CD4DCF">
              <w:t xml:space="preserve">The process for standard service requests assumes the request has been approved prior to being allocated to Telstra for fulfilment being received, </w:t>
            </w:r>
            <w:proofErr w:type="gramStart"/>
            <w:r w:rsidRPr="00CD4DCF">
              <w:t>fulfilled</w:t>
            </w:r>
            <w:proofErr w:type="gramEnd"/>
            <w:r w:rsidRPr="00CD4DCF">
              <w:t xml:space="preserve"> and closed.</w:t>
            </w:r>
          </w:p>
        </w:tc>
      </w:tr>
      <w:tr w:rsidR="001758D7" w14:paraId="33204E8E" w14:textId="77777777" w:rsidTr="004D2931">
        <w:trPr>
          <w:cantSplit/>
        </w:trPr>
        <w:tc>
          <w:tcPr>
            <w:tcW w:w="1038" w:type="pct"/>
            <w:shd w:val="clear" w:color="auto" w:fill="E9E9E9"/>
          </w:tcPr>
          <w:p w14:paraId="1FF8C43D" w14:textId="77777777" w:rsidR="001758D7" w:rsidRPr="00026CC1" w:rsidRDefault="001758D7" w:rsidP="004D2931">
            <w:pPr>
              <w:pStyle w:val="OCTableText"/>
            </w:pPr>
            <w:r>
              <w:t>Fulfilment of “non-standard” Service Request</w:t>
            </w:r>
          </w:p>
        </w:tc>
        <w:tc>
          <w:tcPr>
            <w:tcW w:w="3962" w:type="pct"/>
            <w:shd w:val="clear" w:color="auto" w:fill="E9E9E9"/>
          </w:tcPr>
          <w:p w14:paraId="258D2710" w14:textId="77777777" w:rsidR="001758D7" w:rsidRPr="00C625E5" w:rsidRDefault="001758D7" w:rsidP="00F02756">
            <w:pPr>
              <w:pStyle w:val="OCTableText"/>
            </w:pPr>
            <w:r w:rsidRPr="00C625E5">
              <w:t xml:space="preserve">The “non-standard” service request process includes the lodgement and receipt of a Statement of Works or Quote for Customer approval as the outcome. </w:t>
            </w:r>
            <w:r w:rsidR="00DB4658">
              <w:t>Further activity to action non-standard Service Requests is not included in this capability</w:t>
            </w:r>
            <w:r w:rsidR="00DB4658" w:rsidRPr="00C625E5">
              <w:t>.</w:t>
            </w:r>
          </w:p>
        </w:tc>
      </w:tr>
      <w:tr w:rsidR="001758D7" w14:paraId="0FFD4CFA" w14:textId="77777777" w:rsidTr="004D2931">
        <w:trPr>
          <w:cantSplit/>
        </w:trPr>
        <w:tc>
          <w:tcPr>
            <w:tcW w:w="1038" w:type="pct"/>
            <w:shd w:val="clear" w:color="auto" w:fill="E9E9E9"/>
          </w:tcPr>
          <w:p w14:paraId="79726AD5" w14:textId="77777777" w:rsidR="001758D7" w:rsidRDefault="001758D7" w:rsidP="004D2931">
            <w:pPr>
              <w:pStyle w:val="OCTableText"/>
            </w:pPr>
            <w:r>
              <w:rPr>
                <w:rFonts w:asciiTheme="minorHAnsi" w:eastAsiaTheme="minorHAnsi" w:hAnsiTheme="minorHAnsi" w:cstheme="minorBidi"/>
                <w:color w:val="auto"/>
                <w:sz w:val="22"/>
                <w:szCs w:val="22"/>
                <w:lang w:val="en-AU"/>
              </w:rPr>
              <w:br w:type="page"/>
            </w:r>
            <w:r>
              <w:rPr>
                <w:rFonts w:asciiTheme="minorHAnsi" w:eastAsiaTheme="minorHAnsi" w:hAnsiTheme="minorHAnsi" w:cstheme="minorBidi"/>
                <w:color w:val="auto"/>
                <w:sz w:val="22"/>
                <w:szCs w:val="22"/>
                <w:lang w:val="en-AU"/>
              </w:rPr>
              <w:br w:type="page"/>
            </w:r>
            <w:r>
              <w:t>‘How to’ Support Usage Reporting</w:t>
            </w:r>
          </w:p>
        </w:tc>
        <w:tc>
          <w:tcPr>
            <w:tcW w:w="3962" w:type="pct"/>
            <w:shd w:val="clear" w:color="auto" w:fill="E9E9E9"/>
          </w:tcPr>
          <w:p w14:paraId="357977FF" w14:textId="77777777" w:rsidR="001758D7" w:rsidRPr="00CD4DCF" w:rsidDel="0052547F" w:rsidRDefault="001758D7" w:rsidP="00F80148">
            <w:pPr>
              <w:pStyle w:val="OCTableText"/>
            </w:pPr>
            <w:r w:rsidRPr="00CD4DCF">
              <w:t xml:space="preserve">‘How to’ Support enquiries are included as part of the Service Desk monthly activity </w:t>
            </w:r>
            <w:proofErr w:type="gramStart"/>
            <w:r w:rsidRPr="00CD4DCF">
              <w:t>reporting</w:t>
            </w:r>
            <w:r w:rsidR="00F80148">
              <w:t>, and</w:t>
            </w:r>
            <w:proofErr w:type="gramEnd"/>
            <w:r w:rsidR="00F80148">
              <w:t xml:space="preserve"> are not separately itemised.</w:t>
            </w:r>
            <w:r w:rsidRPr="00CD4DCF">
              <w:t xml:space="preserve"> </w:t>
            </w:r>
          </w:p>
        </w:tc>
      </w:tr>
    </w:tbl>
    <w:p w14:paraId="037ED669" w14:textId="77777777" w:rsidR="001758D7" w:rsidRDefault="001758D7" w:rsidP="00B95902"/>
    <w:p w14:paraId="33F4277A" w14:textId="77777777" w:rsidR="001758D7" w:rsidRPr="0048369E" w:rsidRDefault="001758D7" w:rsidP="0048369E">
      <w:pPr>
        <w:pStyle w:val="Heading1"/>
      </w:pPr>
      <w:bookmarkStart w:id="30" w:name="_Toc486819586"/>
      <w:r w:rsidRPr="0048369E">
        <w:t>Knowledge Management</w:t>
      </w:r>
      <w:bookmarkEnd w:id="30"/>
    </w:p>
    <w:p w14:paraId="389B490A" w14:textId="77777777" w:rsidR="001758D7" w:rsidRDefault="00DC4A06" w:rsidP="0009581D">
      <w:pPr>
        <w:pStyle w:val="Heading2"/>
      </w:pPr>
      <w:r>
        <w:t xml:space="preserve">We will implement a Knowledge Management repository relating to the use and functionality of your relevant </w:t>
      </w:r>
      <w:r w:rsidR="00E87DF7">
        <w:t>In-scope Services</w:t>
      </w:r>
      <w:r>
        <w:t xml:space="preserve"> and related equipment. </w:t>
      </w:r>
      <w:r w:rsidR="001758D7">
        <w:t>Our Service Desk will respond to inquiries</w:t>
      </w:r>
      <w:r>
        <w:t xml:space="preserve"> relating to this data through the Contact Channels</w:t>
      </w:r>
      <w:r w:rsidR="001758D7">
        <w:t xml:space="preserve">. </w:t>
      </w:r>
    </w:p>
    <w:p w14:paraId="384DD6AE" w14:textId="77777777" w:rsidR="001758D7" w:rsidRDefault="001758D7" w:rsidP="0048369E">
      <w:pPr>
        <w:pStyle w:val="Heading2"/>
      </w:pPr>
      <w:r>
        <w:t xml:space="preserve">The following </w:t>
      </w:r>
      <w:r w:rsidR="00147BC2">
        <w:t xml:space="preserve">functionality will be provided as part of </w:t>
      </w:r>
      <w:r>
        <w:t>Knowledge Management:</w:t>
      </w:r>
    </w:p>
    <w:tbl>
      <w:tblPr>
        <w:tblStyle w:val="TableGrid"/>
        <w:tblW w:w="85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49"/>
        <w:gridCol w:w="6651"/>
      </w:tblGrid>
      <w:tr w:rsidR="00DC4A06" w14:paraId="783B86DF" w14:textId="77777777" w:rsidTr="00905A99">
        <w:trPr>
          <w:cantSplit/>
          <w:tblHeader/>
        </w:trPr>
        <w:tc>
          <w:tcPr>
            <w:tcW w:w="1849" w:type="dxa"/>
            <w:shd w:val="clear" w:color="auto" w:fill="007AB0"/>
          </w:tcPr>
          <w:p w14:paraId="1D31A715" w14:textId="77777777" w:rsidR="00DC4A06" w:rsidRPr="00E53F18" w:rsidRDefault="00DC4A06" w:rsidP="004D2931">
            <w:pPr>
              <w:pStyle w:val="OCTableHeadings"/>
            </w:pPr>
            <w:r w:rsidRPr="00E53F18">
              <w:t>Attribute</w:t>
            </w:r>
          </w:p>
        </w:tc>
        <w:tc>
          <w:tcPr>
            <w:tcW w:w="6651" w:type="dxa"/>
            <w:shd w:val="clear" w:color="auto" w:fill="007AB0"/>
          </w:tcPr>
          <w:p w14:paraId="14E38A40" w14:textId="77777777" w:rsidR="00DC4A06" w:rsidRPr="00E53F18" w:rsidRDefault="00DC4A06" w:rsidP="004D2931">
            <w:pPr>
              <w:pStyle w:val="OCTableHeadings"/>
            </w:pPr>
            <w:r w:rsidRPr="00E53F18">
              <w:t>Detail</w:t>
            </w:r>
          </w:p>
        </w:tc>
      </w:tr>
      <w:tr w:rsidR="00DC4A06" w14:paraId="2759BBD4" w14:textId="77777777" w:rsidTr="00DC4A06">
        <w:trPr>
          <w:cantSplit/>
        </w:trPr>
        <w:tc>
          <w:tcPr>
            <w:tcW w:w="1849" w:type="dxa"/>
            <w:shd w:val="clear" w:color="auto" w:fill="E9E9E9"/>
          </w:tcPr>
          <w:p w14:paraId="1EB2201C" w14:textId="77777777" w:rsidR="00DC4A06" w:rsidRPr="00A84813" w:rsidRDefault="00DC4A06" w:rsidP="004D2931">
            <w:pPr>
              <w:pStyle w:val="OCTableText"/>
            </w:pPr>
            <w:r w:rsidRPr="00344B8E">
              <w:t>Manage Data Requirements</w:t>
            </w:r>
          </w:p>
        </w:tc>
        <w:tc>
          <w:tcPr>
            <w:tcW w:w="6651" w:type="dxa"/>
            <w:shd w:val="clear" w:color="auto" w:fill="E9E9E9"/>
          </w:tcPr>
          <w:p w14:paraId="328698D5" w14:textId="77777777" w:rsidR="00DC4A06" w:rsidRDefault="00DC4A06" w:rsidP="004D2931">
            <w:pPr>
              <w:pStyle w:val="OCTableText"/>
            </w:pPr>
            <w:r>
              <w:t xml:space="preserve">Identify sources of data and information required to meet agreed knowledge requirements. Sources may include Customer, Telstra and </w:t>
            </w:r>
            <w:proofErr w:type="gramStart"/>
            <w:r>
              <w:t>Third Party</w:t>
            </w:r>
            <w:proofErr w:type="gramEnd"/>
            <w:r>
              <w:t xml:space="preserve"> Vendors:</w:t>
            </w:r>
          </w:p>
          <w:p w14:paraId="70A1E1DE" w14:textId="77777777" w:rsidR="00DC4A06" w:rsidRDefault="00DC4A06" w:rsidP="004D2931">
            <w:pPr>
              <w:pStyle w:val="OCPointsBulletsLevel1"/>
            </w:pPr>
            <w:r>
              <w:t xml:space="preserve">Establish agreed criteria for assessing the data and information for quality and </w:t>
            </w:r>
            <w:proofErr w:type="gramStart"/>
            <w:r>
              <w:t>usefulness</w:t>
            </w:r>
            <w:proofErr w:type="gramEnd"/>
          </w:p>
          <w:p w14:paraId="0D62EE39" w14:textId="77777777" w:rsidR="00DC4A06" w:rsidRPr="00A5338E" w:rsidRDefault="00DC4A06" w:rsidP="004D2931">
            <w:pPr>
              <w:pStyle w:val="OCPointsBulletsLevel1"/>
            </w:pPr>
            <w:r>
              <w:t>C</w:t>
            </w:r>
            <w:r w:rsidRPr="000071F0">
              <w:t>ollect and store the data and information</w:t>
            </w:r>
          </w:p>
        </w:tc>
      </w:tr>
      <w:tr w:rsidR="00DC4A06" w14:paraId="018521B6" w14:textId="77777777" w:rsidTr="00DC4A06">
        <w:trPr>
          <w:cantSplit/>
        </w:trPr>
        <w:tc>
          <w:tcPr>
            <w:tcW w:w="1849" w:type="dxa"/>
            <w:shd w:val="clear" w:color="auto" w:fill="E9E9E9"/>
          </w:tcPr>
          <w:p w14:paraId="3887738E" w14:textId="77777777" w:rsidR="00DC4A06" w:rsidRPr="000E07BC" w:rsidRDefault="00DC4A06" w:rsidP="004D2931">
            <w:pPr>
              <w:pStyle w:val="OCTableText"/>
            </w:pPr>
            <w:r>
              <w:t>Create Knowledge Items</w:t>
            </w:r>
          </w:p>
        </w:tc>
        <w:tc>
          <w:tcPr>
            <w:tcW w:w="6651" w:type="dxa"/>
            <w:shd w:val="clear" w:color="auto" w:fill="E9E9E9"/>
          </w:tcPr>
          <w:p w14:paraId="3F68E9A0" w14:textId="77777777" w:rsidR="00DC4A06" w:rsidRPr="007913DD" w:rsidRDefault="00DC4A06" w:rsidP="004D2931">
            <w:pPr>
              <w:pStyle w:val="OCPointsBulletsLevel1"/>
            </w:pPr>
            <w:r>
              <w:t>A</w:t>
            </w:r>
            <w:r w:rsidRPr="007913DD">
              <w:t xml:space="preserve">dapt the collected data and information to make it relevant for the Telstra / Customer </w:t>
            </w:r>
            <w:proofErr w:type="gramStart"/>
            <w:r w:rsidRPr="007913DD">
              <w:t>environment</w:t>
            </w:r>
            <w:proofErr w:type="gramEnd"/>
          </w:p>
          <w:p w14:paraId="36D76D33" w14:textId="77777777" w:rsidR="00DC4A06" w:rsidRPr="007913DD" w:rsidRDefault="00DC4A06" w:rsidP="004D2931">
            <w:pPr>
              <w:pStyle w:val="OCPointsBulletsLevel1"/>
            </w:pPr>
            <w:r>
              <w:t>U</w:t>
            </w:r>
            <w:r w:rsidRPr="007913DD">
              <w:t>se the adapted data and information and the template to develop the knowledge Items.</w:t>
            </w:r>
          </w:p>
        </w:tc>
      </w:tr>
      <w:tr w:rsidR="00DC4A06" w14:paraId="20BE182A" w14:textId="77777777" w:rsidTr="00DC4A06">
        <w:trPr>
          <w:cantSplit/>
        </w:trPr>
        <w:tc>
          <w:tcPr>
            <w:tcW w:w="1849" w:type="dxa"/>
            <w:shd w:val="clear" w:color="auto" w:fill="E9E9E9"/>
          </w:tcPr>
          <w:p w14:paraId="6B6AF0F9" w14:textId="77777777" w:rsidR="00DC4A06" w:rsidRPr="00A84813" w:rsidRDefault="00DC4A06" w:rsidP="004D2931">
            <w:pPr>
              <w:pStyle w:val="OCTableText"/>
            </w:pPr>
            <w:r>
              <w:t>Maintain, Review and Add</w:t>
            </w:r>
          </w:p>
        </w:tc>
        <w:tc>
          <w:tcPr>
            <w:tcW w:w="6651" w:type="dxa"/>
            <w:shd w:val="clear" w:color="auto" w:fill="E9E9E9"/>
          </w:tcPr>
          <w:p w14:paraId="00AB6098" w14:textId="77777777" w:rsidR="00DC4A06" w:rsidRPr="00BE59D3" w:rsidRDefault="00DC4A06" w:rsidP="004D2931">
            <w:pPr>
              <w:pStyle w:val="OCTableText"/>
            </w:pPr>
            <w:r w:rsidRPr="00BE59D3">
              <w:t xml:space="preserve">Identify knowledge Items </w:t>
            </w:r>
            <w:r w:rsidR="0043294B">
              <w:t xml:space="preserve">requiring updates </w:t>
            </w:r>
            <w:r w:rsidRPr="00BE59D3">
              <w:t xml:space="preserve">due to changes </w:t>
            </w:r>
            <w:r w:rsidR="0043294B">
              <w:t>in</w:t>
            </w:r>
            <w:r w:rsidRPr="00BE59D3">
              <w:t>:</w:t>
            </w:r>
          </w:p>
          <w:p w14:paraId="49A56808" w14:textId="77777777" w:rsidR="00DC4A06" w:rsidRDefault="0043294B" w:rsidP="004D2931">
            <w:pPr>
              <w:pStyle w:val="OCPointsBulletsLevel1"/>
            </w:pPr>
            <w:r>
              <w:t xml:space="preserve">the scope, </w:t>
            </w:r>
            <w:proofErr w:type="gramStart"/>
            <w:r>
              <w:t>process</w:t>
            </w:r>
            <w:proofErr w:type="gramEnd"/>
            <w:r>
              <w:t xml:space="preserve"> or functionality of a Capability</w:t>
            </w:r>
          </w:p>
          <w:p w14:paraId="6994D951" w14:textId="77777777" w:rsidR="00DC4A06" w:rsidRPr="00BE59D3" w:rsidRDefault="0043294B" w:rsidP="004D2931">
            <w:pPr>
              <w:pStyle w:val="OCPointsBulletsLevel1"/>
            </w:pPr>
            <w:r>
              <w:t xml:space="preserve">your </w:t>
            </w:r>
            <w:r w:rsidR="00DC4A06" w:rsidRPr="00BE59D3">
              <w:t>environment</w:t>
            </w:r>
            <w:r>
              <w:t xml:space="preserve">, </w:t>
            </w:r>
            <w:proofErr w:type="gramStart"/>
            <w:r>
              <w:t>Premises</w:t>
            </w:r>
            <w:proofErr w:type="gramEnd"/>
            <w:r>
              <w:t xml:space="preserve"> or </w:t>
            </w:r>
            <w:r w:rsidR="00E87DF7">
              <w:t>In-scope Services</w:t>
            </w:r>
          </w:p>
          <w:p w14:paraId="0E61D8A3" w14:textId="77777777" w:rsidR="00DC4A06" w:rsidRPr="00BE59D3" w:rsidRDefault="00DC4A06" w:rsidP="004D2931">
            <w:pPr>
              <w:pStyle w:val="OCPointsBulletsLevel1"/>
            </w:pPr>
            <w:r w:rsidRPr="00BE59D3">
              <w:t xml:space="preserve">the way </w:t>
            </w:r>
            <w:r>
              <w:t>Telstra</w:t>
            </w:r>
            <w:r w:rsidRPr="00BE59D3">
              <w:t xml:space="preserve"> deliver</w:t>
            </w:r>
            <w:r>
              <w:t>s</w:t>
            </w:r>
            <w:r w:rsidRPr="00BE59D3">
              <w:t>, support</w:t>
            </w:r>
            <w:r>
              <w:t>s</w:t>
            </w:r>
            <w:r w:rsidRPr="00BE59D3">
              <w:t xml:space="preserve"> </w:t>
            </w:r>
            <w:r>
              <w:t>and/</w:t>
            </w:r>
            <w:r w:rsidRPr="00BE59D3">
              <w:t>or deploy</w:t>
            </w:r>
            <w:r>
              <w:t xml:space="preserve">s </w:t>
            </w:r>
            <w:r w:rsidR="00E87DF7">
              <w:t xml:space="preserve">In-scope </w:t>
            </w:r>
            <w:proofErr w:type="gramStart"/>
            <w:r w:rsidR="00E87DF7">
              <w:t>Services</w:t>
            </w:r>
            <w:proofErr w:type="gramEnd"/>
          </w:p>
          <w:p w14:paraId="5AC0A162" w14:textId="77777777" w:rsidR="00DC4A06" w:rsidRPr="00BE59D3" w:rsidRDefault="0043294B" w:rsidP="004D2931">
            <w:pPr>
              <w:pStyle w:val="OCPointsBulletsLevel1"/>
            </w:pPr>
            <w:r w:rsidRPr="00BE59D3">
              <w:t xml:space="preserve">data and information </w:t>
            </w:r>
            <w:r w:rsidR="00DC4A06" w:rsidRPr="00BE59D3">
              <w:t xml:space="preserve">underpinning </w:t>
            </w:r>
            <w:r>
              <w:t>an existing knowledge Item.</w:t>
            </w:r>
          </w:p>
          <w:p w14:paraId="2AFC00F9" w14:textId="77777777" w:rsidR="00DC4A06" w:rsidRPr="00BE59D3" w:rsidRDefault="0043294B" w:rsidP="0043294B">
            <w:pPr>
              <w:pStyle w:val="OCPointsBulletsLevel1"/>
            </w:pPr>
            <w:r>
              <w:t>l</w:t>
            </w:r>
            <w:r w:rsidR="00DC4A06" w:rsidRPr="00BE59D3">
              <w:t>egislation impacting the customer or Telstra</w:t>
            </w:r>
          </w:p>
        </w:tc>
      </w:tr>
      <w:tr w:rsidR="00DC4A06" w14:paraId="596F9E04" w14:textId="77777777" w:rsidTr="00DC4A06">
        <w:trPr>
          <w:cantSplit/>
        </w:trPr>
        <w:tc>
          <w:tcPr>
            <w:tcW w:w="1849" w:type="dxa"/>
            <w:shd w:val="clear" w:color="auto" w:fill="E9E9E9"/>
          </w:tcPr>
          <w:p w14:paraId="37B1D694" w14:textId="77777777" w:rsidR="00DC4A06" w:rsidRPr="00026CC1" w:rsidRDefault="00DC4A06" w:rsidP="004D2931">
            <w:pPr>
              <w:pStyle w:val="OCTableText"/>
            </w:pPr>
            <w:r>
              <w:t xml:space="preserve">Present and </w:t>
            </w:r>
            <w:proofErr w:type="gramStart"/>
            <w:r>
              <w:t>Distribute</w:t>
            </w:r>
            <w:proofErr w:type="gramEnd"/>
          </w:p>
        </w:tc>
        <w:tc>
          <w:tcPr>
            <w:tcW w:w="6651" w:type="dxa"/>
            <w:shd w:val="clear" w:color="auto" w:fill="E9E9E9"/>
          </w:tcPr>
          <w:p w14:paraId="3C81C501" w14:textId="77777777" w:rsidR="00DC4A06" w:rsidRPr="00BE59D3" w:rsidRDefault="003E02D2" w:rsidP="003E02D2">
            <w:pPr>
              <w:pStyle w:val="OCTableText"/>
            </w:pPr>
            <w:r>
              <w:t xml:space="preserve">Present the </w:t>
            </w:r>
            <w:r w:rsidR="00DC4A06" w:rsidRPr="00BE59D3">
              <w:t xml:space="preserve">Knowledge Items </w:t>
            </w:r>
            <w:r>
              <w:t xml:space="preserve">in a format appropriate </w:t>
            </w:r>
            <w:r w:rsidR="00DC4A06" w:rsidRPr="00BE59D3">
              <w:t>for the target audience – Customer and Telstra staff</w:t>
            </w:r>
          </w:p>
        </w:tc>
      </w:tr>
    </w:tbl>
    <w:p w14:paraId="2A0DD373" w14:textId="77777777" w:rsidR="001758D7" w:rsidRDefault="001758D7" w:rsidP="00B95902"/>
    <w:p w14:paraId="6F75AE01" w14:textId="77777777" w:rsidR="001758D7" w:rsidRPr="004A1FD3" w:rsidRDefault="001758D7" w:rsidP="0048369E">
      <w:pPr>
        <w:pStyle w:val="Heading2"/>
      </w:pPr>
      <w:r>
        <w:t xml:space="preserve">The following </w:t>
      </w:r>
      <w:r w:rsidR="00B5765E">
        <w:t xml:space="preserve">functionality is </w:t>
      </w:r>
      <w:r>
        <w:t>excluded from Knowledge Management</w:t>
      </w:r>
      <w:r w:rsidR="00B5765E">
        <w:t xml:space="preserve"> (but may be provided as part of other Service Inclusions in your ISM Service)</w:t>
      </w:r>
      <w:r>
        <w:t>:</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6940"/>
      </w:tblGrid>
      <w:tr w:rsidR="001758D7" w14:paraId="59F12304" w14:textId="77777777" w:rsidTr="00905A99">
        <w:trPr>
          <w:cantSplit/>
          <w:tblHeader/>
        </w:trPr>
        <w:tc>
          <w:tcPr>
            <w:tcW w:w="915" w:type="pct"/>
            <w:shd w:val="clear" w:color="auto" w:fill="007AB0"/>
          </w:tcPr>
          <w:p w14:paraId="10A1444B" w14:textId="77777777" w:rsidR="001758D7" w:rsidRPr="00E53F18" w:rsidRDefault="001758D7" w:rsidP="004D2931">
            <w:pPr>
              <w:pStyle w:val="OCTableHeadings"/>
            </w:pPr>
            <w:r w:rsidRPr="00E53F18">
              <w:t>Attribute</w:t>
            </w:r>
          </w:p>
        </w:tc>
        <w:tc>
          <w:tcPr>
            <w:tcW w:w="4085" w:type="pct"/>
            <w:shd w:val="clear" w:color="auto" w:fill="007AB0"/>
          </w:tcPr>
          <w:p w14:paraId="15C5A254" w14:textId="77777777" w:rsidR="001758D7" w:rsidRPr="00E53F18" w:rsidRDefault="001758D7" w:rsidP="004D2931">
            <w:pPr>
              <w:pStyle w:val="OCTableHeadings"/>
            </w:pPr>
            <w:r w:rsidRPr="00E53F18">
              <w:t>Detail</w:t>
            </w:r>
          </w:p>
        </w:tc>
      </w:tr>
      <w:tr w:rsidR="001758D7" w14:paraId="637B4CEC" w14:textId="77777777" w:rsidTr="00B5765E">
        <w:trPr>
          <w:cantSplit/>
        </w:trPr>
        <w:tc>
          <w:tcPr>
            <w:tcW w:w="915" w:type="pct"/>
            <w:shd w:val="clear" w:color="auto" w:fill="E9E9E9"/>
          </w:tcPr>
          <w:p w14:paraId="12D93AA1" w14:textId="77777777" w:rsidR="001758D7" w:rsidRDefault="001758D7" w:rsidP="004D2931">
            <w:pPr>
              <w:pStyle w:val="OCTableText"/>
            </w:pPr>
            <w:r>
              <w:t xml:space="preserve">IT Service Management </w:t>
            </w:r>
          </w:p>
        </w:tc>
        <w:tc>
          <w:tcPr>
            <w:tcW w:w="4085" w:type="pct"/>
            <w:shd w:val="clear" w:color="auto" w:fill="E9E9E9"/>
          </w:tcPr>
          <w:p w14:paraId="32AAF4BA" w14:textId="77777777" w:rsidR="001758D7" w:rsidRDefault="001758D7" w:rsidP="00B5765E">
            <w:pPr>
              <w:pStyle w:val="OCTableText"/>
            </w:pPr>
            <w:r>
              <w:t xml:space="preserve">Knowledge Management has inputs from and outputs to </w:t>
            </w:r>
            <w:r w:rsidR="00B5765E">
              <w:t>other Capabilities</w:t>
            </w:r>
            <w:r>
              <w:t>. It is the single source of truth for these capabilities but is totally independent from the management of them.</w:t>
            </w:r>
          </w:p>
        </w:tc>
      </w:tr>
      <w:tr w:rsidR="001758D7" w14:paraId="3C862A0B" w14:textId="77777777" w:rsidTr="00B5765E">
        <w:trPr>
          <w:cantSplit/>
        </w:trPr>
        <w:tc>
          <w:tcPr>
            <w:tcW w:w="915" w:type="pct"/>
            <w:shd w:val="clear" w:color="auto" w:fill="E9E9E9"/>
          </w:tcPr>
          <w:p w14:paraId="0C42F346" w14:textId="77777777" w:rsidR="001758D7" w:rsidRPr="007913DD" w:rsidRDefault="001758D7" w:rsidP="004D2931">
            <w:pPr>
              <w:pStyle w:val="OCTableText"/>
            </w:pPr>
            <w:r w:rsidRPr="007913DD">
              <w:t xml:space="preserve">Integration with Customer knowledge </w:t>
            </w:r>
          </w:p>
        </w:tc>
        <w:tc>
          <w:tcPr>
            <w:tcW w:w="4085" w:type="pct"/>
            <w:shd w:val="clear" w:color="auto" w:fill="E9E9E9"/>
          </w:tcPr>
          <w:p w14:paraId="7F7B695E" w14:textId="77777777" w:rsidR="001758D7" w:rsidRPr="007913DD" w:rsidRDefault="00027A83" w:rsidP="00027A83">
            <w:pPr>
              <w:pStyle w:val="OCTableText"/>
            </w:pPr>
            <w:r>
              <w:t xml:space="preserve">Knowledge Management will be available through the agreed Contact </w:t>
            </w:r>
            <w:proofErr w:type="gramStart"/>
            <w:r>
              <w:t>Channels, but</w:t>
            </w:r>
            <w:proofErr w:type="gramEnd"/>
            <w:r>
              <w:t xml:space="preserve"> is not otherwise </w:t>
            </w:r>
            <w:r w:rsidR="001758D7" w:rsidRPr="007913DD">
              <w:t xml:space="preserve">integrated </w:t>
            </w:r>
            <w:r>
              <w:t xml:space="preserve">with your </w:t>
            </w:r>
            <w:r w:rsidR="001758D7" w:rsidRPr="007913DD">
              <w:t xml:space="preserve">knowledge management </w:t>
            </w:r>
            <w:r>
              <w:t>systems or environment.</w:t>
            </w:r>
          </w:p>
        </w:tc>
      </w:tr>
    </w:tbl>
    <w:p w14:paraId="0207BB3F" w14:textId="77777777" w:rsidR="002725AA" w:rsidRDefault="002725AA" w:rsidP="002725AA"/>
    <w:p w14:paraId="7DA70BCB" w14:textId="77777777" w:rsidR="001758D7" w:rsidRPr="0048369E" w:rsidRDefault="001758D7" w:rsidP="0048369E">
      <w:pPr>
        <w:pStyle w:val="Heading1"/>
      </w:pPr>
      <w:bookmarkStart w:id="31" w:name="_Toc486819587"/>
      <w:r w:rsidRPr="0048369E">
        <w:t xml:space="preserve">Access </w:t>
      </w:r>
      <w:r w:rsidR="002725AA" w:rsidRPr="0048369E">
        <w:t>Management</w:t>
      </w:r>
      <w:bookmarkEnd w:id="31"/>
    </w:p>
    <w:p w14:paraId="0C7C5586" w14:textId="77777777" w:rsidR="004342E0" w:rsidRDefault="001758D7" w:rsidP="00850C9C">
      <w:pPr>
        <w:pStyle w:val="Heading2"/>
      </w:pPr>
      <w:r>
        <w:t xml:space="preserve">We will </w:t>
      </w:r>
      <w:r w:rsidR="00850C9C">
        <w:t xml:space="preserve">implement an </w:t>
      </w:r>
      <w:r>
        <w:t xml:space="preserve">Access Management </w:t>
      </w:r>
      <w:r w:rsidR="00850C9C">
        <w:t xml:space="preserve">process </w:t>
      </w:r>
      <w:r>
        <w:t xml:space="preserve">in accordance with standardised </w:t>
      </w:r>
      <w:r w:rsidRPr="00956BF1">
        <w:t>method</w:t>
      </w:r>
      <w:r>
        <w:t>s and processes</w:t>
      </w:r>
      <w:r w:rsidR="004342E0">
        <w:t xml:space="preserve">, or as otherwise set out in your agreement. Access Management is the process used to grant your </w:t>
      </w:r>
      <w:r w:rsidR="00850C9C">
        <w:t>A</w:t>
      </w:r>
      <w:r w:rsidR="00850C9C" w:rsidRPr="00850C9C">
        <w:t xml:space="preserve">uthorised </w:t>
      </w:r>
      <w:r w:rsidR="00850C9C">
        <w:t>U</w:t>
      </w:r>
      <w:r w:rsidR="00850C9C" w:rsidRPr="00850C9C">
        <w:t xml:space="preserve">sers </w:t>
      </w:r>
      <w:r w:rsidR="004342E0">
        <w:t xml:space="preserve">access your ISM Service and </w:t>
      </w:r>
      <w:r w:rsidR="00E87DF7">
        <w:t>In-scope Services</w:t>
      </w:r>
      <w:r w:rsidR="004342E0">
        <w:t xml:space="preserve">, </w:t>
      </w:r>
      <w:r w:rsidR="00850C9C">
        <w:t>while preventing access to non-</w:t>
      </w:r>
      <w:r w:rsidR="00850C9C" w:rsidRPr="00850C9C">
        <w:t>authorised users</w:t>
      </w:r>
      <w:r w:rsidR="004342E0">
        <w:t>.</w:t>
      </w:r>
    </w:p>
    <w:p w14:paraId="18E9B9F1" w14:textId="77777777" w:rsidR="001758D7" w:rsidRDefault="004342E0" w:rsidP="00850C9C">
      <w:pPr>
        <w:pStyle w:val="Heading2"/>
      </w:pPr>
      <w:r>
        <w:t>The following functionality will be provided as part of Access Management</w:t>
      </w:r>
      <w:r w:rsidR="001758D7">
        <w:t>:</w:t>
      </w:r>
    </w:p>
    <w:p w14:paraId="598F183C" w14:textId="77777777" w:rsidR="001758D7" w:rsidRDefault="001758D7" w:rsidP="0048369E">
      <w:pPr>
        <w:pStyle w:val="Heading3"/>
      </w:pPr>
      <w:r w:rsidRPr="00956BF1">
        <w:t xml:space="preserve">handling of all requests for access to </w:t>
      </w:r>
      <w:r>
        <w:t>In-scope Services</w:t>
      </w:r>
      <w:r w:rsidRPr="00956BF1">
        <w:t xml:space="preserve"> managed or provided by Telstra</w:t>
      </w:r>
      <w:r>
        <w:t>;</w:t>
      </w:r>
    </w:p>
    <w:p w14:paraId="61A18CC9" w14:textId="77777777" w:rsidR="001758D7" w:rsidRDefault="001758D7" w:rsidP="0048369E">
      <w:pPr>
        <w:pStyle w:val="Heading3"/>
      </w:pPr>
      <w:r w:rsidRPr="00956BF1">
        <w:t xml:space="preserve">security verification, approval and conflict checking </w:t>
      </w:r>
      <w:r>
        <w:t>in connection with</w:t>
      </w:r>
      <w:r w:rsidRPr="00956BF1">
        <w:t xml:space="preserve"> requests for access; and </w:t>
      </w:r>
    </w:p>
    <w:p w14:paraId="0DA2F6CE" w14:textId="77777777" w:rsidR="001758D7" w:rsidRPr="00C03D03" w:rsidRDefault="001758D7" w:rsidP="0048369E">
      <w:pPr>
        <w:pStyle w:val="Heading3"/>
        <w:rPr>
          <w:color w:val="1C1C1C"/>
        </w:rPr>
      </w:pPr>
      <w:r w:rsidRPr="00956BF1">
        <w:t>periodic access verification checks to verify all access is valid.</w:t>
      </w:r>
    </w:p>
    <w:p w14:paraId="3FE2F302" w14:textId="77777777" w:rsidR="001758D7" w:rsidRDefault="001758D7" w:rsidP="00633E6D"/>
    <w:p w14:paraId="00917A15" w14:textId="77777777" w:rsidR="001758D7" w:rsidRPr="0048369E" w:rsidRDefault="001758D7" w:rsidP="0048369E">
      <w:pPr>
        <w:pStyle w:val="Heading1"/>
      </w:pPr>
      <w:bookmarkStart w:id="32" w:name="_Toc486819588"/>
      <w:r w:rsidRPr="0048369E">
        <w:t>Reporting</w:t>
      </w:r>
      <w:bookmarkEnd w:id="32"/>
    </w:p>
    <w:p w14:paraId="68052FC0" w14:textId="77777777" w:rsidR="001758D7" w:rsidRDefault="001758D7" w:rsidP="0048369E">
      <w:pPr>
        <w:pStyle w:val="Heading2"/>
      </w:pPr>
      <w:r>
        <w:t>We will provide you with a consolidated monthly report which sets out your use of the ISM Service and it may also contain certain information on our provision of the In-scope Services against the</w:t>
      </w:r>
      <w:r w:rsidR="00597F85">
        <w:t>ir respective</w:t>
      </w:r>
      <w:r>
        <w:t xml:space="preserve"> service targets </w:t>
      </w:r>
      <w:r w:rsidR="00597F85">
        <w:t>(Basic Reporting)</w:t>
      </w:r>
      <w:r>
        <w:t xml:space="preserve">. </w:t>
      </w:r>
    </w:p>
    <w:p w14:paraId="2A05B477" w14:textId="77777777" w:rsidR="00597F85" w:rsidRDefault="00597F85" w:rsidP="0048369E">
      <w:pPr>
        <w:pStyle w:val="Heading2"/>
      </w:pPr>
      <w:r>
        <w:t>If you have taken up Detailed Reporting, we will provide an expanded view of the data underpinning the basic report across your Incidents and Service Requests (</w:t>
      </w:r>
      <w:proofErr w:type="gramStart"/>
      <w:r>
        <w:t>e.g.</w:t>
      </w:r>
      <w:proofErr w:type="gramEnd"/>
      <w:r>
        <w:t xml:space="preserve"> the number of service requests outstanding, description, status and reason).</w:t>
      </w:r>
    </w:p>
    <w:p w14:paraId="37E904C2" w14:textId="77777777" w:rsidR="001758D7" w:rsidRDefault="00F51E0D" w:rsidP="0048369E">
      <w:pPr>
        <w:pStyle w:val="Heading2"/>
      </w:pPr>
      <w:r>
        <w:t>If you have taken up Advanced Reporting, we</w:t>
      </w:r>
      <w:r w:rsidR="007B3273">
        <w:t xml:space="preserve"> will provide </w:t>
      </w:r>
      <w:r w:rsidR="00597F85">
        <w:t>further</w:t>
      </w:r>
      <w:r w:rsidR="007B3273">
        <w:t xml:space="preserve"> </w:t>
      </w:r>
      <w:r>
        <w:t>r</w:t>
      </w:r>
      <w:r w:rsidR="007B3273">
        <w:t xml:space="preserve">eports </w:t>
      </w:r>
      <w:r>
        <w:t xml:space="preserve">customised to match your specific organisational requirements, as set out </w:t>
      </w:r>
      <w:r w:rsidR="007B3273">
        <w:t>in your agreement with us</w:t>
      </w:r>
      <w:r w:rsidR="001758D7">
        <w:t>.</w:t>
      </w:r>
    </w:p>
    <w:p w14:paraId="016863EB" w14:textId="77777777" w:rsidR="001758D7" w:rsidRPr="0048369E" w:rsidRDefault="001758D7" w:rsidP="0048369E">
      <w:pPr>
        <w:pStyle w:val="Heading1"/>
      </w:pPr>
      <w:bookmarkStart w:id="33" w:name="_Toc486819589"/>
      <w:r w:rsidRPr="0048369E">
        <w:t xml:space="preserve">Major </w:t>
      </w:r>
      <w:r w:rsidR="002725AA" w:rsidRPr="0048369E">
        <w:t>Incident Management</w:t>
      </w:r>
      <w:bookmarkEnd w:id="33"/>
    </w:p>
    <w:p w14:paraId="1CCDCEE4" w14:textId="77777777" w:rsidR="001758D7" w:rsidRDefault="00FF0C6E" w:rsidP="0048369E">
      <w:pPr>
        <w:pStyle w:val="Heading2"/>
      </w:pPr>
      <w:r>
        <w:t xml:space="preserve">Major Incident Management enhances the Incident Management Capability to provide an elevated level of control, co-ordination and communication for </w:t>
      </w:r>
      <w:r w:rsidR="001758D7">
        <w:t>Priority 1 and Priority 2 Incidents</w:t>
      </w:r>
      <w:r>
        <w:t>,</w:t>
      </w:r>
      <w:r w:rsidR="001758D7">
        <w:t xml:space="preserve"> </w:t>
      </w:r>
      <w:r>
        <w:t xml:space="preserve">to be </w:t>
      </w:r>
      <w:r w:rsidR="001758D7">
        <w:t>managed by our Major Incident Management team.</w:t>
      </w:r>
    </w:p>
    <w:p w14:paraId="1E86D43A" w14:textId="77777777" w:rsidR="001758D7" w:rsidRDefault="001758D7" w:rsidP="0048369E">
      <w:pPr>
        <w:pStyle w:val="Heading2"/>
      </w:pPr>
      <w:r>
        <w:t>The Major Incident Management team will:</w:t>
      </w:r>
    </w:p>
    <w:p w14:paraId="35887A6B" w14:textId="77777777" w:rsidR="001758D7" w:rsidRDefault="001758D7" w:rsidP="0048369E">
      <w:pPr>
        <w:pStyle w:val="Heading3"/>
      </w:pPr>
      <w:r>
        <w:t>monitor Priority Level</w:t>
      </w:r>
      <w:r w:rsidRPr="00F5196D">
        <w:t xml:space="preserve"> 1 and </w:t>
      </w:r>
      <w:r>
        <w:t>Priority Level</w:t>
      </w:r>
      <w:r w:rsidRPr="00F5196D">
        <w:t xml:space="preserve"> 2</w:t>
      </w:r>
      <w:r>
        <w:t xml:space="preserve"> Incidents until </w:t>
      </w:r>
      <w:r w:rsidR="00E1718F" w:rsidRPr="005C6CCD">
        <w:t>Resolved</w:t>
      </w:r>
      <w:r>
        <w:t>;</w:t>
      </w:r>
    </w:p>
    <w:p w14:paraId="4FCD25B0" w14:textId="77777777" w:rsidR="001758D7" w:rsidRDefault="001758D7" w:rsidP="0048369E">
      <w:pPr>
        <w:pStyle w:val="Heading3"/>
      </w:pPr>
      <w:r>
        <w:t xml:space="preserve">facilitate the development and implementation of restoration plans (including any temporary or permanent </w:t>
      </w:r>
      <w:proofErr w:type="gramStart"/>
      <w:r>
        <w:t>work-arounds</w:t>
      </w:r>
      <w:proofErr w:type="gramEnd"/>
      <w:r>
        <w:t>);</w:t>
      </w:r>
    </w:p>
    <w:p w14:paraId="0C2BA5C3" w14:textId="77777777" w:rsidR="001758D7" w:rsidRDefault="001758D7" w:rsidP="0048369E">
      <w:pPr>
        <w:pStyle w:val="Heading3"/>
      </w:pPr>
      <w:r>
        <w:t>conduct risk analysis and develop contingency plans for Incident resolution as required;</w:t>
      </w:r>
    </w:p>
    <w:p w14:paraId="0182CEA2" w14:textId="77777777" w:rsidR="001758D7" w:rsidRDefault="001758D7" w:rsidP="0048369E">
      <w:pPr>
        <w:pStyle w:val="Heading3"/>
      </w:pPr>
      <w:r>
        <w:t>provide regular status updates as agreed with you, through the course of a major incident;</w:t>
      </w:r>
    </w:p>
    <w:p w14:paraId="123DD773" w14:textId="77777777" w:rsidR="001758D7" w:rsidRDefault="001758D7" w:rsidP="00E1718F">
      <w:pPr>
        <w:pStyle w:val="Heading3"/>
      </w:pPr>
      <w:r>
        <w:t>provide Post Incident Review (</w:t>
      </w:r>
      <w:r w:rsidRPr="00E1718F">
        <w:rPr>
          <w:b/>
        </w:rPr>
        <w:t>PIR</w:t>
      </w:r>
      <w:r>
        <w:t>) reports within 6 Business Days from the date of resolution of the Incident; and</w:t>
      </w:r>
    </w:p>
    <w:p w14:paraId="697F0BE7" w14:textId="77777777" w:rsidR="001758D7" w:rsidRDefault="001758D7" w:rsidP="0048369E">
      <w:pPr>
        <w:pStyle w:val="Heading3"/>
      </w:pPr>
      <w:r>
        <w:t>if requested, participate in any post-Incident reviews conducted by you.</w:t>
      </w:r>
    </w:p>
    <w:p w14:paraId="49F879F1" w14:textId="77777777" w:rsidR="001758D7" w:rsidRDefault="001758D7" w:rsidP="0048369E">
      <w:pPr>
        <w:pStyle w:val="Heading2"/>
      </w:pPr>
      <w:r>
        <w:t xml:space="preserve">The following </w:t>
      </w:r>
      <w:r w:rsidR="00B52542">
        <w:t xml:space="preserve">functionality will be provided as part of </w:t>
      </w:r>
      <w:r>
        <w:t>Major Incident Management:</w:t>
      </w:r>
    </w:p>
    <w:tbl>
      <w:tblPr>
        <w:tblStyle w:val="TableGrid"/>
        <w:tblW w:w="85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25"/>
        <w:gridCol w:w="6575"/>
      </w:tblGrid>
      <w:tr w:rsidR="00B52542" w14:paraId="73BD390F" w14:textId="77777777" w:rsidTr="00905A99">
        <w:trPr>
          <w:cantSplit/>
          <w:tblHeader/>
        </w:trPr>
        <w:tc>
          <w:tcPr>
            <w:tcW w:w="1925" w:type="dxa"/>
            <w:shd w:val="clear" w:color="auto" w:fill="007AB0"/>
          </w:tcPr>
          <w:p w14:paraId="5C6AEC9D" w14:textId="77777777" w:rsidR="00B52542" w:rsidRPr="00E53F18" w:rsidRDefault="00B52542" w:rsidP="004D2931">
            <w:pPr>
              <w:pStyle w:val="OCTableHeadings"/>
            </w:pPr>
            <w:r w:rsidRPr="00E53F18">
              <w:t>Attribute</w:t>
            </w:r>
          </w:p>
        </w:tc>
        <w:tc>
          <w:tcPr>
            <w:tcW w:w="6575" w:type="dxa"/>
            <w:shd w:val="clear" w:color="auto" w:fill="007AB0"/>
          </w:tcPr>
          <w:p w14:paraId="0D04299E" w14:textId="77777777" w:rsidR="00B52542" w:rsidRPr="00E53F18" w:rsidRDefault="00B52542" w:rsidP="004D2931">
            <w:pPr>
              <w:pStyle w:val="OCTableHeadings"/>
            </w:pPr>
            <w:r w:rsidRPr="00E53F18">
              <w:t>Detail</w:t>
            </w:r>
          </w:p>
        </w:tc>
      </w:tr>
      <w:tr w:rsidR="00B52542" w14:paraId="5B1FE62C" w14:textId="77777777" w:rsidTr="00B52542">
        <w:trPr>
          <w:cantSplit/>
        </w:trPr>
        <w:tc>
          <w:tcPr>
            <w:tcW w:w="1925" w:type="dxa"/>
            <w:shd w:val="clear" w:color="auto" w:fill="E9E9E9"/>
          </w:tcPr>
          <w:p w14:paraId="3D42EA29" w14:textId="77777777" w:rsidR="00B52542" w:rsidRPr="000355A3" w:rsidRDefault="00B52542" w:rsidP="004D2931">
            <w:pPr>
              <w:pStyle w:val="OCTableText"/>
            </w:pPr>
            <w:r w:rsidRPr="000355A3">
              <w:t>Major Incident Acceptance</w:t>
            </w:r>
          </w:p>
        </w:tc>
        <w:tc>
          <w:tcPr>
            <w:tcW w:w="6575" w:type="dxa"/>
            <w:shd w:val="clear" w:color="auto" w:fill="E9E9E9"/>
          </w:tcPr>
          <w:p w14:paraId="4B1E0E85" w14:textId="77777777" w:rsidR="00B52542" w:rsidRPr="000355A3" w:rsidRDefault="00B52542" w:rsidP="00043310">
            <w:pPr>
              <w:pStyle w:val="OCTableText"/>
            </w:pPr>
            <w:r w:rsidRPr="000355A3">
              <w:t>Major Incident Management</w:t>
            </w:r>
            <w:r>
              <w:t xml:space="preserve"> </w:t>
            </w:r>
            <w:r w:rsidR="007B39EE">
              <w:t xml:space="preserve">may change </w:t>
            </w:r>
            <w:r w:rsidR="00043310">
              <w:t xml:space="preserve">Incident Management </w:t>
            </w:r>
            <w:r w:rsidR="007B39EE">
              <w:t>reporting process</w:t>
            </w:r>
            <w:r w:rsidR="00043310">
              <w:t>es</w:t>
            </w:r>
            <w:r w:rsidR="007B39EE">
              <w:t xml:space="preserve"> </w:t>
            </w:r>
            <w:r w:rsidR="00043310">
              <w:t xml:space="preserve">for </w:t>
            </w:r>
            <w:r w:rsidR="007B39EE" w:rsidRPr="007B39EE">
              <w:t xml:space="preserve">incidents </w:t>
            </w:r>
            <w:r w:rsidR="007B39EE">
              <w:t>that have a higher impact or urgency.</w:t>
            </w:r>
          </w:p>
        </w:tc>
      </w:tr>
      <w:tr w:rsidR="00B52542" w14:paraId="5F395813" w14:textId="77777777" w:rsidTr="00B52542">
        <w:trPr>
          <w:cantSplit/>
        </w:trPr>
        <w:tc>
          <w:tcPr>
            <w:tcW w:w="1925" w:type="dxa"/>
            <w:vMerge w:val="restart"/>
            <w:shd w:val="clear" w:color="auto" w:fill="E9E9E9"/>
          </w:tcPr>
          <w:p w14:paraId="71CE085D" w14:textId="77777777" w:rsidR="00B52542" w:rsidRPr="000355A3" w:rsidRDefault="00B52542" w:rsidP="004D2931">
            <w:pPr>
              <w:pStyle w:val="OCTableText"/>
            </w:pPr>
            <w:r>
              <w:t>Stakeholder Communication</w:t>
            </w:r>
          </w:p>
        </w:tc>
        <w:tc>
          <w:tcPr>
            <w:tcW w:w="6575" w:type="dxa"/>
            <w:shd w:val="clear" w:color="auto" w:fill="E9E9E9"/>
          </w:tcPr>
          <w:p w14:paraId="0823C496" w14:textId="77777777" w:rsidR="00B52542" w:rsidRPr="000355A3" w:rsidRDefault="00B52542" w:rsidP="004D2931">
            <w:pPr>
              <w:pStyle w:val="OCTableText"/>
            </w:pPr>
            <w:r>
              <w:t xml:space="preserve">Initial Communication: </w:t>
            </w:r>
            <w:r w:rsidRPr="00B925BE">
              <w:t>The first communication to all stakeholders is sent out as per the agreed Communication Plan</w:t>
            </w:r>
            <w:r>
              <w:t xml:space="preserve">. </w:t>
            </w:r>
            <w:r w:rsidRPr="00B925BE">
              <w:t xml:space="preserve">Note that the roles of the Major Incident Manager and the Communications Manager may be </w:t>
            </w:r>
            <w:r>
              <w:t>performed</w:t>
            </w:r>
            <w:r w:rsidRPr="00B925BE">
              <w:t xml:space="preserve"> by one or more members of the MIM team.</w:t>
            </w:r>
          </w:p>
        </w:tc>
      </w:tr>
      <w:tr w:rsidR="00B52542" w14:paraId="32E48AAE" w14:textId="77777777" w:rsidTr="00B52542">
        <w:trPr>
          <w:cantSplit/>
        </w:trPr>
        <w:tc>
          <w:tcPr>
            <w:tcW w:w="1925" w:type="dxa"/>
            <w:vMerge/>
            <w:shd w:val="clear" w:color="auto" w:fill="E9E9E9"/>
          </w:tcPr>
          <w:p w14:paraId="35F4C9D6" w14:textId="77777777" w:rsidR="00B52542" w:rsidRDefault="00B52542" w:rsidP="004D2931">
            <w:pPr>
              <w:pStyle w:val="OCTableText"/>
            </w:pPr>
          </w:p>
        </w:tc>
        <w:tc>
          <w:tcPr>
            <w:tcW w:w="6575" w:type="dxa"/>
            <w:shd w:val="clear" w:color="auto" w:fill="E9E9E9"/>
          </w:tcPr>
          <w:p w14:paraId="0AEFF707" w14:textId="77777777" w:rsidR="00B52542" w:rsidRPr="00B925BE" w:rsidRDefault="00B52542" w:rsidP="004D2931">
            <w:pPr>
              <w:pStyle w:val="OCTableText"/>
            </w:pPr>
            <w:r>
              <w:t xml:space="preserve">Interim Communications: </w:t>
            </w:r>
            <w:r w:rsidRPr="00D55134">
              <w:t>The communications to update all stakeholders is sent out as per the agreed Communication Plan. Note that the roles of the Major Incident Manager and the Communications Manager may be done by one or more members of the MIM team.</w:t>
            </w:r>
          </w:p>
        </w:tc>
      </w:tr>
      <w:tr w:rsidR="00B52542" w14:paraId="272C0514" w14:textId="77777777" w:rsidTr="00B52542">
        <w:trPr>
          <w:cantSplit/>
        </w:trPr>
        <w:tc>
          <w:tcPr>
            <w:tcW w:w="1925" w:type="dxa"/>
            <w:vMerge/>
            <w:shd w:val="clear" w:color="auto" w:fill="E9E9E9"/>
          </w:tcPr>
          <w:p w14:paraId="04A90577" w14:textId="77777777" w:rsidR="00B52542" w:rsidRDefault="00B52542" w:rsidP="004D2931">
            <w:pPr>
              <w:pStyle w:val="OCTableText"/>
            </w:pPr>
          </w:p>
        </w:tc>
        <w:tc>
          <w:tcPr>
            <w:tcW w:w="6575" w:type="dxa"/>
            <w:shd w:val="clear" w:color="auto" w:fill="E9E9E9"/>
          </w:tcPr>
          <w:p w14:paraId="634347F2" w14:textId="77777777" w:rsidR="00B52542" w:rsidRPr="00B925BE" w:rsidRDefault="00B52542" w:rsidP="004D2931">
            <w:pPr>
              <w:pStyle w:val="OCTableText"/>
            </w:pPr>
            <w:r>
              <w:t xml:space="preserve">Resolution Communication: </w:t>
            </w:r>
            <w:r w:rsidRPr="006328AA">
              <w:t>Th</w:t>
            </w:r>
            <w:r>
              <w:t>is</w:t>
            </w:r>
            <w:r w:rsidRPr="006328AA">
              <w:t xml:space="preserve"> communication confirm</w:t>
            </w:r>
            <w:r>
              <w:t>s</w:t>
            </w:r>
            <w:r w:rsidRPr="006328AA">
              <w:t xml:space="preserve"> that the Major Inc</w:t>
            </w:r>
            <w:r>
              <w:t>ident is resolved successfully. It</w:t>
            </w:r>
            <w:r w:rsidRPr="006328AA">
              <w:t xml:space="preserve"> is sent out as per the agreed Communication Plan.</w:t>
            </w:r>
            <w:r>
              <w:t xml:space="preserve"> </w:t>
            </w:r>
            <w:r w:rsidRPr="00B925BE">
              <w:t xml:space="preserve">Note that the roles of the Major Incident Manager and the Communications Manager may be </w:t>
            </w:r>
            <w:r>
              <w:t>performed</w:t>
            </w:r>
            <w:r w:rsidRPr="00B925BE">
              <w:t xml:space="preserve"> by one or more members of the MIM team.</w:t>
            </w:r>
          </w:p>
        </w:tc>
      </w:tr>
      <w:tr w:rsidR="00B52542" w14:paraId="29A0FC04" w14:textId="77777777" w:rsidTr="00B52542">
        <w:trPr>
          <w:cantSplit/>
        </w:trPr>
        <w:tc>
          <w:tcPr>
            <w:tcW w:w="1925" w:type="dxa"/>
            <w:shd w:val="clear" w:color="auto" w:fill="E9E9E9"/>
          </w:tcPr>
          <w:p w14:paraId="5ECB94E6" w14:textId="77777777" w:rsidR="00B52542" w:rsidRDefault="00B52542" w:rsidP="004D2931">
            <w:pPr>
              <w:pStyle w:val="OCTableText"/>
            </w:pPr>
            <w:r w:rsidRPr="00B925BE">
              <w:t>Technical and Stakeholder Conference Bridges</w:t>
            </w:r>
          </w:p>
        </w:tc>
        <w:tc>
          <w:tcPr>
            <w:tcW w:w="6575" w:type="dxa"/>
            <w:shd w:val="clear" w:color="auto" w:fill="E9E9E9"/>
          </w:tcPr>
          <w:p w14:paraId="431C2414" w14:textId="77777777" w:rsidR="00B52542" w:rsidRPr="00B925BE" w:rsidRDefault="00B52542" w:rsidP="004D2931">
            <w:pPr>
              <w:pStyle w:val="OCTableText"/>
            </w:pPr>
            <w:r w:rsidRPr="00B925BE">
              <w:t>Establish/Run Technical and Stakeholder Conference Bridges as required</w:t>
            </w:r>
            <w:r>
              <w:t xml:space="preserve">. </w:t>
            </w:r>
            <w:r w:rsidRPr="00B67365">
              <w:t>All parties involved in the resolution effort are requested to attend the Technical and/or Stakeholder conference calls to discus</w:t>
            </w:r>
            <w:r>
              <w:t>s various aspects of the major i</w:t>
            </w:r>
            <w:r w:rsidRPr="00B67365">
              <w:t>ncident.</w:t>
            </w:r>
          </w:p>
        </w:tc>
      </w:tr>
      <w:tr w:rsidR="00B52542" w14:paraId="21224D7B" w14:textId="77777777" w:rsidTr="00B52542">
        <w:trPr>
          <w:cantSplit/>
        </w:trPr>
        <w:tc>
          <w:tcPr>
            <w:tcW w:w="1925" w:type="dxa"/>
            <w:shd w:val="clear" w:color="auto" w:fill="E9E9E9"/>
          </w:tcPr>
          <w:p w14:paraId="1FF0FCBF" w14:textId="77777777" w:rsidR="00B52542" w:rsidRPr="00B925BE" w:rsidRDefault="00B52542" w:rsidP="004D2931">
            <w:pPr>
              <w:pStyle w:val="OCTableText"/>
            </w:pPr>
            <w:r w:rsidRPr="00B67365">
              <w:t>Resolution Plan</w:t>
            </w:r>
          </w:p>
        </w:tc>
        <w:tc>
          <w:tcPr>
            <w:tcW w:w="6575" w:type="dxa"/>
            <w:shd w:val="clear" w:color="auto" w:fill="E9E9E9"/>
          </w:tcPr>
          <w:p w14:paraId="7B1CF650" w14:textId="77777777" w:rsidR="00B52542" w:rsidRPr="00B925BE" w:rsidRDefault="00B52542" w:rsidP="004D2931">
            <w:pPr>
              <w:pStyle w:val="OCTableText"/>
            </w:pPr>
            <w:r w:rsidRPr="00B67365">
              <w:t xml:space="preserve">The assigned Major Incident Manager controls and coordinates the development </w:t>
            </w:r>
            <w:r>
              <w:t>and</w:t>
            </w:r>
            <w:r w:rsidRPr="00B67365">
              <w:t xml:space="preserve"> update of the Resolution Plan by the Technical Groups. The Resolution Plan sets out the actions to be taken, the parties responsible and their target completion date/time.</w:t>
            </w:r>
          </w:p>
        </w:tc>
      </w:tr>
      <w:tr w:rsidR="00B52542" w14:paraId="4B9EE882" w14:textId="77777777" w:rsidTr="00B52542">
        <w:trPr>
          <w:cantSplit/>
        </w:trPr>
        <w:tc>
          <w:tcPr>
            <w:tcW w:w="1925" w:type="dxa"/>
            <w:shd w:val="clear" w:color="auto" w:fill="E9E9E9"/>
          </w:tcPr>
          <w:p w14:paraId="3C03293F" w14:textId="77777777" w:rsidR="00B52542" w:rsidRPr="00B67365" w:rsidRDefault="00B52542" w:rsidP="004D2931">
            <w:pPr>
              <w:pStyle w:val="OCTableText"/>
            </w:pPr>
            <w:r>
              <w:t>Resolution Activities</w:t>
            </w:r>
          </w:p>
        </w:tc>
        <w:tc>
          <w:tcPr>
            <w:tcW w:w="6575" w:type="dxa"/>
            <w:shd w:val="clear" w:color="auto" w:fill="E9E9E9"/>
          </w:tcPr>
          <w:p w14:paraId="60522D40" w14:textId="77777777" w:rsidR="00B52542" w:rsidRPr="00B67365" w:rsidRDefault="00B52542" w:rsidP="004D2931">
            <w:pPr>
              <w:pStyle w:val="OCTableText"/>
            </w:pPr>
            <w:r w:rsidRPr="00D55134">
              <w:t>The Technical Groups perform the actions in the time frame as set out in the Resolution Plan and provide status updates as required.</w:t>
            </w:r>
          </w:p>
        </w:tc>
      </w:tr>
      <w:tr w:rsidR="00B52542" w14:paraId="3E25585F" w14:textId="77777777" w:rsidTr="00B52542">
        <w:trPr>
          <w:cantSplit/>
        </w:trPr>
        <w:tc>
          <w:tcPr>
            <w:tcW w:w="1925" w:type="dxa"/>
            <w:shd w:val="clear" w:color="auto" w:fill="E9E9E9"/>
          </w:tcPr>
          <w:p w14:paraId="2A4AB186" w14:textId="77777777" w:rsidR="00B52542" w:rsidRDefault="00B52542" w:rsidP="004D2931">
            <w:pPr>
              <w:pStyle w:val="OCTableText"/>
            </w:pPr>
            <w:r w:rsidRPr="00AD3DA5">
              <w:t>Monitor Resolution Progress</w:t>
            </w:r>
          </w:p>
        </w:tc>
        <w:tc>
          <w:tcPr>
            <w:tcW w:w="6575" w:type="dxa"/>
            <w:shd w:val="clear" w:color="auto" w:fill="E9E9E9"/>
          </w:tcPr>
          <w:p w14:paraId="0E89238C" w14:textId="77777777" w:rsidR="00B52542" w:rsidRPr="00D55134" w:rsidRDefault="00B52542" w:rsidP="004D2931">
            <w:pPr>
              <w:pStyle w:val="OCTableText"/>
            </w:pPr>
            <w:r w:rsidRPr="00AD3DA5">
              <w:t>The assigned Major Incident Manager monitors the resolution progress of the Technical Groups.</w:t>
            </w:r>
          </w:p>
        </w:tc>
      </w:tr>
      <w:tr w:rsidR="00B52542" w14:paraId="17633334" w14:textId="77777777" w:rsidTr="00B52542">
        <w:trPr>
          <w:cantSplit/>
        </w:trPr>
        <w:tc>
          <w:tcPr>
            <w:tcW w:w="1925" w:type="dxa"/>
            <w:shd w:val="clear" w:color="auto" w:fill="E9E9E9"/>
          </w:tcPr>
          <w:p w14:paraId="39BC1C4A" w14:textId="77777777" w:rsidR="00B52542" w:rsidRPr="00AD3DA5" w:rsidRDefault="00B52542" w:rsidP="004D2931">
            <w:pPr>
              <w:pStyle w:val="OCTableText"/>
            </w:pPr>
            <w:r w:rsidRPr="00AD3DA5">
              <w:t>Business Impac</w:t>
            </w:r>
            <w:r>
              <w:t>t</w:t>
            </w:r>
            <w:r w:rsidRPr="00AD3DA5">
              <w:t xml:space="preserve"> Assess</w:t>
            </w:r>
            <w:r>
              <w:t>ment</w:t>
            </w:r>
          </w:p>
        </w:tc>
        <w:tc>
          <w:tcPr>
            <w:tcW w:w="6575" w:type="dxa"/>
            <w:shd w:val="clear" w:color="auto" w:fill="E9E9E9"/>
          </w:tcPr>
          <w:p w14:paraId="00960C51" w14:textId="77777777" w:rsidR="00B52542" w:rsidRPr="00AD3DA5" w:rsidRDefault="00B52542" w:rsidP="004D2931">
            <w:pPr>
              <w:pStyle w:val="OCTableText"/>
            </w:pPr>
            <w:r w:rsidRPr="00AD3DA5">
              <w:t xml:space="preserve">The assigned Major Incident Manager monitors the </w:t>
            </w:r>
            <w:r>
              <w:t xml:space="preserve">customer’s business </w:t>
            </w:r>
            <w:r w:rsidRPr="00AD3DA5">
              <w:t>criticality level at regular intervals.</w:t>
            </w:r>
            <w:r>
              <w:t xml:space="preserve"> </w:t>
            </w:r>
            <w:r w:rsidRPr="00AD3DA5">
              <w:t>The M</w:t>
            </w:r>
            <w:r>
              <w:t xml:space="preserve">ajor </w:t>
            </w:r>
            <w:r w:rsidRPr="00AD3DA5">
              <w:t>I</w:t>
            </w:r>
            <w:r>
              <w:t xml:space="preserve">ncident </w:t>
            </w:r>
            <w:r w:rsidRPr="00AD3DA5">
              <w:t>M</w:t>
            </w:r>
            <w:r>
              <w:t>anager,</w:t>
            </w:r>
            <w:r w:rsidRPr="00AD3DA5">
              <w:t xml:space="preserve"> </w:t>
            </w:r>
            <w:r>
              <w:t>i</w:t>
            </w:r>
            <w:r w:rsidRPr="00AD3DA5">
              <w:t xml:space="preserve">n conjunction with the Service Delivery Manager &amp; the customer, assesses if the business impact has </w:t>
            </w:r>
            <w:r>
              <w:t>changed</w:t>
            </w:r>
            <w:r w:rsidRPr="00AD3DA5">
              <w:t xml:space="preserve"> over time using </w:t>
            </w:r>
            <w:r>
              <w:t xml:space="preserve">all available </w:t>
            </w:r>
            <w:r w:rsidRPr="00AD3DA5">
              <w:t>data</w:t>
            </w:r>
            <w:r>
              <w:t xml:space="preserve"> and </w:t>
            </w:r>
            <w:r w:rsidRPr="00AD3DA5">
              <w:t>information</w:t>
            </w:r>
            <w:r>
              <w:t>.</w:t>
            </w:r>
          </w:p>
        </w:tc>
      </w:tr>
      <w:tr w:rsidR="00B52542" w14:paraId="22312F1C" w14:textId="77777777" w:rsidTr="00B52542">
        <w:trPr>
          <w:cantSplit/>
        </w:trPr>
        <w:tc>
          <w:tcPr>
            <w:tcW w:w="1925" w:type="dxa"/>
            <w:shd w:val="clear" w:color="auto" w:fill="E9E9E9"/>
          </w:tcPr>
          <w:p w14:paraId="53B01913" w14:textId="77777777" w:rsidR="00B52542" w:rsidRPr="00AD3DA5" w:rsidRDefault="00B52542" w:rsidP="004D2931">
            <w:pPr>
              <w:pStyle w:val="OCTableText"/>
            </w:pPr>
            <w:r w:rsidRPr="00BD5228">
              <w:t>Track Resolution Progress Against Resolution Plan</w:t>
            </w:r>
          </w:p>
        </w:tc>
        <w:tc>
          <w:tcPr>
            <w:tcW w:w="6575" w:type="dxa"/>
            <w:shd w:val="clear" w:color="auto" w:fill="E9E9E9"/>
          </w:tcPr>
          <w:p w14:paraId="25BEC250" w14:textId="77777777" w:rsidR="00B52542" w:rsidRPr="00AD3DA5" w:rsidRDefault="00B52542" w:rsidP="004D2931">
            <w:pPr>
              <w:pStyle w:val="OCTableText"/>
            </w:pPr>
            <w:r w:rsidRPr="00BD5228">
              <w:t>The assigned Major Incident Manager tracks the progress of the Technical Groups against the target completion date/time in the Resolution Plan.</w:t>
            </w:r>
          </w:p>
        </w:tc>
      </w:tr>
      <w:tr w:rsidR="00B52542" w14:paraId="3B4BFCAA" w14:textId="77777777" w:rsidTr="00B52542">
        <w:trPr>
          <w:cantSplit/>
        </w:trPr>
        <w:tc>
          <w:tcPr>
            <w:tcW w:w="1925" w:type="dxa"/>
            <w:shd w:val="clear" w:color="auto" w:fill="E9E9E9"/>
          </w:tcPr>
          <w:p w14:paraId="53E919EA" w14:textId="77777777" w:rsidR="00B52542" w:rsidRPr="00BD5228" w:rsidRDefault="00B52542" w:rsidP="004D2931">
            <w:pPr>
              <w:pStyle w:val="OCTableText"/>
            </w:pPr>
            <w:r w:rsidRPr="00BD5228">
              <w:t>Critical Situation Management</w:t>
            </w:r>
          </w:p>
        </w:tc>
        <w:tc>
          <w:tcPr>
            <w:tcW w:w="6575" w:type="dxa"/>
            <w:shd w:val="clear" w:color="auto" w:fill="E9E9E9"/>
          </w:tcPr>
          <w:p w14:paraId="3094108F" w14:textId="77777777" w:rsidR="00B52542" w:rsidRPr="00BD5228" w:rsidRDefault="00B52542" w:rsidP="004D2931">
            <w:pPr>
              <w:pStyle w:val="OCTableText"/>
            </w:pPr>
            <w:r w:rsidRPr="00BD5228">
              <w:t xml:space="preserve">If there is an increase in the criticality level to the customer, the assigned Major Incident Manager escalates in accordance </w:t>
            </w:r>
            <w:r>
              <w:t>with</w:t>
            </w:r>
            <w:r w:rsidRPr="00BD5228">
              <w:t xml:space="preserve"> the agreed Escalation</w:t>
            </w:r>
            <w:r>
              <w:t xml:space="preserve"> </w:t>
            </w:r>
            <w:r w:rsidRPr="00BD5228">
              <w:t xml:space="preserve">Plan, </w:t>
            </w:r>
            <w:proofErr w:type="gramStart"/>
            <w:r w:rsidRPr="00BD5228">
              <w:t>e.g.</w:t>
            </w:r>
            <w:proofErr w:type="gramEnd"/>
            <w:r w:rsidRPr="00BD5228">
              <w:t xml:space="preserve"> get approval for additional resource, increase Stakeholders communication, coordinate updates to</w:t>
            </w:r>
            <w:r>
              <w:t xml:space="preserve"> the Resolution Plan, etc. </w:t>
            </w:r>
            <w:r w:rsidRPr="00BD5228">
              <w:t>In this situation, if the customer has initiated its High Priority Incident Management (HPIM) process, Telstra SDMs remain the primary Telstra representative. They will be supported by the assigned Major Incident Manager and resolver teams.</w:t>
            </w:r>
          </w:p>
        </w:tc>
      </w:tr>
      <w:tr w:rsidR="00B52542" w14:paraId="5AD41938" w14:textId="77777777" w:rsidTr="00B52542">
        <w:trPr>
          <w:cantSplit/>
        </w:trPr>
        <w:tc>
          <w:tcPr>
            <w:tcW w:w="1925" w:type="dxa"/>
            <w:vMerge w:val="restart"/>
            <w:shd w:val="clear" w:color="auto" w:fill="E9E9E9"/>
          </w:tcPr>
          <w:p w14:paraId="6D28E0DE" w14:textId="77777777" w:rsidR="00B52542" w:rsidRPr="00BD5228" w:rsidRDefault="00B52542" w:rsidP="004D2931">
            <w:pPr>
              <w:pStyle w:val="OCTableText"/>
            </w:pPr>
            <w:r>
              <w:t>Major Incident Report</w:t>
            </w:r>
          </w:p>
        </w:tc>
        <w:tc>
          <w:tcPr>
            <w:tcW w:w="6575" w:type="dxa"/>
            <w:shd w:val="clear" w:color="auto" w:fill="E9E9E9"/>
          </w:tcPr>
          <w:p w14:paraId="5447A00E" w14:textId="77777777" w:rsidR="00B52542" w:rsidRPr="00BD5228" w:rsidRDefault="00B52542" w:rsidP="004D2931">
            <w:pPr>
              <w:pStyle w:val="OCTableText"/>
            </w:pPr>
            <w:r w:rsidRPr="006328AA">
              <w:t>The assigned Major Incident Manager produces the MIR which documents all the actions taken during the handling of the Major Incident and recommended follow-up actions.</w:t>
            </w:r>
          </w:p>
        </w:tc>
      </w:tr>
      <w:tr w:rsidR="00B52542" w14:paraId="157C1344" w14:textId="77777777" w:rsidTr="00B52542">
        <w:trPr>
          <w:cantSplit/>
        </w:trPr>
        <w:tc>
          <w:tcPr>
            <w:tcW w:w="1925" w:type="dxa"/>
            <w:vMerge/>
            <w:shd w:val="clear" w:color="auto" w:fill="E9E9E9"/>
          </w:tcPr>
          <w:p w14:paraId="15D854E9" w14:textId="77777777" w:rsidR="00B52542" w:rsidRDefault="00B52542" w:rsidP="004D2931">
            <w:pPr>
              <w:pStyle w:val="OCTableText"/>
            </w:pPr>
          </w:p>
        </w:tc>
        <w:tc>
          <w:tcPr>
            <w:tcW w:w="6575" w:type="dxa"/>
            <w:shd w:val="clear" w:color="auto" w:fill="E9E9E9"/>
          </w:tcPr>
          <w:p w14:paraId="273E20C6" w14:textId="77777777" w:rsidR="00B52542" w:rsidRPr="006328AA" w:rsidRDefault="00B52542" w:rsidP="004D2931">
            <w:pPr>
              <w:pStyle w:val="OCTableText"/>
            </w:pPr>
            <w:r w:rsidRPr="00FE533D">
              <w:t>Problem Management, being one of the stakeholders, will receive the MIR to support any subsequent Problem Management activities.</w:t>
            </w:r>
          </w:p>
        </w:tc>
      </w:tr>
      <w:tr w:rsidR="00B52542" w14:paraId="6DD97E5D" w14:textId="77777777" w:rsidTr="00B52542">
        <w:trPr>
          <w:cantSplit/>
        </w:trPr>
        <w:tc>
          <w:tcPr>
            <w:tcW w:w="1925" w:type="dxa"/>
            <w:shd w:val="clear" w:color="auto" w:fill="E9E9E9"/>
          </w:tcPr>
          <w:p w14:paraId="53FBC82E" w14:textId="77777777" w:rsidR="00B52542" w:rsidRDefault="00B52542" w:rsidP="004D2931">
            <w:pPr>
              <w:pStyle w:val="OCTableText"/>
            </w:pPr>
            <w:r w:rsidRPr="00FE533D">
              <w:t>Update Incident record (as required)</w:t>
            </w:r>
          </w:p>
        </w:tc>
        <w:tc>
          <w:tcPr>
            <w:tcW w:w="6575" w:type="dxa"/>
            <w:shd w:val="clear" w:color="auto" w:fill="E9E9E9"/>
          </w:tcPr>
          <w:p w14:paraId="7D3B7A8D" w14:textId="77777777" w:rsidR="00B52542" w:rsidRPr="00FE533D" w:rsidRDefault="00B52542" w:rsidP="004D2931">
            <w:pPr>
              <w:pStyle w:val="OCTableText"/>
            </w:pPr>
            <w:r w:rsidRPr="0051600F">
              <w:t>Throughout the lifecycle of a Major Incident, multiple teams will be engaged in the resolution. The assigned Major Incident Manager is responsible for ensuring the Incident Record is updated with details of all actions taken, technical or otherwise.</w:t>
            </w:r>
            <w:r>
              <w:t xml:space="preserve"> </w:t>
            </w:r>
            <w:r w:rsidRPr="0051600F">
              <w:t>If the assigned Major Incident Manager requests the Service Desk to update the Incident Record, the assigned Major Incident Manager is responsible for providing the details of actions taken t</w:t>
            </w:r>
            <w:r>
              <w:t>o the Service Desk.</w:t>
            </w:r>
          </w:p>
        </w:tc>
      </w:tr>
      <w:tr w:rsidR="00B52542" w14:paraId="6C3FAC18" w14:textId="77777777" w:rsidTr="00B52542">
        <w:trPr>
          <w:cantSplit/>
        </w:trPr>
        <w:tc>
          <w:tcPr>
            <w:tcW w:w="1925" w:type="dxa"/>
            <w:vMerge w:val="restart"/>
            <w:shd w:val="clear" w:color="auto" w:fill="E9E9E9"/>
          </w:tcPr>
          <w:p w14:paraId="4BD19B76" w14:textId="77777777" w:rsidR="00B52542" w:rsidRPr="00FE533D" w:rsidRDefault="00B52542" w:rsidP="004D2931">
            <w:pPr>
              <w:pStyle w:val="OCTableText"/>
            </w:pPr>
            <w:r>
              <w:t>P</w:t>
            </w:r>
            <w:r w:rsidRPr="0051600F">
              <w:t>roduce Metrics and Management Reports</w:t>
            </w:r>
          </w:p>
        </w:tc>
        <w:tc>
          <w:tcPr>
            <w:tcW w:w="6575" w:type="dxa"/>
            <w:shd w:val="clear" w:color="auto" w:fill="E9E9E9"/>
          </w:tcPr>
          <w:p w14:paraId="4345EA70" w14:textId="77777777" w:rsidR="00B52542" w:rsidRPr="0051600F" w:rsidRDefault="00B52542" w:rsidP="004D2931">
            <w:pPr>
              <w:pStyle w:val="OCTableText"/>
            </w:pPr>
            <w:r w:rsidRPr="0051600F">
              <w:t>Define the reporting requirements for customer facing reports</w:t>
            </w:r>
            <w:r>
              <w:t>.</w:t>
            </w:r>
          </w:p>
        </w:tc>
      </w:tr>
      <w:tr w:rsidR="00B52542" w14:paraId="68586E96" w14:textId="77777777" w:rsidTr="00B52542">
        <w:trPr>
          <w:cantSplit/>
        </w:trPr>
        <w:tc>
          <w:tcPr>
            <w:tcW w:w="1925" w:type="dxa"/>
            <w:vMerge/>
            <w:shd w:val="clear" w:color="auto" w:fill="E9E9E9"/>
          </w:tcPr>
          <w:p w14:paraId="61B9F3A7" w14:textId="77777777" w:rsidR="00B52542" w:rsidRDefault="00B52542" w:rsidP="004D2931">
            <w:pPr>
              <w:pStyle w:val="OCTableText"/>
            </w:pPr>
          </w:p>
        </w:tc>
        <w:tc>
          <w:tcPr>
            <w:tcW w:w="6575" w:type="dxa"/>
            <w:shd w:val="clear" w:color="auto" w:fill="E9E9E9"/>
          </w:tcPr>
          <w:p w14:paraId="35C52CE7" w14:textId="77777777" w:rsidR="00B52542" w:rsidRPr="0051600F" w:rsidRDefault="00B52542" w:rsidP="004D2931">
            <w:pPr>
              <w:pStyle w:val="OCTableText"/>
            </w:pPr>
            <w:r w:rsidRPr="0051600F">
              <w:t>Define the reporting requirements for internal metrics and management reports.</w:t>
            </w:r>
          </w:p>
        </w:tc>
      </w:tr>
      <w:tr w:rsidR="00B52542" w14:paraId="17AB7067" w14:textId="77777777" w:rsidTr="00B52542">
        <w:trPr>
          <w:cantSplit/>
        </w:trPr>
        <w:tc>
          <w:tcPr>
            <w:tcW w:w="1925" w:type="dxa"/>
            <w:vMerge/>
            <w:shd w:val="clear" w:color="auto" w:fill="E9E9E9"/>
          </w:tcPr>
          <w:p w14:paraId="23975413" w14:textId="77777777" w:rsidR="00B52542" w:rsidRDefault="00B52542" w:rsidP="004D2931">
            <w:pPr>
              <w:pStyle w:val="OCTableText"/>
            </w:pPr>
          </w:p>
        </w:tc>
        <w:tc>
          <w:tcPr>
            <w:tcW w:w="6575" w:type="dxa"/>
            <w:shd w:val="clear" w:color="auto" w:fill="E9E9E9"/>
          </w:tcPr>
          <w:p w14:paraId="7F811FBC" w14:textId="77777777" w:rsidR="00B52542" w:rsidRPr="0051600F" w:rsidRDefault="00B52542" w:rsidP="004D2931">
            <w:pPr>
              <w:pStyle w:val="OCTableText"/>
            </w:pPr>
            <w:r w:rsidRPr="0051600F">
              <w:t>Produce the reports as agreed with the customer.</w:t>
            </w:r>
          </w:p>
        </w:tc>
      </w:tr>
      <w:tr w:rsidR="00B52542" w14:paraId="37FC956D" w14:textId="77777777" w:rsidTr="00B52542">
        <w:trPr>
          <w:cantSplit/>
        </w:trPr>
        <w:tc>
          <w:tcPr>
            <w:tcW w:w="1925" w:type="dxa"/>
            <w:shd w:val="clear" w:color="auto" w:fill="E9E9E9"/>
          </w:tcPr>
          <w:p w14:paraId="2703D1B2" w14:textId="77777777" w:rsidR="00B52542" w:rsidRDefault="00B52542" w:rsidP="004D2931">
            <w:pPr>
              <w:pStyle w:val="OCTableText"/>
            </w:pPr>
            <w:r w:rsidRPr="0051600F">
              <w:t>Perform Continuous process Improvements</w:t>
            </w:r>
          </w:p>
        </w:tc>
        <w:tc>
          <w:tcPr>
            <w:tcW w:w="6575" w:type="dxa"/>
            <w:shd w:val="clear" w:color="auto" w:fill="E9E9E9"/>
          </w:tcPr>
          <w:p w14:paraId="58906EEE" w14:textId="77777777" w:rsidR="00B52542" w:rsidRPr="0051600F" w:rsidRDefault="00B52542" w:rsidP="004D2931">
            <w:pPr>
              <w:pStyle w:val="OCTableText"/>
            </w:pPr>
            <w:r w:rsidRPr="0051600F">
              <w:t>Review Information (data) and reports which measure the effectiveness and efficiency of the MIM process and identify and implement any process improvement actions.</w:t>
            </w:r>
          </w:p>
        </w:tc>
      </w:tr>
    </w:tbl>
    <w:p w14:paraId="6FFD3ED3" w14:textId="77777777" w:rsidR="001758D7" w:rsidRDefault="001758D7" w:rsidP="002725AA"/>
    <w:p w14:paraId="616028C0" w14:textId="77777777" w:rsidR="001758D7" w:rsidRDefault="001758D7" w:rsidP="0048369E">
      <w:pPr>
        <w:pStyle w:val="Heading2"/>
      </w:pPr>
      <w:r>
        <w:t xml:space="preserve">The following </w:t>
      </w:r>
      <w:r w:rsidR="00043310">
        <w:t xml:space="preserve">functionality is </w:t>
      </w:r>
      <w:r>
        <w:t>excluded from Major Incident Management</w:t>
      </w:r>
      <w:r w:rsidR="00043310">
        <w:t xml:space="preserve"> (but may be provided as part of other Service Inclusions in your ISM Service)</w:t>
      </w:r>
      <w:r>
        <w:t>:</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24"/>
        <w:gridCol w:w="7071"/>
      </w:tblGrid>
      <w:tr w:rsidR="001758D7" w14:paraId="1820C051" w14:textId="77777777" w:rsidTr="00905A99">
        <w:trPr>
          <w:cantSplit/>
          <w:tblHeader/>
        </w:trPr>
        <w:tc>
          <w:tcPr>
            <w:tcW w:w="838" w:type="pct"/>
            <w:shd w:val="clear" w:color="auto" w:fill="007AB0"/>
          </w:tcPr>
          <w:p w14:paraId="41083095" w14:textId="77777777" w:rsidR="001758D7" w:rsidRPr="00E53F18" w:rsidRDefault="001758D7" w:rsidP="004D2931">
            <w:pPr>
              <w:pStyle w:val="OCTableHeadings"/>
            </w:pPr>
            <w:r w:rsidRPr="00E53F18">
              <w:t>Attribute</w:t>
            </w:r>
          </w:p>
        </w:tc>
        <w:tc>
          <w:tcPr>
            <w:tcW w:w="4162" w:type="pct"/>
            <w:shd w:val="clear" w:color="auto" w:fill="007AB0"/>
          </w:tcPr>
          <w:p w14:paraId="723C8E01" w14:textId="77777777" w:rsidR="001758D7" w:rsidRPr="00E53F18" w:rsidRDefault="001758D7" w:rsidP="004D2931">
            <w:pPr>
              <w:pStyle w:val="OCTableHeadings"/>
            </w:pPr>
            <w:r w:rsidRPr="00E53F18">
              <w:t>Detail</w:t>
            </w:r>
          </w:p>
        </w:tc>
      </w:tr>
      <w:tr w:rsidR="001758D7" w14:paraId="2CD34676" w14:textId="77777777" w:rsidTr="004D2931">
        <w:trPr>
          <w:cantSplit/>
        </w:trPr>
        <w:tc>
          <w:tcPr>
            <w:tcW w:w="838" w:type="pct"/>
            <w:shd w:val="clear" w:color="auto" w:fill="E9E9E9"/>
          </w:tcPr>
          <w:p w14:paraId="3B7E91F5" w14:textId="77777777" w:rsidR="001758D7" w:rsidRPr="00026CC1" w:rsidRDefault="001758D7" w:rsidP="004D2931">
            <w:pPr>
              <w:pStyle w:val="OCTableText"/>
            </w:pPr>
            <w:r>
              <w:t>Service Continuity A</w:t>
            </w:r>
            <w:r w:rsidRPr="009473A3">
              <w:t>ssurance</w:t>
            </w:r>
          </w:p>
        </w:tc>
        <w:tc>
          <w:tcPr>
            <w:tcW w:w="4162" w:type="pct"/>
            <w:shd w:val="clear" w:color="auto" w:fill="E9E9E9"/>
          </w:tcPr>
          <w:p w14:paraId="01B23621" w14:textId="77777777" w:rsidR="001758D7" w:rsidRPr="00026CC1" w:rsidRDefault="001758D7" w:rsidP="004D2931">
            <w:pPr>
              <w:pStyle w:val="OCTableText"/>
            </w:pPr>
            <w:r>
              <w:t>Major Incident Management does not implement Service Continuity Plans.</w:t>
            </w:r>
          </w:p>
        </w:tc>
      </w:tr>
      <w:tr w:rsidR="001758D7" w14:paraId="79768554" w14:textId="77777777" w:rsidTr="004D2931">
        <w:trPr>
          <w:cantSplit/>
        </w:trPr>
        <w:tc>
          <w:tcPr>
            <w:tcW w:w="838" w:type="pct"/>
            <w:shd w:val="clear" w:color="auto" w:fill="E9E9E9"/>
          </w:tcPr>
          <w:p w14:paraId="4042F8BB" w14:textId="77777777" w:rsidR="001758D7" w:rsidRPr="00026CC1" w:rsidRDefault="001758D7" w:rsidP="004D2931">
            <w:pPr>
              <w:pStyle w:val="OCTableText"/>
            </w:pPr>
            <w:r>
              <w:t>Post Incident Review</w:t>
            </w:r>
          </w:p>
        </w:tc>
        <w:tc>
          <w:tcPr>
            <w:tcW w:w="4162" w:type="pct"/>
            <w:shd w:val="clear" w:color="auto" w:fill="E9E9E9"/>
          </w:tcPr>
          <w:p w14:paraId="644D02EF" w14:textId="77777777" w:rsidR="001758D7" w:rsidRPr="00026CC1" w:rsidRDefault="001758D7" w:rsidP="004D2931">
            <w:pPr>
              <w:pStyle w:val="OCTableText"/>
            </w:pPr>
            <w:r>
              <w:t>MIM drives the fault to resolution only – root cause analysis and problem correction activities are performed by the Problem Management Capability.</w:t>
            </w:r>
          </w:p>
        </w:tc>
      </w:tr>
    </w:tbl>
    <w:p w14:paraId="52E5E70B" w14:textId="77777777" w:rsidR="000979F4" w:rsidRDefault="000979F4" w:rsidP="000979F4"/>
    <w:p w14:paraId="58DD70D4" w14:textId="77777777" w:rsidR="001758D7" w:rsidRPr="0048369E" w:rsidRDefault="001758D7" w:rsidP="0048369E">
      <w:pPr>
        <w:pStyle w:val="Heading1"/>
      </w:pPr>
      <w:bookmarkStart w:id="34" w:name="_Toc486819590"/>
      <w:r w:rsidRPr="0048369E">
        <w:t>Problem Management</w:t>
      </w:r>
      <w:bookmarkEnd w:id="34"/>
    </w:p>
    <w:p w14:paraId="423E5B11" w14:textId="77777777" w:rsidR="001758D7" w:rsidRDefault="001758D7" w:rsidP="0048369E">
      <w:pPr>
        <w:pStyle w:val="Heading2"/>
      </w:pPr>
      <w:r>
        <w:t xml:space="preserve">We will </w:t>
      </w:r>
      <w:r w:rsidR="007C68E3">
        <w:t xml:space="preserve">implement a </w:t>
      </w:r>
      <w:r>
        <w:t xml:space="preserve">Problem Management process </w:t>
      </w:r>
      <w:r w:rsidR="007C68E3">
        <w:t xml:space="preserve">agreed </w:t>
      </w:r>
      <w:r w:rsidR="007C68E3" w:rsidRPr="00956BF1">
        <w:t xml:space="preserve">in </w:t>
      </w:r>
      <w:r w:rsidR="007C68E3">
        <w:t xml:space="preserve">your ISM </w:t>
      </w:r>
      <w:r w:rsidR="007C68E3" w:rsidRPr="00956BF1">
        <w:t>Handbook</w:t>
      </w:r>
      <w:r w:rsidR="007C68E3">
        <w:t xml:space="preserve"> to manage recurring Incidents (</w:t>
      </w:r>
      <w:r w:rsidR="007C68E3" w:rsidRPr="007C68E3">
        <w:rPr>
          <w:b/>
        </w:rPr>
        <w:t>Problems</w:t>
      </w:r>
      <w:r w:rsidR="007C68E3">
        <w:t>) and work toward reduction in their recurrence and impact by identifying and addressing their root cause</w:t>
      </w:r>
      <w:r>
        <w:t>.</w:t>
      </w:r>
    </w:p>
    <w:p w14:paraId="6D388426" w14:textId="77777777" w:rsidR="001758D7" w:rsidRDefault="007C68E3" w:rsidP="0048369E">
      <w:pPr>
        <w:pStyle w:val="Heading2"/>
      </w:pPr>
      <w:r>
        <w:t xml:space="preserve">All </w:t>
      </w:r>
      <w:r w:rsidR="001758D7">
        <w:t>Problems detected by us or reported to the Service Desk will be logged as a Problem in our ISM Tool. Our ISM Tool will be the single source of truth for Problem Management.</w:t>
      </w:r>
    </w:p>
    <w:p w14:paraId="2C329201" w14:textId="77777777" w:rsidR="001758D7" w:rsidRDefault="00F55BB3" w:rsidP="0048369E">
      <w:pPr>
        <w:pStyle w:val="Heading2"/>
      </w:pPr>
      <w:r>
        <w:t>As part of Problem Management, t</w:t>
      </w:r>
      <w:r w:rsidR="001758D7">
        <w:t>he Service Desk will:</w:t>
      </w:r>
    </w:p>
    <w:p w14:paraId="2B17EEEE" w14:textId="77777777" w:rsidR="001758D7" w:rsidRDefault="001758D7" w:rsidP="0048369E">
      <w:pPr>
        <w:pStyle w:val="Heading3"/>
      </w:pPr>
      <w:r>
        <w:t>log and provide a job reference number for each Problem;</w:t>
      </w:r>
    </w:p>
    <w:p w14:paraId="5035EDA3" w14:textId="77777777" w:rsidR="001758D7" w:rsidRDefault="001758D7" w:rsidP="0048369E">
      <w:pPr>
        <w:pStyle w:val="Heading3"/>
      </w:pPr>
      <w:r>
        <w:t>classify Problems as appropriate;</w:t>
      </w:r>
    </w:p>
    <w:p w14:paraId="3FEA6380" w14:textId="77777777" w:rsidR="001758D7" w:rsidRDefault="001758D7" w:rsidP="0048369E">
      <w:pPr>
        <w:pStyle w:val="Heading3"/>
      </w:pPr>
      <w:r>
        <w:t>manage each Problem until it is Resolved;</w:t>
      </w:r>
    </w:p>
    <w:p w14:paraId="1DF804D0" w14:textId="77777777" w:rsidR="001758D7" w:rsidRDefault="001758D7" w:rsidP="0048369E">
      <w:pPr>
        <w:pStyle w:val="Heading3"/>
      </w:pPr>
      <w:r>
        <w:t xml:space="preserve">provide regular status updates for each Problem (including the estimated time to resolution and any temporary or permanent </w:t>
      </w:r>
      <w:proofErr w:type="gramStart"/>
      <w:r>
        <w:t>work-arounds</w:t>
      </w:r>
      <w:proofErr w:type="gramEnd"/>
      <w:r>
        <w:t xml:space="preserve"> which are necessary);</w:t>
      </w:r>
    </w:p>
    <w:p w14:paraId="4EDD54D6" w14:textId="77777777" w:rsidR="001758D7" w:rsidRDefault="001758D7" w:rsidP="0048369E">
      <w:pPr>
        <w:pStyle w:val="Heading3"/>
      </w:pPr>
      <w:r>
        <w:t>promptly advise you of Resolution of the Problem; and</w:t>
      </w:r>
    </w:p>
    <w:p w14:paraId="1C0C7534" w14:textId="77777777" w:rsidR="001758D7" w:rsidRDefault="001758D7" w:rsidP="0048369E">
      <w:pPr>
        <w:pStyle w:val="Heading3"/>
      </w:pPr>
      <w:r>
        <w:t>close the Problem after confirming with you that it has been Resolved.</w:t>
      </w:r>
    </w:p>
    <w:p w14:paraId="24F90F1A" w14:textId="77777777" w:rsidR="001758D7" w:rsidRDefault="001758D7" w:rsidP="0048369E">
      <w:pPr>
        <w:pStyle w:val="Heading2"/>
      </w:pPr>
      <w:r>
        <w:t>We will investigate and diagnose the Problem (either remotely or by attending on-site). Where on-site attendance is required to resolve a Problem, we will arrange a suitable time to attend the Premises with you.</w:t>
      </w:r>
    </w:p>
    <w:p w14:paraId="01C52FAA" w14:textId="77777777" w:rsidR="001758D7" w:rsidRDefault="001758D7" w:rsidP="0048369E">
      <w:pPr>
        <w:pStyle w:val="Heading2"/>
      </w:pPr>
      <w:r>
        <w:t xml:space="preserve">Where we reasonably believe a Problem does not appear to arise from or relate to the </w:t>
      </w:r>
      <w:r w:rsidR="00E87DF7">
        <w:t>In-scope Services</w:t>
      </w:r>
      <w:r>
        <w:t xml:space="preserve">, we will promptly advise you, and will work collaboratively with any relevant third party suppliers to resolve the Problem. Where we reasonably determined that a Problem has not arisen from or is not related to the </w:t>
      </w:r>
      <w:r w:rsidR="00E87DF7">
        <w:t xml:space="preserve">In-scope </w:t>
      </w:r>
      <w:proofErr w:type="gramStart"/>
      <w:r w:rsidR="00E87DF7">
        <w:t>Services</w:t>
      </w:r>
      <w:r>
        <w:t>, or</w:t>
      </w:r>
      <w:proofErr w:type="gramEnd"/>
      <w:r>
        <w:t xml:space="preserve"> has been caused by you (or your Personnel or Authorised Users), we may charge you our reasonable costs incurred in relation to identifying, investigating and resolving the Problem (including any collaboration with Third Party Suppliers).</w:t>
      </w:r>
    </w:p>
    <w:p w14:paraId="04C250B9" w14:textId="77777777" w:rsidR="001758D7" w:rsidRDefault="001758D7" w:rsidP="0048369E">
      <w:pPr>
        <w:pStyle w:val="Heading2"/>
      </w:pPr>
      <w:r>
        <w:t>If we reasonably believe a Problem cannot be Resolved, we will communicate the reasons why we reasonably believe the Problem cannot be Resolved.</w:t>
      </w:r>
    </w:p>
    <w:p w14:paraId="2D9F7305" w14:textId="77777777" w:rsidR="001758D7" w:rsidRDefault="001758D7" w:rsidP="0048369E">
      <w:pPr>
        <w:pStyle w:val="Heading2"/>
      </w:pPr>
      <w:r>
        <w:t>When reporting Problems, you must provide the Service Desk with the following Information:</w:t>
      </w:r>
    </w:p>
    <w:p w14:paraId="590C5EEC" w14:textId="77777777" w:rsidR="001758D7" w:rsidRDefault="001758D7" w:rsidP="0048369E">
      <w:pPr>
        <w:pStyle w:val="Heading3"/>
      </w:pPr>
      <w:r>
        <w:t>the Full National Number for all impacted In-scope Service</w:t>
      </w:r>
      <w:r w:rsidRPr="009119EC">
        <w:t>s</w:t>
      </w:r>
      <w:r>
        <w:t>;</w:t>
      </w:r>
    </w:p>
    <w:p w14:paraId="4AA265B4" w14:textId="77777777" w:rsidR="001758D7" w:rsidRDefault="001758D7" w:rsidP="0048369E">
      <w:pPr>
        <w:pStyle w:val="Heading3"/>
      </w:pPr>
      <w:r>
        <w:t>details of the Problem (for example, symptoms and degree of impact);</w:t>
      </w:r>
    </w:p>
    <w:p w14:paraId="53248401" w14:textId="77777777" w:rsidR="001758D7" w:rsidRDefault="001758D7" w:rsidP="0048369E">
      <w:pPr>
        <w:pStyle w:val="Heading3"/>
      </w:pPr>
      <w:r>
        <w:t>impacted areas of your business; and</w:t>
      </w:r>
    </w:p>
    <w:p w14:paraId="3AE8FD7E" w14:textId="77777777" w:rsidR="001758D7" w:rsidRDefault="001758D7" w:rsidP="0048369E">
      <w:pPr>
        <w:pStyle w:val="Heading3"/>
      </w:pPr>
      <w:r>
        <w:t>contact details for Problem Management (including any Premises contact details where on-site attendance may be required).</w:t>
      </w:r>
    </w:p>
    <w:p w14:paraId="1751B087" w14:textId="77777777" w:rsidR="001758D7" w:rsidRDefault="001758D7" w:rsidP="0048369E">
      <w:pPr>
        <w:pStyle w:val="Heading2"/>
      </w:pPr>
      <w:r>
        <w:t xml:space="preserve">We will establish and maintain a database of known errors and associated </w:t>
      </w:r>
      <w:proofErr w:type="gramStart"/>
      <w:r>
        <w:t>work-arounds</w:t>
      </w:r>
      <w:proofErr w:type="gramEnd"/>
      <w:r>
        <w:t xml:space="preserve"> in our ISM Tool.</w:t>
      </w:r>
    </w:p>
    <w:p w14:paraId="4B5579C2" w14:textId="77777777" w:rsidR="001758D7" w:rsidRDefault="001758D7" w:rsidP="0048369E">
      <w:pPr>
        <w:pStyle w:val="Heading2"/>
      </w:pPr>
      <w:r>
        <w:t xml:space="preserve">The following </w:t>
      </w:r>
      <w:r w:rsidR="00002E70">
        <w:t xml:space="preserve">functionality will be provided as part of </w:t>
      </w:r>
      <w:r>
        <w:t>Problem Management:</w:t>
      </w:r>
    </w:p>
    <w:tbl>
      <w:tblPr>
        <w:tblStyle w:val="TableGrid"/>
        <w:tblW w:w="85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34"/>
        <w:gridCol w:w="6466"/>
      </w:tblGrid>
      <w:tr w:rsidR="00002E70" w14:paraId="200E347B" w14:textId="77777777" w:rsidTr="00905A99">
        <w:trPr>
          <w:cantSplit/>
          <w:tblHeader/>
        </w:trPr>
        <w:tc>
          <w:tcPr>
            <w:tcW w:w="2034" w:type="dxa"/>
            <w:shd w:val="clear" w:color="auto" w:fill="007AB0"/>
          </w:tcPr>
          <w:p w14:paraId="292CEAE8" w14:textId="77777777" w:rsidR="00002E70" w:rsidRPr="00E53F18" w:rsidRDefault="00002E70" w:rsidP="004D2931">
            <w:pPr>
              <w:pStyle w:val="OCTableHeadings"/>
            </w:pPr>
            <w:r w:rsidRPr="00E53F18">
              <w:t>Attribute</w:t>
            </w:r>
          </w:p>
        </w:tc>
        <w:tc>
          <w:tcPr>
            <w:tcW w:w="6466" w:type="dxa"/>
            <w:shd w:val="clear" w:color="auto" w:fill="007AB0"/>
          </w:tcPr>
          <w:p w14:paraId="3B3CA18B" w14:textId="77777777" w:rsidR="00002E70" w:rsidRPr="00E53F18" w:rsidRDefault="00002E70" w:rsidP="004D2931">
            <w:pPr>
              <w:pStyle w:val="OCTableHeadings"/>
            </w:pPr>
            <w:r w:rsidRPr="00E53F18">
              <w:t>Detail</w:t>
            </w:r>
          </w:p>
        </w:tc>
      </w:tr>
      <w:tr w:rsidR="00002E70" w14:paraId="5A8F7D04" w14:textId="77777777" w:rsidTr="005319DB">
        <w:trPr>
          <w:cantSplit/>
        </w:trPr>
        <w:tc>
          <w:tcPr>
            <w:tcW w:w="2034" w:type="dxa"/>
            <w:shd w:val="clear" w:color="auto" w:fill="E9E9E9"/>
          </w:tcPr>
          <w:p w14:paraId="5C000423" w14:textId="77777777" w:rsidR="00002E70" w:rsidRDefault="00002E70" w:rsidP="004D2931">
            <w:pPr>
              <w:pStyle w:val="OCTableText"/>
            </w:pPr>
            <w:r>
              <w:t>Problem Identification</w:t>
            </w:r>
          </w:p>
        </w:tc>
        <w:tc>
          <w:tcPr>
            <w:tcW w:w="6466" w:type="dxa"/>
            <w:shd w:val="clear" w:color="auto" w:fill="E9E9E9"/>
          </w:tcPr>
          <w:p w14:paraId="07AB8810" w14:textId="77777777" w:rsidR="00002E70" w:rsidRPr="00A93F9E" w:rsidRDefault="002644DA" w:rsidP="002644DA">
            <w:pPr>
              <w:pStyle w:val="OCTableText"/>
              <w:rPr>
                <w:lang w:val="en-AU"/>
              </w:rPr>
            </w:pPr>
            <w:r>
              <w:t xml:space="preserve">Problem Management will </w:t>
            </w:r>
            <w:r>
              <w:rPr>
                <w:lang w:val="en-AU"/>
              </w:rPr>
              <w:t>identify</w:t>
            </w:r>
            <w:r w:rsidR="00002E70">
              <w:rPr>
                <w:lang w:val="en-AU"/>
              </w:rPr>
              <w:t xml:space="preserve"> </w:t>
            </w:r>
            <w:r>
              <w:rPr>
                <w:lang w:val="en-AU"/>
              </w:rPr>
              <w:t>P</w:t>
            </w:r>
            <w:r w:rsidR="00002E70">
              <w:rPr>
                <w:lang w:val="en-AU"/>
              </w:rPr>
              <w:t xml:space="preserve">roblems through detection of recurring </w:t>
            </w:r>
            <w:r>
              <w:rPr>
                <w:lang w:val="en-AU"/>
              </w:rPr>
              <w:t>I</w:t>
            </w:r>
            <w:r w:rsidR="00002E70">
              <w:rPr>
                <w:lang w:val="en-AU"/>
              </w:rPr>
              <w:t xml:space="preserve">ncidents and or </w:t>
            </w:r>
            <w:r>
              <w:rPr>
                <w:lang w:val="en-AU"/>
              </w:rPr>
              <w:t>I</w:t>
            </w:r>
            <w:r w:rsidR="00002E70">
              <w:rPr>
                <w:lang w:val="en-AU"/>
              </w:rPr>
              <w:t>ncidents with no known root cause</w:t>
            </w:r>
            <w:r>
              <w:rPr>
                <w:lang w:val="en-AU"/>
              </w:rPr>
              <w:t>, drawing data from the Incident Management capability.</w:t>
            </w:r>
          </w:p>
        </w:tc>
      </w:tr>
      <w:tr w:rsidR="00324B91" w14:paraId="03FCB67E" w14:textId="77777777" w:rsidTr="005319DB">
        <w:trPr>
          <w:cantSplit/>
        </w:trPr>
        <w:tc>
          <w:tcPr>
            <w:tcW w:w="2034" w:type="dxa"/>
            <w:shd w:val="clear" w:color="auto" w:fill="E9E9E9"/>
          </w:tcPr>
          <w:p w14:paraId="4DBBECED" w14:textId="77777777" w:rsidR="00324B91" w:rsidRDefault="00324B91" w:rsidP="004D2931">
            <w:pPr>
              <w:pStyle w:val="OCTableText"/>
            </w:pPr>
            <w:r w:rsidRPr="00172440">
              <w:t>Problem Capture and Classification</w:t>
            </w:r>
          </w:p>
        </w:tc>
        <w:tc>
          <w:tcPr>
            <w:tcW w:w="6466" w:type="dxa"/>
            <w:shd w:val="clear" w:color="auto" w:fill="E9E9E9"/>
          </w:tcPr>
          <w:p w14:paraId="3D7D1E35" w14:textId="77777777" w:rsidR="00324B91" w:rsidRDefault="00324B91" w:rsidP="00324B91">
            <w:pPr>
              <w:pStyle w:val="OCTableText"/>
              <w:rPr>
                <w:lang w:val="en-AU"/>
              </w:rPr>
            </w:pPr>
            <w:r w:rsidRPr="0064359D">
              <w:t xml:space="preserve">Recording </w:t>
            </w:r>
            <w:r>
              <w:t xml:space="preserve">Problem </w:t>
            </w:r>
            <w:r w:rsidRPr="0064359D">
              <w:t>details including categorisation</w:t>
            </w:r>
            <w:r>
              <w:t xml:space="preserve"> and assign priority.</w:t>
            </w:r>
          </w:p>
        </w:tc>
      </w:tr>
      <w:tr w:rsidR="00002E70" w14:paraId="28B9BEEA" w14:textId="77777777" w:rsidTr="005319DB">
        <w:trPr>
          <w:cantSplit/>
        </w:trPr>
        <w:tc>
          <w:tcPr>
            <w:tcW w:w="2034" w:type="dxa"/>
            <w:shd w:val="clear" w:color="auto" w:fill="E9E9E9"/>
          </w:tcPr>
          <w:p w14:paraId="10F1AE15" w14:textId="77777777" w:rsidR="00002E70" w:rsidRPr="00D47B68" w:rsidRDefault="00002E70" w:rsidP="004D2931">
            <w:pPr>
              <w:pStyle w:val="OCTableText"/>
              <w:rPr>
                <w:lang w:val="en-AU"/>
              </w:rPr>
            </w:pPr>
            <w:r w:rsidRPr="00D47B68">
              <w:rPr>
                <w:lang w:val="en-AU"/>
              </w:rPr>
              <w:t>Problem Investigation &amp; Diagnosis</w:t>
            </w:r>
          </w:p>
          <w:p w14:paraId="22B018D9" w14:textId="77777777" w:rsidR="00002E70" w:rsidRPr="00D47B68" w:rsidRDefault="00002E70" w:rsidP="004D2931">
            <w:pPr>
              <w:pStyle w:val="OCTableText"/>
              <w:rPr>
                <w:lang w:val="en-AU"/>
              </w:rPr>
            </w:pPr>
            <w:r w:rsidRPr="00D47B68">
              <w:rPr>
                <w:b/>
                <w:bCs/>
                <w:lang w:val="en-AU"/>
              </w:rPr>
              <w:t> </w:t>
            </w:r>
          </w:p>
          <w:p w14:paraId="58B5FFAB" w14:textId="77777777" w:rsidR="00002E70" w:rsidRPr="00172440" w:rsidRDefault="00002E70" w:rsidP="004D2931">
            <w:pPr>
              <w:pStyle w:val="OCTableText"/>
            </w:pPr>
          </w:p>
        </w:tc>
        <w:tc>
          <w:tcPr>
            <w:tcW w:w="6466" w:type="dxa"/>
            <w:shd w:val="clear" w:color="auto" w:fill="E9E9E9"/>
          </w:tcPr>
          <w:p w14:paraId="591E1DDC" w14:textId="77777777" w:rsidR="00002E70" w:rsidRDefault="00002E70" w:rsidP="004D2931">
            <w:pPr>
              <w:pStyle w:val="OCTableText"/>
            </w:pPr>
            <w:r w:rsidRPr="00D47B68">
              <w:t>Create and execute a Problem investigation plan, with the objective of id</w:t>
            </w:r>
            <w:r>
              <w:t xml:space="preserve">entifying the Root Cause of the </w:t>
            </w:r>
            <w:r w:rsidRPr="00D47B68">
              <w:t>Problem</w:t>
            </w:r>
            <w:r w:rsidR="00324B91">
              <w:t>.</w:t>
            </w:r>
          </w:p>
          <w:p w14:paraId="736C597C" w14:textId="77777777" w:rsidR="00002E70" w:rsidRDefault="002644DA" w:rsidP="004C203A">
            <w:pPr>
              <w:pStyle w:val="OCTableText"/>
              <w:rPr>
                <w:lang w:val="en-AU"/>
              </w:rPr>
            </w:pPr>
            <w:r>
              <w:t xml:space="preserve">Create and maintain a database of known Problems, including </w:t>
            </w:r>
            <w:r w:rsidR="00002E70" w:rsidRPr="00D47B68">
              <w:rPr>
                <w:lang w:val="en-AU"/>
              </w:rPr>
              <w:t>triggering events</w:t>
            </w:r>
            <w:r>
              <w:rPr>
                <w:lang w:val="en-AU"/>
              </w:rPr>
              <w:t xml:space="preserve">, </w:t>
            </w:r>
            <w:r w:rsidR="00002E70" w:rsidRPr="00D47B68">
              <w:rPr>
                <w:lang w:val="en-AU"/>
              </w:rPr>
              <w:t>conditions</w:t>
            </w:r>
            <w:r>
              <w:rPr>
                <w:lang w:val="en-AU"/>
              </w:rPr>
              <w:t>,</w:t>
            </w:r>
            <w:r w:rsidR="00002E70" w:rsidRPr="00D47B68">
              <w:rPr>
                <w:lang w:val="en-AU"/>
              </w:rPr>
              <w:t xml:space="preserve"> and Root Cause </w:t>
            </w:r>
            <w:r>
              <w:rPr>
                <w:lang w:val="en-AU"/>
              </w:rPr>
              <w:t>if known</w:t>
            </w:r>
            <w:r w:rsidR="004C203A">
              <w:rPr>
                <w:lang w:val="en-AU"/>
              </w:rPr>
              <w:t>.</w:t>
            </w:r>
          </w:p>
          <w:p w14:paraId="1EB1DEB6" w14:textId="77777777" w:rsidR="004C203A" w:rsidRPr="00172440" w:rsidRDefault="004C203A" w:rsidP="004C203A">
            <w:pPr>
              <w:pStyle w:val="OCTableText"/>
            </w:pPr>
            <w:r>
              <w:t xml:space="preserve">Implement </w:t>
            </w:r>
            <w:r w:rsidRPr="00C416FC">
              <w:rPr>
                <w:lang w:val="en-AU"/>
              </w:rPr>
              <w:t>Permanent Corrective Actions</w:t>
            </w:r>
            <w:r>
              <w:rPr>
                <w:lang w:val="en-AU"/>
              </w:rPr>
              <w:t xml:space="preserve"> as mutually agreed.</w:t>
            </w:r>
          </w:p>
        </w:tc>
      </w:tr>
      <w:tr w:rsidR="00002E70" w14:paraId="60B849FA" w14:textId="77777777" w:rsidTr="005319DB">
        <w:trPr>
          <w:cantSplit/>
        </w:trPr>
        <w:tc>
          <w:tcPr>
            <w:tcW w:w="2034" w:type="dxa"/>
            <w:shd w:val="clear" w:color="auto" w:fill="E9E9E9"/>
          </w:tcPr>
          <w:p w14:paraId="78DDE5D4" w14:textId="77777777" w:rsidR="00002E70" w:rsidRPr="00C416FC" w:rsidRDefault="00002E70" w:rsidP="004D2931">
            <w:pPr>
              <w:pStyle w:val="OCTableText"/>
            </w:pPr>
            <w:r w:rsidRPr="00C416FC">
              <w:t>Problem Resolution</w:t>
            </w:r>
            <w:r w:rsidRPr="00C416FC">
              <w:rPr>
                <w:b/>
                <w:bCs/>
              </w:rPr>
              <w:t xml:space="preserve"> </w:t>
            </w:r>
          </w:p>
          <w:p w14:paraId="73C6F983" w14:textId="77777777" w:rsidR="00002E70" w:rsidRPr="00D47B68" w:rsidRDefault="00002E70" w:rsidP="004D2931">
            <w:pPr>
              <w:pStyle w:val="OCTableText"/>
              <w:rPr>
                <w:lang w:val="en-AU"/>
              </w:rPr>
            </w:pPr>
          </w:p>
        </w:tc>
        <w:tc>
          <w:tcPr>
            <w:tcW w:w="6466" w:type="dxa"/>
            <w:shd w:val="clear" w:color="auto" w:fill="E9E9E9"/>
          </w:tcPr>
          <w:p w14:paraId="335F0E67" w14:textId="77777777" w:rsidR="00002E70" w:rsidRPr="00C416FC" w:rsidRDefault="00002E70" w:rsidP="00324B91">
            <w:pPr>
              <w:pStyle w:val="OCTableText"/>
              <w:rPr>
                <w:lang w:val="en-AU"/>
              </w:rPr>
            </w:pPr>
            <w:r w:rsidRPr="00C416FC">
              <w:rPr>
                <w:lang w:val="en-AU"/>
              </w:rPr>
              <w:t>Perform Corrective Actions to eliminate the Root Cause of an identified Problem</w:t>
            </w:r>
            <w:r w:rsidR="00324B91">
              <w:rPr>
                <w:lang w:val="en-AU"/>
              </w:rPr>
              <w:t>.</w:t>
            </w:r>
          </w:p>
        </w:tc>
      </w:tr>
      <w:tr w:rsidR="00002E70" w14:paraId="36EFAE4E" w14:textId="77777777" w:rsidTr="005319DB">
        <w:trPr>
          <w:cantSplit/>
        </w:trPr>
        <w:tc>
          <w:tcPr>
            <w:tcW w:w="2034" w:type="dxa"/>
            <w:shd w:val="clear" w:color="auto" w:fill="E9E9E9"/>
          </w:tcPr>
          <w:p w14:paraId="18FADD61" w14:textId="77777777" w:rsidR="00002E70" w:rsidRPr="00C416FC" w:rsidRDefault="00002E70" w:rsidP="004D2931">
            <w:pPr>
              <w:pStyle w:val="OCTableText"/>
              <w:rPr>
                <w:lang w:val="en-AU"/>
              </w:rPr>
            </w:pPr>
            <w:r w:rsidRPr="00C416FC">
              <w:rPr>
                <w:lang w:val="en-AU"/>
              </w:rPr>
              <w:t>Problem Closure</w:t>
            </w:r>
            <w:r w:rsidRPr="00C416FC">
              <w:rPr>
                <w:b/>
                <w:bCs/>
                <w:lang w:val="en-AU"/>
              </w:rPr>
              <w:t xml:space="preserve"> </w:t>
            </w:r>
          </w:p>
        </w:tc>
        <w:tc>
          <w:tcPr>
            <w:tcW w:w="6466" w:type="dxa"/>
            <w:shd w:val="clear" w:color="auto" w:fill="E9E9E9"/>
          </w:tcPr>
          <w:p w14:paraId="6B0B98BE" w14:textId="77777777" w:rsidR="00002E70" w:rsidRPr="00C416FC" w:rsidRDefault="00324B91" w:rsidP="00324B91">
            <w:pPr>
              <w:pStyle w:val="OCTableText"/>
              <w:rPr>
                <w:lang w:val="en-AU"/>
              </w:rPr>
            </w:pPr>
            <w:r>
              <w:t>Follow agreed Problem closure process as described in the ISM Handbook.</w:t>
            </w:r>
          </w:p>
        </w:tc>
      </w:tr>
      <w:tr w:rsidR="00002E70" w14:paraId="757EC9D2" w14:textId="77777777" w:rsidTr="005319DB">
        <w:trPr>
          <w:cantSplit/>
        </w:trPr>
        <w:tc>
          <w:tcPr>
            <w:tcW w:w="2034" w:type="dxa"/>
            <w:shd w:val="clear" w:color="auto" w:fill="E9E9E9"/>
          </w:tcPr>
          <w:p w14:paraId="23FEB4CA" w14:textId="77777777" w:rsidR="00002E70" w:rsidRPr="00C416FC" w:rsidRDefault="00002E70" w:rsidP="004D2931">
            <w:pPr>
              <w:pStyle w:val="OCTableText"/>
              <w:rPr>
                <w:lang w:val="en-AU"/>
              </w:rPr>
            </w:pPr>
            <w:r w:rsidRPr="00C416FC">
              <w:rPr>
                <w:lang w:val="en-AU"/>
              </w:rPr>
              <w:t>Monitoring and Escalation of Active Problems</w:t>
            </w:r>
          </w:p>
        </w:tc>
        <w:tc>
          <w:tcPr>
            <w:tcW w:w="6466" w:type="dxa"/>
            <w:shd w:val="clear" w:color="auto" w:fill="E9E9E9"/>
          </w:tcPr>
          <w:p w14:paraId="7D6A63AC" w14:textId="77777777" w:rsidR="00002E70" w:rsidRPr="00C416FC" w:rsidRDefault="00002E70" w:rsidP="009D4C6F">
            <w:pPr>
              <w:pStyle w:val="OCTableText"/>
              <w:rPr>
                <w:lang w:val="en-AU"/>
              </w:rPr>
            </w:pPr>
            <w:r w:rsidRPr="00C416FC">
              <w:rPr>
                <w:lang w:val="en-AU"/>
              </w:rPr>
              <w:t xml:space="preserve">Monitor </w:t>
            </w:r>
            <w:r w:rsidR="009D4C6F">
              <w:rPr>
                <w:lang w:val="en-AU"/>
              </w:rPr>
              <w:t xml:space="preserve">Problem and </w:t>
            </w:r>
            <w:r w:rsidRPr="00C416FC">
              <w:rPr>
                <w:lang w:val="en-AU"/>
              </w:rPr>
              <w:t xml:space="preserve">progress of </w:t>
            </w:r>
            <w:r w:rsidR="009D4C6F">
              <w:rPr>
                <w:lang w:val="en-AU"/>
              </w:rPr>
              <w:t xml:space="preserve">corrective actions </w:t>
            </w:r>
            <w:r w:rsidRPr="00C416FC">
              <w:rPr>
                <w:lang w:val="en-AU"/>
              </w:rPr>
              <w:t xml:space="preserve">in accordance with </w:t>
            </w:r>
            <w:r w:rsidR="009D4C6F">
              <w:rPr>
                <w:lang w:val="en-AU"/>
              </w:rPr>
              <w:t xml:space="preserve">applicable </w:t>
            </w:r>
            <w:r w:rsidRPr="00C416FC">
              <w:rPr>
                <w:lang w:val="en-AU"/>
              </w:rPr>
              <w:t>Service Level Agreements</w:t>
            </w:r>
            <w:r w:rsidR="009D4C6F">
              <w:rPr>
                <w:lang w:val="en-AU"/>
              </w:rPr>
              <w:t xml:space="preserve">, escalating according to process defined in the </w:t>
            </w:r>
            <w:r w:rsidR="009D4C6F">
              <w:t>ISM Handbook</w:t>
            </w:r>
            <w:r w:rsidR="009D4C6F">
              <w:rPr>
                <w:lang w:val="en-AU"/>
              </w:rPr>
              <w:t xml:space="preserve"> if required.</w:t>
            </w:r>
          </w:p>
        </w:tc>
      </w:tr>
      <w:tr w:rsidR="00002E70" w14:paraId="427C7AA6" w14:textId="77777777" w:rsidTr="005319DB">
        <w:trPr>
          <w:cantSplit/>
        </w:trPr>
        <w:tc>
          <w:tcPr>
            <w:tcW w:w="2034" w:type="dxa"/>
            <w:vMerge w:val="restart"/>
            <w:shd w:val="clear" w:color="auto" w:fill="E9E9E9"/>
          </w:tcPr>
          <w:p w14:paraId="1C1185BC" w14:textId="77777777" w:rsidR="00002E70" w:rsidRPr="00C416FC" w:rsidRDefault="00002E70" w:rsidP="004D2931">
            <w:pPr>
              <w:pStyle w:val="OCTableText"/>
              <w:rPr>
                <w:lang w:val="en-AU"/>
              </w:rPr>
            </w:pPr>
            <w:r w:rsidRPr="00C416FC">
              <w:rPr>
                <w:lang w:val="en-AU"/>
              </w:rPr>
              <w:t>Performance and Management Reporting</w:t>
            </w:r>
          </w:p>
        </w:tc>
        <w:tc>
          <w:tcPr>
            <w:tcW w:w="6466" w:type="dxa"/>
            <w:shd w:val="clear" w:color="auto" w:fill="E9E9E9"/>
          </w:tcPr>
          <w:p w14:paraId="67444E4B" w14:textId="77777777" w:rsidR="00002E70" w:rsidRPr="00C416FC" w:rsidRDefault="00002E70" w:rsidP="004D2931">
            <w:pPr>
              <w:pStyle w:val="OCTableText"/>
              <w:rPr>
                <w:lang w:val="en-AU"/>
              </w:rPr>
            </w:pPr>
            <w:r w:rsidRPr="00C416FC">
              <w:rPr>
                <w:lang w:val="en-AU"/>
              </w:rPr>
              <w:t>Produce customer-facing and internal management reporting pertaining to Problem Management as required</w:t>
            </w:r>
          </w:p>
        </w:tc>
      </w:tr>
      <w:tr w:rsidR="00002E70" w14:paraId="1DEB41BC" w14:textId="77777777" w:rsidTr="005319DB">
        <w:trPr>
          <w:cantSplit/>
        </w:trPr>
        <w:tc>
          <w:tcPr>
            <w:tcW w:w="2034" w:type="dxa"/>
            <w:vMerge/>
            <w:shd w:val="clear" w:color="auto" w:fill="E9E9E9"/>
          </w:tcPr>
          <w:p w14:paraId="3C79FF42" w14:textId="77777777" w:rsidR="00002E70" w:rsidRPr="00C416FC" w:rsidRDefault="00002E70" w:rsidP="004D2931">
            <w:pPr>
              <w:pStyle w:val="OCTableText"/>
              <w:rPr>
                <w:lang w:val="en-AU"/>
              </w:rPr>
            </w:pPr>
          </w:p>
        </w:tc>
        <w:tc>
          <w:tcPr>
            <w:tcW w:w="6466" w:type="dxa"/>
            <w:shd w:val="clear" w:color="auto" w:fill="E9E9E9"/>
          </w:tcPr>
          <w:p w14:paraId="2F424F5C" w14:textId="77777777" w:rsidR="00002E70" w:rsidRPr="00253E14" w:rsidRDefault="00002E70" w:rsidP="004D2931">
            <w:pPr>
              <w:pStyle w:val="OCTableText"/>
            </w:pPr>
            <w:r w:rsidRPr="00253E14">
              <w:t>A Problem Summary Report, which may include a summary of problem, customer experience, and a description of service interruption including workarounds implemented.</w:t>
            </w:r>
          </w:p>
        </w:tc>
      </w:tr>
      <w:tr w:rsidR="005319DB" w14:paraId="5B3E9597" w14:textId="77777777" w:rsidTr="005319DB">
        <w:trPr>
          <w:cantSplit/>
        </w:trPr>
        <w:tc>
          <w:tcPr>
            <w:tcW w:w="2034" w:type="dxa"/>
            <w:shd w:val="clear" w:color="auto" w:fill="E9E9E9"/>
          </w:tcPr>
          <w:p w14:paraId="6E2E0618" w14:textId="77777777" w:rsidR="005319DB" w:rsidRPr="00026CC1" w:rsidRDefault="005319DB" w:rsidP="00C71F5D">
            <w:pPr>
              <w:pStyle w:val="OCTableText"/>
            </w:pPr>
            <w:r w:rsidRPr="005319DB">
              <w:rPr>
                <w:lang w:val="en-AU"/>
              </w:rPr>
              <w:t>Post Incident Review</w:t>
            </w:r>
          </w:p>
        </w:tc>
        <w:tc>
          <w:tcPr>
            <w:tcW w:w="6466" w:type="dxa"/>
            <w:shd w:val="clear" w:color="auto" w:fill="E9E9E9"/>
          </w:tcPr>
          <w:p w14:paraId="43CFE2CF" w14:textId="6522FB53" w:rsidR="005319DB" w:rsidRDefault="005319DB" w:rsidP="005319DB">
            <w:pPr>
              <w:pStyle w:val="OCTableText"/>
            </w:pPr>
            <w:r>
              <w:t xml:space="preserve">A Post Incident Review is performed in collaboration with the Major Incident Management process, specifically </w:t>
            </w:r>
            <w:r w:rsidR="00C64077">
              <w:t xml:space="preserve">in relation to </w:t>
            </w:r>
            <w:r>
              <w:t xml:space="preserve">items identified in the Major Incident Report </w:t>
            </w:r>
            <w:r w:rsidR="00C64077">
              <w:t xml:space="preserve">as requiring </w:t>
            </w:r>
            <w:r>
              <w:t>further investigation to un</w:t>
            </w:r>
            <w:r w:rsidR="00C64077">
              <w:t>derstand the root cause of the I</w:t>
            </w:r>
            <w:r>
              <w:t>ncident</w:t>
            </w:r>
            <w:r w:rsidR="00C64077">
              <w:t xml:space="preserve">. </w:t>
            </w:r>
          </w:p>
          <w:p w14:paraId="76ACB8E8" w14:textId="0C90935F" w:rsidR="005319DB" w:rsidRPr="00026CC1" w:rsidRDefault="005319DB" w:rsidP="00AF6EF9">
            <w:pPr>
              <w:pStyle w:val="OCTableText"/>
            </w:pPr>
            <w:r>
              <w:t xml:space="preserve">The </w:t>
            </w:r>
            <w:r w:rsidR="00C64077">
              <w:t xml:space="preserve">Post Incident Review </w:t>
            </w:r>
            <w:r>
              <w:t>provides detailed inv</w:t>
            </w:r>
            <w:r w:rsidR="00C64077">
              <w:t>estigation and analysis of the I</w:t>
            </w:r>
            <w:r>
              <w:t>ncident with a central objective of ide</w:t>
            </w:r>
            <w:r w:rsidR="00C64077">
              <w:t>ntifying the root cause of the I</w:t>
            </w:r>
            <w:r>
              <w:t xml:space="preserve">ncident, and the development of </w:t>
            </w:r>
            <w:r w:rsidR="00443AD5">
              <w:t>a</w:t>
            </w:r>
            <w:r>
              <w:t xml:space="preserve">ction plan that </w:t>
            </w:r>
            <w:r w:rsidR="00C64077">
              <w:t xml:space="preserve">(if implemented) </w:t>
            </w:r>
            <w:r w:rsidR="00443AD5">
              <w:t xml:space="preserve">would </w:t>
            </w:r>
            <w:r w:rsidR="00AF6EF9">
              <w:t xml:space="preserve">reduce or </w:t>
            </w:r>
            <w:r w:rsidR="00443AD5">
              <w:t>eliminate the risk of the incident reoccurring</w:t>
            </w:r>
            <w:r>
              <w:t>.</w:t>
            </w:r>
          </w:p>
        </w:tc>
      </w:tr>
    </w:tbl>
    <w:p w14:paraId="65457D72" w14:textId="193CE5EF" w:rsidR="001758D7" w:rsidRDefault="001758D7" w:rsidP="002725AA"/>
    <w:p w14:paraId="40F1E337" w14:textId="6C189851" w:rsidR="00EF3701" w:rsidRDefault="00EF3701" w:rsidP="00EF3701">
      <w:pPr>
        <w:pStyle w:val="Heading2"/>
      </w:pPr>
      <w:r>
        <w:t>If you take up the optional add-on service we will provide the following additional functionality as part of Problem Management:</w:t>
      </w:r>
    </w:p>
    <w:tbl>
      <w:tblPr>
        <w:tblStyle w:val="TableGrid"/>
        <w:tblW w:w="85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0"/>
        <w:gridCol w:w="6380"/>
      </w:tblGrid>
      <w:tr w:rsidR="00EF3701" w14:paraId="7DF5C42F" w14:textId="77777777" w:rsidTr="00905A99">
        <w:trPr>
          <w:cantSplit/>
          <w:tblHeader/>
        </w:trPr>
        <w:tc>
          <w:tcPr>
            <w:tcW w:w="2120" w:type="dxa"/>
            <w:shd w:val="clear" w:color="auto" w:fill="007AB0"/>
          </w:tcPr>
          <w:p w14:paraId="1AA69C3C" w14:textId="77777777" w:rsidR="00EF3701" w:rsidRPr="00E53F18" w:rsidRDefault="00EF3701" w:rsidP="00C71F5D">
            <w:pPr>
              <w:pStyle w:val="OCTableHeadings"/>
            </w:pPr>
            <w:r w:rsidRPr="00E53F18">
              <w:t>Attribute</w:t>
            </w:r>
          </w:p>
        </w:tc>
        <w:tc>
          <w:tcPr>
            <w:tcW w:w="6380" w:type="dxa"/>
            <w:shd w:val="clear" w:color="auto" w:fill="007AB0"/>
          </w:tcPr>
          <w:p w14:paraId="04C468D1" w14:textId="77777777" w:rsidR="00EF3701" w:rsidRPr="00E53F18" w:rsidRDefault="00EF3701" w:rsidP="00C71F5D">
            <w:pPr>
              <w:pStyle w:val="OCTableHeadings"/>
            </w:pPr>
            <w:r w:rsidRPr="00E53F18">
              <w:t>Detail</w:t>
            </w:r>
          </w:p>
        </w:tc>
      </w:tr>
      <w:tr w:rsidR="00EF3701" w14:paraId="5EB00D8A" w14:textId="77777777" w:rsidTr="00C71F5D">
        <w:trPr>
          <w:cantSplit/>
        </w:trPr>
        <w:tc>
          <w:tcPr>
            <w:tcW w:w="2120" w:type="dxa"/>
            <w:shd w:val="clear" w:color="auto" w:fill="E9E9E9"/>
          </w:tcPr>
          <w:p w14:paraId="7A739DB2" w14:textId="08EA0D68" w:rsidR="00EF3701" w:rsidRPr="00DC5CF3" w:rsidRDefault="00EF3701" w:rsidP="00DC5CF3">
            <w:pPr>
              <w:pStyle w:val="OCTableText"/>
            </w:pPr>
            <w:r>
              <w:t>Proactive Problem Management</w:t>
            </w:r>
          </w:p>
        </w:tc>
        <w:tc>
          <w:tcPr>
            <w:tcW w:w="6380" w:type="dxa"/>
            <w:shd w:val="clear" w:color="auto" w:fill="E9E9E9"/>
          </w:tcPr>
          <w:p w14:paraId="7B7BFD44" w14:textId="708BE446" w:rsidR="00EF3701" w:rsidRPr="00C33B4E" w:rsidRDefault="00EF3701" w:rsidP="0001590B">
            <w:pPr>
              <w:pStyle w:val="OCTableText"/>
            </w:pPr>
            <w:r>
              <w:t>We will also use our tools and processes to proactively perform Problem Management with the objective of predicting Problems before they occur</w:t>
            </w:r>
            <w:r w:rsidR="00320824">
              <w:t>.</w:t>
            </w:r>
          </w:p>
        </w:tc>
      </w:tr>
    </w:tbl>
    <w:p w14:paraId="23046072" w14:textId="77777777" w:rsidR="00EF3701" w:rsidRDefault="00EF3701" w:rsidP="00B0578B"/>
    <w:p w14:paraId="35EA6870" w14:textId="77777777" w:rsidR="001758D7" w:rsidRDefault="001758D7" w:rsidP="0048369E">
      <w:pPr>
        <w:pStyle w:val="Heading2"/>
      </w:pPr>
      <w:r>
        <w:t xml:space="preserve">The following </w:t>
      </w:r>
      <w:r w:rsidR="009D4C6F">
        <w:t xml:space="preserve">functionality is </w:t>
      </w:r>
      <w:r>
        <w:t>excluded from Problem Management</w:t>
      </w:r>
      <w:r w:rsidR="009D4C6F">
        <w:t xml:space="preserve"> (but may be provided as part of other Service Inclusions in your ISM Service)</w:t>
      </w:r>
      <w:r>
        <w:t>:</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24"/>
        <w:gridCol w:w="7071"/>
      </w:tblGrid>
      <w:tr w:rsidR="001758D7" w14:paraId="0AAA68BF" w14:textId="77777777" w:rsidTr="00905A99">
        <w:trPr>
          <w:cantSplit/>
          <w:tblHeader/>
        </w:trPr>
        <w:tc>
          <w:tcPr>
            <w:tcW w:w="838" w:type="pct"/>
            <w:shd w:val="clear" w:color="auto" w:fill="007AB0"/>
          </w:tcPr>
          <w:p w14:paraId="7CB56B59" w14:textId="77777777" w:rsidR="001758D7" w:rsidRPr="00E53F18" w:rsidRDefault="001758D7" w:rsidP="004D2931">
            <w:pPr>
              <w:pStyle w:val="OCTableHeadings"/>
            </w:pPr>
            <w:r w:rsidRPr="00E53F18">
              <w:t>Attribute</w:t>
            </w:r>
          </w:p>
        </w:tc>
        <w:tc>
          <w:tcPr>
            <w:tcW w:w="4162" w:type="pct"/>
            <w:shd w:val="clear" w:color="auto" w:fill="007AB0"/>
          </w:tcPr>
          <w:p w14:paraId="56E42D4B" w14:textId="77777777" w:rsidR="001758D7" w:rsidRPr="00E53F18" w:rsidRDefault="001758D7" w:rsidP="004D2931">
            <w:pPr>
              <w:pStyle w:val="OCTableHeadings"/>
            </w:pPr>
            <w:r w:rsidRPr="00E53F18">
              <w:t>Detail</w:t>
            </w:r>
          </w:p>
        </w:tc>
      </w:tr>
      <w:tr w:rsidR="001758D7" w14:paraId="57064B42" w14:textId="77777777" w:rsidTr="004D2931">
        <w:trPr>
          <w:cantSplit/>
        </w:trPr>
        <w:tc>
          <w:tcPr>
            <w:tcW w:w="838" w:type="pct"/>
            <w:shd w:val="clear" w:color="auto" w:fill="E9E9E9"/>
          </w:tcPr>
          <w:p w14:paraId="7CC0387E" w14:textId="77777777" w:rsidR="001758D7" w:rsidRDefault="001758D7" w:rsidP="004D2931">
            <w:pPr>
              <w:pStyle w:val="OCTableText"/>
            </w:pPr>
            <w:r>
              <w:t>Dedicated Problem Manager</w:t>
            </w:r>
          </w:p>
        </w:tc>
        <w:tc>
          <w:tcPr>
            <w:tcW w:w="4162" w:type="pct"/>
            <w:shd w:val="clear" w:color="auto" w:fill="E9E9E9"/>
          </w:tcPr>
          <w:p w14:paraId="7544448A" w14:textId="77777777" w:rsidR="001758D7" w:rsidRDefault="001758D7" w:rsidP="004D2931">
            <w:pPr>
              <w:pStyle w:val="OCTableText"/>
            </w:pPr>
            <w:r w:rsidRPr="00A93F9E">
              <w:rPr>
                <w:lang w:val="en-AU"/>
              </w:rPr>
              <w:t>The Problem Management team work as shared resources across a portfolio of customers. The assignment of a problem manager dedicated to one customer is excluded from the standard Problem Management capability.</w:t>
            </w:r>
          </w:p>
        </w:tc>
      </w:tr>
      <w:tr w:rsidR="001758D7" w14:paraId="117842B9" w14:textId="77777777" w:rsidTr="004D2931">
        <w:trPr>
          <w:cantSplit/>
        </w:trPr>
        <w:tc>
          <w:tcPr>
            <w:tcW w:w="838" w:type="pct"/>
            <w:shd w:val="clear" w:color="auto" w:fill="E9E9E9"/>
          </w:tcPr>
          <w:p w14:paraId="2781F6D3" w14:textId="77777777" w:rsidR="001758D7" w:rsidRDefault="001758D7" w:rsidP="001B6B34">
            <w:pPr>
              <w:pStyle w:val="OCTableText"/>
            </w:pPr>
            <w:r>
              <w:t xml:space="preserve">Knowledge </w:t>
            </w:r>
            <w:r w:rsidR="001B6B34">
              <w:t>Management</w:t>
            </w:r>
          </w:p>
        </w:tc>
        <w:tc>
          <w:tcPr>
            <w:tcW w:w="4162" w:type="pct"/>
            <w:shd w:val="clear" w:color="auto" w:fill="E9E9E9"/>
          </w:tcPr>
          <w:p w14:paraId="3FE6B9F2" w14:textId="77777777" w:rsidR="001758D7" w:rsidRDefault="001758D7" w:rsidP="001B6B34">
            <w:pPr>
              <w:pStyle w:val="OCTableText"/>
            </w:pPr>
            <w:r w:rsidRPr="00A93F9E">
              <w:rPr>
                <w:lang w:val="en-AU"/>
              </w:rPr>
              <w:t>Knowledge repositories and databases relating to Problem Management are within the Knowledge Management capability.</w:t>
            </w:r>
          </w:p>
        </w:tc>
      </w:tr>
    </w:tbl>
    <w:p w14:paraId="4DA46376" w14:textId="77777777" w:rsidR="0084720C" w:rsidRDefault="0084720C" w:rsidP="0084720C"/>
    <w:p w14:paraId="36887ECF" w14:textId="77777777" w:rsidR="001758D7" w:rsidRPr="0048369E" w:rsidRDefault="001758D7" w:rsidP="0048369E">
      <w:pPr>
        <w:pStyle w:val="Heading1"/>
      </w:pPr>
      <w:bookmarkStart w:id="35" w:name="_Toc486819591"/>
      <w:r w:rsidRPr="0048369E">
        <w:t xml:space="preserve">Service </w:t>
      </w:r>
      <w:r w:rsidR="002725AA" w:rsidRPr="0048369E">
        <w:t>Asset &amp; Configuration Management</w:t>
      </w:r>
      <w:bookmarkEnd w:id="35"/>
    </w:p>
    <w:p w14:paraId="2D7595FB" w14:textId="77777777" w:rsidR="001758D7" w:rsidRPr="005D5969" w:rsidRDefault="00EE3FA3" w:rsidP="0048369E">
      <w:pPr>
        <w:pStyle w:val="Heading2"/>
      </w:pPr>
      <w:r>
        <w:t xml:space="preserve">We will implement the </w:t>
      </w:r>
      <w:r w:rsidR="001758D7">
        <w:t xml:space="preserve">Service Asset and </w:t>
      </w:r>
      <w:r w:rsidR="001758D7" w:rsidRPr="005D5969">
        <w:t xml:space="preserve">Configuration Management </w:t>
      </w:r>
      <w:r>
        <w:t xml:space="preserve">process described </w:t>
      </w:r>
      <w:r w:rsidRPr="00956BF1">
        <w:t xml:space="preserve">in </w:t>
      </w:r>
      <w:r>
        <w:t xml:space="preserve">your ISM </w:t>
      </w:r>
      <w:r w:rsidRPr="00956BF1">
        <w:t>Handbook</w:t>
      </w:r>
      <w:r w:rsidRPr="005D5969">
        <w:t xml:space="preserve"> </w:t>
      </w:r>
      <w:r>
        <w:t xml:space="preserve">to manage </w:t>
      </w:r>
      <w:r w:rsidR="001758D7" w:rsidRPr="005D5969">
        <w:t>Assets throughout their lifecycle.</w:t>
      </w:r>
    </w:p>
    <w:p w14:paraId="13077C4D" w14:textId="77777777" w:rsidR="001758D7" w:rsidRDefault="001758D7" w:rsidP="0048369E">
      <w:pPr>
        <w:pStyle w:val="Heading2"/>
      </w:pPr>
      <w:r w:rsidRPr="005D5969">
        <w:t>The ISM Tool will be used as the Asset Management System to record and track the Assets (excluding any Mobility and Mobile Assets), setting out</w:t>
      </w:r>
      <w:r>
        <w:t xml:space="preserve"> where applicable:</w:t>
      </w:r>
    </w:p>
    <w:p w14:paraId="21385FB4" w14:textId="77777777" w:rsidR="001758D7" w:rsidRDefault="001758D7" w:rsidP="0048369E">
      <w:pPr>
        <w:pStyle w:val="Heading3"/>
      </w:pPr>
      <w:r>
        <w:t xml:space="preserve">serial number or other unique </w:t>
      </w:r>
      <w:proofErr w:type="gramStart"/>
      <w:r>
        <w:t>identifier;</w:t>
      </w:r>
      <w:proofErr w:type="gramEnd"/>
    </w:p>
    <w:p w14:paraId="0ABC4C0B" w14:textId="77777777" w:rsidR="001758D7" w:rsidRDefault="001758D7" w:rsidP="0048369E">
      <w:pPr>
        <w:pStyle w:val="Heading3"/>
      </w:pPr>
      <w:r>
        <w:t>description (including make and model);</w:t>
      </w:r>
    </w:p>
    <w:p w14:paraId="74BDF8B1" w14:textId="77777777" w:rsidR="001758D7" w:rsidRDefault="001758D7" w:rsidP="0048369E">
      <w:pPr>
        <w:pStyle w:val="Heading3"/>
      </w:pPr>
      <w:r>
        <w:t>commission and decommission date; and</w:t>
      </w:r>
    </w:p>
    <w:p w14:paraId="36FA8F12" w14:textId="77777777" w:rsidR="001758D7" w:rsidRDefault="001758D7" w:rsidP="0048369E">
      <w:pPr>
        <w:pStyle w:val="Heading3"/>
      </w:pPr>
      <w:r>
        <w:t>location installed.</w:t>
      </w:r>
    </w:p>
    <w:p w14:paraId="454F6740" w14:textId="77777777" w:rsidR="00CD01AA" w:rsidRDefault="00EE3FA3" w:rsidP="0009581D">
      <w:pPr>
        <w:pStyle w:val="Heading2"/>
      </w:pPr>
      <w:r>
        <w:t xml:space="preserve">You may access </w:t>
      </w:r>
      <w:r w:rsidR="001758D7">
        <w:t xml:space="preserve">information </w:t>
      </w:r>
      <w:r>
        <w:t xml:space="preserve">in </w:t>
      </w:r>
      <w:r w:rsidR="001758D7">
        <w:t xml:space="preserve">the Asset Management System </w:t>
      </w:r>
      <w:r>
        <w:t xml:space="preserve">through the Contact Channels. </w:t>
      </w:r>
      <w:r w:rsidR="001758D7">
        <w:t>We will provide the information in a suitable text-based format (such as CSV)</w:t>
      </w:r>
      <w:r>
        <w:t xml:space="preserve"> upon your Request</w:t>
      </w:r>
      <w:r w:rsidR="001758D7">
        <w:t>.</w:t>
      </w:r>
      <w:r w:rsidR="00CD01AA">
        <w:t xml:space="preserve"> We will report on information in the Asset Management System</w:t>
      </w:r>
      <w:r w:rsidR="00CD01AA" w:rsidRPr="00AE4276">
        <w:t xml:space="preserve"> </w:t>
      </w:r>
      <w:r w:rsidR="00CD01AA">
        <w:t>as set out in your agreement with us.</w:t>
      </w:r>
    </w:p>
    <w:p w14:paraId="1238E78E" w14:textId="77777777" w:rsidR="001758D7" w:rsidRDefault="001758D7" w:rsidP="0048369E">
      <w:pPr>
        <w:pStyle w:val="Heading2"/>
      </w:pPr>
      <w:r>
        <w:t xml:space="preserve">The following </w:t>
      </w:r>
      <w:r w:rsidR="00CD01AA">
        <w:t xml:space="preserve">functionality is excluded from </w:t>
      </w:r>
      <w:r>
        <w:t>Service Asset and Configuration Management</w:t>
      </w:r>
      <w:r w:rsidR="00CD01AA">
        <w:t xml:space="preserve"> (but may be provided as part of other Service Inclusions in your ISM Service)</w:t>
      </w:r>
      <w:r>
        <w:t>:</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24"/>
        <w:gridCol w:w="7071"/>
      </w:tblGrid>
      <w:tr w:rsidR="001758D7" w14:paraId="10CC6F13" w14:textId="77777777" w:rsidTr="00905A99">
        <w:trPr>
          <w:cantSplit/>
          <w:tblHeader/>
        </w:trPr>
        <w:tc>
          <w:tcPr>
            <w:tcW w:w="838" w:type="pct"/>
            <w:shd w:val="clear" w:color="auto" w:fill="007AB0"/>
          </w:tcPr>
          <w:p w14:paraId="2C17FC3E" w14:textId="77777777" w:rsidR="001758D7" w:rsidRPr="00E53F18" w:rsidRDefault="001758D7" w:rsidP="004D2931">
            <w:pPr>
              <w:pStyle w:val="OCTableHeadings"/>
            </w:pPr>
            <w:r w:rsidRPr="00E53F18">
              <w:t>Attribute</w:t>
            </w:r>
          </w:p>
        </w:tc>
        <w:tc>
          <w:tcPr>
            <w:tcW w:w="4162" w:type="pct"/>
            <w:shd w:val="clear" w:color="auto" w:fill="007AB0"/>
          </w:tcPr>
          <w:p w14:paraId="2F349F35" w14:textId="77777777" w:rsidR="001758D7" w:rsidRPr="00E53F18" w:rsidRDefault="001758D7" w:rsidP="004D2931">
            <w:pPr>
              <w:pStyle w:val="OCTableHeadings"/>
            </w:pPr>
            <w:r w:rsidRPr="00E53F18">
              <w:t>Detail</w:t>
            </w:r>
          </w:p>
        </w:tc>
      </w:tr>
      <w:tr w:rsidR="001758D7" w14:paraId="618D0E1F" w14:textId="77777777" w:rsidTr="004D2931">
        <w:trPr>
          <w:cantSplit/>
        </w:trPr>
        <w:tc>
          <w:tcPr>
            <w:tcW w:w="838" w:type="pct"/>
            <w:shd w:val="clear" w:color="auto" w:fill="E9E9E9"/>
          </w:tcPr>
          <w:p w14:paraId="0DCDF5EF" w14:textId="77777777" w:rsidR="001758D7" w:rsidRPr="00026CC1" w:rsidRDefault="001758D7" w:rsidP="004D2931">
            <w:pPr>
              <w:pStyle w:val="OCTableText"/>
            </w:pPr>
            <w:r>
              <w:t>Financial Management</w:t>
            </w:r>
          </w:p>
        </w:tc>
        <w:tc>
          <w:tcPr>
            <w:tcW w:w="4162" w:type="pct"/>
            <w:shd w:val="clear" w:color="auto" w:fill="E9E9E9"/>
          </w:tcPr>
          <w:p w14:paraId="316096FC" w14:textId="77777777" w:rsidR="001758D7" w:rsidRPr="00026CC1" w:rsidRDefault="001758D7" w:rsidP="00CD01AA">
            <w:pPr>
              <w:pStyle w:val="OCTableText"/>
            </w:pPr>
            <w:r w:rsidRPr="004F32D3">
              <w:t xml:space="preserve">Financial management and reporting on </w:t>
            </w:r>
            <w:r>
              <w:t>a</w:t>
            </w:r>
            <w:r w:rsidR="00CD01AA">
              <w:t>sset cost centres is excluded.</w:t>
            </w:r>
          </w:p>
        </w:tc>
      </w:tr>
      <w:tr w:rsidR="001758D7" w14:paraId="6A29A8A4" w14:textId="77777777" w:rsidTr="004D2931">
        <w:trPr>
          <w:cantSplit/>
        </w:trPr>
        <w:tc>
          <w:tcPr>
            <w:tcW w:w="838" w:type="pct"/>
            <w:shd w:val="clear" w:color="auto" w:fill="E9E9E9"/>
          </w:tcPr>
          <w:p w14:paraId="7B63AD86" w14:textId="77777777" w:rsidR="001758D7" w:rsidRPr="00026CC1" w:rsidRDefault="001758D7" w:rsidP="004D2931">
            <w:pPr>
              <w:pStyle w:val="OCTableText"/>
            </w:pPr>
            <w:r>
              <w:t>Lifecycle management</w:t>
            </w:r>
          </w:p>
        </w:tc>
        <w:tc>
          <w:tcPr>
            <w:tcW w:w="4162" w:type="pct"/>
            <w:shd w:val="clear" w:color="auto" w:fill="E9E9E9"/>
          </w:tcPr>
          <w:p w14:paraId="3A04EDF5" w14:textId="77777777" w:rsidR="001758D7" w:rsidRPr="00026CC1" w:rsidRDefault="001758D7" w:rsidP="004D2931">
            <w:pPr>
              <w:pStyle w:val="OCTableText"/>
            </w:pPr>
            <w:r>
              <w:t xml:space="preserve">Capability only provides lifecycle tracking and not </w:t>
            </w:r>
            <w:r w:rsidR="00CD01AA">
              <w:t xml:space="preserve">full lifecycle </w:t>
            </w:r>
            <w:r>
              <w:t>management.</w:t>
            </w:r>
          </w:p>
        </w:tc>
      </w:tr>
      <w:tr w:rsidR="001758D7" w14:paraId="5DF14993" w14:textId="77777777" w:rsidTr="004D2931">
        <w:trPr>
          <w:cantSplit/>
        </w:trPr>
        <w:tc>
          <w:tcPr>
            <w:tcW w:w="838" w:type="pct"/>
            <w:shd w:val="clear" w:color="auto" w:fill="E9E9E9"/>
          </w:tcPr>
          <w:p w14:paraId="5B379735" w14:textId="77777777" w:rsidR="001758D7" w:rsidRPr="00026CC1" w:rsidRDefault="001758D7" w:rsidP="004D2931">
            <w:pPr>
              <w:pStyle w:val="OCTableText"/>
            </w:pPr>
            <w:r>
              <w:t>Asset Governance</w:t>
            </w:r>
          </w:p>
        </w:tc>
        <w:tc>
          <w:tcPr>
            <w:tcW w:w="4162" w:type="pct"/>
            <w:shd w:val="clear" w:color="auto" w:fill="E9E9E9"/>
          </w:tcPr>
          <w:p w14:paraId="7EB0C137" w14:textId="77777777" w:rsidR="001758D7" w:rsidRPr="00CA7876" w:rsidRDefault="001758D7" w:rsidP="0027038D">
            <w:pPr>
              <w:pStyle w:val="OCTableText"/>
            </w:pPr>
            <w:r w:rsidRPr="00CA7876">
              <w:t xml:space="preserve">Capability </w:t>
            </w:r>
            <w:r>
              <w:t xml:space="preserve">tracks assets and manages moves, </w:t>
            </w:r>
            <w:proofErr w:type="gramStart"/>
            <w:r>
              <w:t>adds</w:t>
            </w:r>
            <w:proofErr w:type="gramEnd"/>
            <w:r>
              <w:t xml:space="preserve"> and changes to the assets. It does not drive upgrades, </w:t>
            </w:r>
            <w:proofErr w:type="gramStart"/>
            <w:r>
              <w:t>updates</w:t>
            </w:r>
            <w:proofErr w:type="gramEnd"/>
            <w:r>
              <w:t xml:space="preserve"> or releases. </w:t>
            </w:r>
            <w:r w:rsidR="0027038D">
              <w:t xml:space="preserve">We will </w:t>
            </w:r>
            <w:r w:rsidRPr="00CA7876">
              <w:t xml:space="preserve">provide notification of asset anomalies for </w:t>
            </w:r>
            <w:r w:rsidR="00CD01AA">
              <w:t xml:space="preserve">you </w:t>
            </w:r>
            <w:r w:rsidRPr="00CA7876">
              <w:t>to act upon</w:t>
            </w:r>
            <w:r w:rsidR="0027038D">
              <w:t xml:space="preserve"> per agreed reporting.</w:t>
            </w:r>
          </w:p>
        </w:tc>
      </w:tr>
    </w:tbl>
    <w:p w14:paraId="0CA06A24" w14:textId="77777777" w:rsidR="001758D7" w:rsidRDefault="001758D7" w:rsidP="0072240B"/>
    <w:p w14:paraId="0114A379" w14:textId="77777777" w:rsidR="001758D7" w:rsidRPr="0048369E" w:rsidRDefault="001758D7" w:rsidP="0048369E">
      <w:pPr>
        <w:pStyle w:val="Heading1"/>
      </w:pPr>
      <w:bookmarkStart w:id="36" w:name="_Ref480986775"/>
      <w:bookmarkStart w:id="37" w:name="_Toc486819592"/>
      <w:r w:rsidRPr="0048369E">
        <w:t xml:space="preserve">Change </w:t>
      </w:r>
      <w:r w:rsidR="005E0121" w:rsidRPr="0048369E">
        <w:t>Management</w:t>
      </w:r>
      <w:bookmarkEnd w:id="36"/>
      <w:bookmarkEnd w:id="37"/>
    </w:p>
    <w:p w14:paraId="0FD01BDF" w14:textId="13B7CB24" w:rsidR="001758D7" w:rsidRDefault="00C937B1" w:rsidP="0048369E">
      <w:pPr>
        <w:pStyle w:val="Heading2"/>
      </w:pPr>
      <w:r>
        <w:t xml:space="preserve">We will implement a </w:t>
      </w:r>
      <w:r w:rsidR="001758D7">
        <w:t xml:space="preserve">Change Management process </w:t>
      </w:r>
      <w:r w:rsidRPr="00956BF1">
        <w:t xml:space="preserve">documented in the </w:t>
      </w:r>
      <w:r>
        <w:t xml:space="preserve">ISM Handbook </w:t>
      </w:r>
      <w:r w:rsidR="001758D7">
        <w:t xml:space="preserve">to ensure that any changes to </w:t>
      </w:r>
      <w:r w:rsidR="00EB16D2">
        <w:t xml:space="preserve">your </w:t>
      </w:r>
      <w:r w:rsidR="00913CC5">
        <w:t>In-scope Service</w:t>
      </w:r>
      <w:r w:rsidR="00EB16D2">
        <w:t xml:space="preserve">s </w:t>
      </w:r>
      <w:r w:rsidR="001758D7">
        <w:t>are managed using standardised and agreed processes.</w:t>
      </w:r>
    </w:p>
    <w:p w14:paraId="3DC9F55B" w14:textId="43078206" w:rsidR="001758D7" w:rsidRDefault="00F315AC" w:rsidP="0009581D">
      <w:pPr>
        <w:pStyle w:val="Heading2"/>
      </w:pPr>
      <w:r>
        <w:t>As part of Change Management, w</w:t>
      </w:r>
      <w:r w:rsidR="001758D7">
        <w:t xml:space="preserve">e will manage any </w:t>
      </w:r>
      <w:r w:rsidR="001758D7" w:rsidRPr="005D5969">
        <w:t xml:space="preserve">agreed Changes </w:t>
      </w:r>
      <w:r w:rsidR="001758D7">
        <w:t>in accordance wit</w:t>
      </w:r>
      <w:r w:rsidR="00CE2A50">
        <w:t xml:space="preserve">h the Change Management process. </w:t>
      </w:r>
      <w:r w:rsidR="001758D7">
        <w:t>We will:</w:t>
      </w:r>
    </w:p>
    <w:p w14:paraId="07D68402" w14:textId="77777777" w:rsidR="001758D7" w:rsidRDefault="001758D7" w:rsidP="0048369E">
      <w:pPr>
        <w:pStyle w:val="Heading3"/>
      </w:pPr>
      <w:r>
        <w:t xml:space="preserve">assess the impact, costs, benefit and risk of a proposed Change to the </w:t>
      </w:r>
      <w:r w:rsidR="00E87DF7">
        <w:t xml:space="preserve">In-scope </w:t>
      </w:r>
      <w:proofErr w:type="gramStart"/>
      <w:r w:rsidR="00E87DF7">
        <w:t>Services</w:t>
      </w:r>
      <w:r>
        <w:t>;</w:t>
      </w:r>
      <w:proofErr w:type="gramEnd"/>
    </w:p>
    <w:p w14:paraId="4B92F7B9" w14:textId="77777777" w:rsidR="001758D7" w:rsidRDefault="001758D7" w:rsidP="0048369E">
      <w:pPr>
        <w:pStyle w:val="Heading3"/>
      </w:pPr>
      <w:r>
        <w:t>monitor and report on the Change implementation (including status and completion);</w:t>
      </w:r>
    </w:p>
    <w:p w14:paraId="60365A7C" w14:textId="77777777" w:rsidR="001758D7" w:rsidRDefault="001758D7" w:rsidP="0048369E">
      <w:pPr>
        <w:pStyle w:val="Heading3"/>
      </w:pPr>
      <w:r>
        <w:t>ensure there is an appropriate “back-out” plan;</w:t>
      </w:r>
    </w:p>
    <w:p w14:paraId="203A1E91" w14:textId="77777777" w:rsidR="001758D7" w:rsidRDefault="001758D7" w:rsidP="0048369E">
      <w:pPr>
        <w:pStyle w:val="Heading3"/>
      </w:pPr>
      <w:r>
        <w:t>update all process and other applicable documentation affected by the Change;</w:t>
      </w:r>
    </w:p>
    <w:p w14:paraId="70B35A25" w14:textId="77777777" w:rsidR="001758D7" w:rsidRPr="00476A1B" w:rsidRDefault="001758D7" w:rsidP="0048369E">
      <w:pPr>
        <w:pStyle w:val="Heading3"/>
      </w:pPr>
      <w:r w:rsidRPr="00476A1B">
        <w:t>maintain a record of all Changes made; and</w:t>
      </w:r>
    </w:p>
    <w:p w14:paraId="2B96237F" w14:textId="77777777" w:rsidR="001758D7" w:rsidRDefault="001758D7" w:rsidP="0048369E">
      <w:pPr>
        <w:pStyle w:val="Heading3"/>
      </w:pPr>
      <w:r w:rsidRPr="00476A1B">
        <w:t>participate</w:t>
      </w:r>
      <w:r>
        <w:t xml:space="preserve"> in any Change Management meetings and post-implementation reviews, as required.</w:t>
      </w:r>
    </w:p>
    <w:p w14:paraId="39DC81E6" w14:textId="77777777" w:rsidR="001758D7" w:rsidRDefault="001758D7" w:rsidP="0048369E">
      <w:pPr>
        <w:pStyle w:val="Heading2"/>
      </w:pPr>
      <w:r>
        <w:t xml:space="preserve">The parties acknowledge that their respective Change Management tools will not be integrated under this </w:t>
      </w:r>
      <w:r w:rsidR="00CE2A50">
        <w:t>Capability unless separately agreed</w:t>
      </w:r>
      <w:r>
        <w:t>.</w:t>
      </w:r>
    </w:p>
    <w:p w14:paraId="5B702853" w14:textId="77777777" w:rsidR="001758D7" w:rsidRDefault="001758D7" w:rsidP="0048369E">
      <w:pPr>
        <w:pStyle w:val="Heading2"/>
      </w:pPr>
      <w:r>
        <w:t>Any changes to the information in the Asset Management System must be agreed and will be managed as part of the Change Management process.</w:t>
      </w:r>
    </w:p>
    <w:p w14:paraId="78C7D4D6" w14:textId="77777777" w:rsidR="001758D7" w:rsidRDefault="001758D7" w:rsidP="0048369E">
      <w:pPr>
        <w:pStyle w:val="Heading2"/>
      </w:pPr>
      <w:r>
        <w:t xml:space="preserve">The following </w:t>
      </w:r>
      <w:r w:rsidR="00A16617">
        <w:t xml:space="preserve">functionality will be provided as part of </w:t>
      </w:r>
      <w:r>
        <w:t>Change Management:</w:t>
      </w:r>
    </w:p>
    <w:tbl>
      <w:tblPr>
        <w:tblStyle w:val="TableGrid"/>
        <w:tblW w:w="85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20"/>
        <w:gridCol w:w="6580"/>
      </w:tblGrid>
      <w:tr w:rsidR="00A16617" w14:paraId="47D0AD44" w14:textId="77777777" w:rsidTr="00905A99">
        <w:trPr>
          <w:cantSplit/>
          <w:tblHeader/>
        </w:trPr>
        <w:tc>
          <w:tcPr>
            <w:tcW w:w="1920" w:type="dxa"/>
            <w:shd w:val="clear" w:color="auto" w:fill="007AB0"/>
          </w:tcPr>
          <w:p w14:paraId="253D0A08" w14:textId="77777777" w:rsidR="00A16617" w:rsidRPr="00E53F18" w:rsidRDefault="00A16617" w:rsidP="007D3DBB">
            <w:pPr>
              <w:pStyle w:val="OCTableHeadings"/>
            </w:pPr>
            <w:r w:rsidRPr="00E53F18">
              <w:t>Attribute</w:t>
            </w:r>
          </w:p>
        </w:tc>
        <w:tc>
          <w:tcPr>
            <w:tcW w:w="6580" w:type="dxa"/>
            <w:shd w:val="clear" w:color="auto" w:fill="007AB0"/>
          </w:tcPr>
          <w:p w14:paraId="31B6AB26" w14:textId="77777777" w:rsidR="00A16617" w:rsidRPr="00E53F18" w:rsidRDefault="00A16617" w:rsidP="007D3DBB">
            <w:pPr>
              <w:pStyle w:val="OCTableHeadings"/>
            </w:pPr>
            <w:r w:rsidRPr="00E53F18">
              <w:t>Detail</w:t>
            </w:r>
          </w:p>
        </w:tc>
      </w:tr>
      <w:tr w:rsidR="00A16617" w14:paraId="17FF6FEC" w14:textId="77777777" w:rsidTr="007D3DBB">
        <w:trPr>
          <w:cantSplit/>
        </w:trPr>
        <w:tc>
          <w:tcPr>
            <w:tcW w:w="1920" w:type="dxa"/>
            <w:shd w:val="clear" w:color="auto" w:fill="E9E9E9"/>
          </w:tcPr>
          <w:p w14:paraId="2B93E917" w14:textId="77777777" w:rsidR="00A16617" w:rsidRPr="00D12253" w:rsidDel="00602331" w:rsidRDefault="00A16617" w:rsidP="007D3DBB">
            <w:pPr>
              <w:pStyle w:val="OCTableText"/>
            </w:pPr>
            <w:r>
              <w:t>Notification</w:t>
            </w:r>
          </w:p>
        </w:tc>
        <w:tc>
          <w:tcPr>
            <w:tcW w:w="6580" w:type="dxa"/>
            <w:shd w:val="clear" w:color="auto" w:fill="E9E9E9"/>
          </w:tcPr>
          <w:p w14:paraId="6461D399" w14:textId="77777777" w:rsidR="00A16617" w:rsidRPr="00D12253" w:rsidDel="00602331" w:rsidRDefault="00A16617" w:rsidP="007D3DBB">
            <w:pPr>
              <w:pStyle w:val="OCTableText"/>
            </w:pPr>
            <w:r>
              <w:t xml:space="preserve">We will notify you of </w:t>
            </w:r>
            <w:r w:rsidRPr="00A16617">
              <w:t>Planned Service Interruptions (PSI)</w:t>
            </w:r>
          </w:p>
        </w:tc>
      </w:tr>
      <w:tr w:rsidR="00A16617" w14:paraId="316907C4" w14:textId="77777777" w:rsidTr="007D3DBB">
        <w:trPr>
          <w:cantSplit/>
        </w:trPr>
        <w:tc>
          <w:tcPr>
            <w:tcW w:w="1920" w:type="dxa"/>
            <w:shd w:val="clear" w:color="auto" w:fill="E9E9E9"/>
          </w:tcPr>
          <w:p w14:paraId="3D757452" w14:textId="77777777" w:rsidR="00A16617" w:rsidRDefault="00A16617" w:rsidP="007D3DBB">
            <w:pPr>
              <w:pStyle w:val="OCTableText"/>
            </w:pPr>
            <w:r>
              <w:t xml:space="preserve">Failed Change </w:t>
            </w:r>
          </w:p>
        </w:tc>
        <w:tc>
          <w:tcPr>
            <w:tcW w:w="6580" w:type="dxa"/>
            <w:shd w:val="clear" w:color="auto" w:fill="E9E9E9"/>
          </w:tcPr>
          <w:p w14:paraId="5DFC417C" w14:textId="77777777" w:rsidR="00A16617" w:rsidRPr="00A16617" w:rsidRDefault="00A16617" w:rsidP="007D3DBB">
            <w:pPr>
              <w:pStyle w:val="OCTableText"/>
            </w:pPr>
            <w:r w:rsidRPr="00A16617">
              <w:t xml:space="preserve">Liaise and assist in review process </w:t>
            </w:r>
            <w:r>
              <w:t xml:space="preserve">of any </w:t>
            </w:r>
            <w:r w:rsidRPr="00A16617">
              <w:t xml:space="preserve">failed change </w:t>
            </w:r>
            <w:r>
              <w:t xml:space="preserve">considering </w:t>
            </w:r>
            <w:r w:rsidRPr="00A16617">
              <w:t>unplanned impact of Telstra Changes</w:t>
            </w:r>
          </w:p>
        </w:tc>
      </w:tr>
      <w:tr w:rsidR="00A16617" w:rsidRPr="00D12253" w:rsidDel="00602331" w14:paraId="193793E2" w14:textId="77777777" w:rsidTr="007D3DBB">
        <w:trPr>
          <w:cantSplit/>
        </w:trPr>
        <w:tc>
          <w:tcPr>
            <w:tcW w:w="1920" w:type="dxa"/>
            <w:shd w:val="clear" w:color="auto" w:fill="E9E9E9"/>
          </w:tcPr>
          <w:p w14:paraId="255BBC40" w14:textId="77777777" w:rsidR="00A16617" w:rsidRPr="00D12253" w:rsidDel="00602331" w:rsidRDefault="00A16617" w:rsidP="007D3DBB">
            <w:pPr>
              <w:pStyle w:val="OCTableText"/>
            </w:pPr>
            <w:r>
              <w:t>Notification</w:t>
            </w:r>
          </w:p>
        </w:tc>
        <w:tc>
          <w:tcPr>
            <w:tcW w:w="6580" w:type="dxa"/>
            <w:shd w:val="clear" w:color="auto" w:fill="E9E9E9"/>
          </w:tcPr>
          <w:p w14:paraId="4B51B91E" w14:textId="77777777" w:rsidR="00A16617" w:rsidRPr="00D12253" w:rsidDel="00602331" w:rsidRDefault="00A16617" w:rsidP="007D3DBB">
            <w:pPr>
              <w:pStyle w:val="OCTableText"/>
            </w:pPr>
            <w:r w:rsidRPr="00A16617">
              <w:t>Provide forward schedule of Planned Service Interruptions</w:t>
            </w:r>
          </w:p>
        </w:tc>
      </w:tr>
      <w:tr w:rsidR="00A16617" w:rsidRPr="004C4CB2" w14:paraId="783758EA" w14:textId="77777777" w:rsidTr="007D3DBB">
        <w:trPr>
          <w:cantSplit/>
        </w:trPr>
        <w:tc>
          <w:tcPr>
            <w:tcW w:w="1920" w:type="dxa"/>
            <w:shd w:val="clear" w:color="auto" w:fill="E9E9E9"/>
          </w:tcPr>
          <w:p w14:paraId="043112BB" w14:textId="77777777" w:rsidR="00A16617" w:rsidRPr="00A16617" w:rsidRDefault="00A16617" w:rsidP="007D3DBB">
            <w:pPr>
              <w:pStyle w:val="OCTableText"/>
            </w:pPr>
            <w:r w:rsidRPr="00A16617">
              <w:t>Customer critical services</w:t>
            </w:r>
          </w:p>
        </w:tc>
        <w:tc>
          <w:tcPr>
            <w:tcW w:w="6580" w:type="dxa"/>
            <w:shd w:val="clear" w:color="auto" w:fill="E9E9E9"/>
          </w:tcPr>
          <w:p w14:paraId="69A84A4D" w14:textId="77777777" w:rsidR="00A16617" w:rsidRPr="00A16617" w:rsidRDefault="00A16617" w:rsidP="007D3DBB">
            <w:pPr>
              <w:pStyle w:val="OCTableText"/>
            </w:pPr>
            <w:r w:rsidRPr="00A16617">
              <w:t>Identification of customer critical services</w:t>
            </w:r>
          </w:p>
        </w:tc>
      </w:tr>
      <w:tr w:rsidR="00A16617" w:rsidRPr="00264348" w14:paraId="7142DC50" w14:textId="77777777" w:rsidTr="007D3DBB">
        <w:trPr>
          <w:cantSplit/>
        </w:trPr>
        <w:tc>
          <w:tcPr>
            <w:tcW w:w="1920" w:type="dxa"/>
            <w:shd w:val="clear" w:color="auto" w:fill="E9E9E9"/>
          </w:tcPr>
          <w:p w14:paraId="7E5B0D41" w14:textId="77777777" w:rsidR="00A16617" w:rsidRPr="00A16617" w:rsidRDefault="00A16617" w:rsidP="007D3DBB">
            <w:pPr>
              <w:pStyle w:val="OCTableText"/>
            </w:pPr>
            <w:r w:rsidRPr="00A16617">
              <w:t>Interface with Problem Management</w:t>
            </w:r>
          </w:p>
        </w:tc>
        <w:tc>
          <w:tcPr>
            <w:tcW w:w="6580" w:type="dxa"/>
            <w:shd w:val="clear" w:color="auto" w:fill="E9E9E9"/>
          </w:tcPr>
          <w:p w14:paraId="06186762" w14:textId="77777777" w:rsidR="00A16617" w:rsidRPr="00A16617" w:rsidRDefault="00A16617" w:rsidP="004168C1">
            <w:pPr>
              <w:pStyle w:val="OCTableText"/>
            </w:pPr>
            <w:r w:rsidRPr="00A16617">
              <w:t xml:space="preserve">Liaise and assist </w:t>
            </w:r>
            <w:r w:rsidR="004168C1">
              <w:t xml:space="preserve">with any </w:t>
            </w:r>
            <w:r w:rsidRPr="00A16617">
              <w:t xml:space="preserve">Post Implementation Review </w:t>
            </w:r>
            <w:r w:rsidR="004168C1">
              <w:t>provided as part of the Problem Management capability</w:t>
            </w:r>
          </w:p>
        </w:tc>
      </w:tr>
      <w:tr w:rsidR="00A16617" w:rsidRPr="004C4CB2" w14:paraId="7A9A6883" w14:textId="77777777" w:rsidTr="007D3DBB">
        <w:trPr>
          <w:cantSplit/>
        </w:trPr>
        <w:tc>
          <w:tcPr>
            <w:tcW w:w="1920" w:type="dxa"/>
            <w:shd w:val="clear" w:color="auto" w:fill="E9E9E9"/>
          </w:tcPr>
          <w:p w14:paraId="2D0ACE5E" w14:textId="77777777" w:rsidR="00A16617" w:rsidRPr="00A16617" w:rsidRDefault="00A16617" w:rsidP="007D3DBB">
            <w:pPr>
              <w:pStyle w:val="OCTableText"/>
            </w:pPr>
            <w:r w:rsidRPr="00A16617">
              <w:t>Change Embargo</w:t>
            </w:r>
          </w:p>
        </w:tc>
        <w:tc>
          <w:tcPr>
            <w:tcW w:w="6580" w:type="dxa"/>
            <w:shd w:val="clear" w:color="auto" w:fill="E9E9E9"/>
          </w:tcPr>
          <w:p w14:paraId="129BB5CE" w14:textId="77777777" w:rsidR="00A16617" w:rsidRPr="00A16617" w:rsidRDefault="004168C1" w:rsidP="004168C1">
            <w:pPr>
              <w:pStyle w:val="OCTableText"/>
            </w:pPr>
            <w:r>
              <w:t>Manage</w:t>
            </w:r>
            <w:r w:rsidR="00A16617" w:rsidRPr="00A16617">
              <w:t xml:space="preserve"> </w:t>
            </w:r>
            <w:proofErr w:type="gramStart"/>
            <w:r w:rsidR="00A16617" w:rsidRPr="00A16617">
              <w:t>customer initiated</w:t>
            </w:r>
            <w:proofErr w:type="gramEnd"/>
            <w:r w:rsidR="00A16617" w:rsidRPr="00A16617">
              <w:t xml:space="preserve"> restrictions (change freeze)</w:t>
            </w:r>
          </w:p>
        </w:tc>
      </w:tr>
      <w:tr w:rsidR="00A16617" w:rsidRPr="004C4CB2" w14:paraId="5C96E56A" w14:textId="77777777" w:rsidTr="007D3DBB">
        <w:trPr>
          <w:cantSplit/>
        </w:trPr>
        <w:tc>
          <w:tcPr>
            <w:tcW w:w="1920" w:type="dxa"/>
            <w:shd w:val="clear" w:color="auto" w:fill="E9E9E9"/>
          </w:tcPr>
          <w:p w14:paraId="10A87123" w14:textId="77777777" w:rsidR="00A16617" w:rsidRPr="00A16617" w:rsidRDefault="00A16617" w:rsidP="007D3DBB">
            <w:pPr>
              <w:pStyle w:val="OCTableText"/>
            </w:pPr>
            <w:r w:rsidRPr="00A16617">
              <w:t>Impact Assessment</w:t>
            </w:r>
          </w:p>
        </w:tc>
        <w:tc>
          <w:tcPr>
            <w:tcW w:w="6580" w:type="dxa"/>
            <w:shd w:val="clear" w:color="auto" w:fill="E9E9E9"/>
          </w:tcPr>
          <w:p w14:paraId="290915D2" w14:textId="77777777" w:rsidR="00A16617" w:rsidRPr="00A16617" w:rsidRDefault="00A16617" w:rsidP="007D3DBB">
            <w:pPr>
              <w:pStyle w:val="OCTableText"/>
            </w:pPr>
            <w:r w:rsidRPr="00A16617">
              <w:t>Provide customer brief on major Telstra projects and initiatives that will impact critical services</w:t>
            </w:r>
          </w:p>
        </w:tc>
      </w:tr>
      <w:tr w:rsidR="00A16617" w14:paraId="063D58AA" w14:textId="77777777" w:rsidTr="007D3DBB">
        <w:trPr>
          <w:cantSplit/>
        </w:trPr>
        <w:tc>
          <w:tcPr>
            <w:tcW w:w="1920" w:type="dxa"/>
            <w:shd w:val="clear" w:color="auto" w:fill="E9E9E9"/>
          </w:tcPr>
          <w:p w14:paraId="23EC0254" w14:textId="77777777" w:rsidR="00A16617" w:rsidRPr="00A16617" w:rsidRDefault="00A16617" w:rsidP="007D3DBB">
            <w:pPr>
              <w:pStyle w:val="OCTableText"/>
            </w:pPr>
            <w:r w:rsidRPr="00A16617">
              <w:t>Customer Changes</w:t>
            </w:r>
          </w:p>
        </w:tc>
        <w:tc>
          <w:tcPr>
            <w:tcW w:w="6580" w:type="dxa"/>
            <w:shd w:val="clear" w:color="auto" w:fill="E9E9E9"/>
          </w:tcPr>
          <w:p w14:paraId="30221CCB" w14:textId="77777777" w:rsidR="00A16617" w:rsidRPr="00A16617" w:rsidRDefault="00A16617" w:rsidP="007D3DBB">
            <w:pPr>
              <w:pStyle w:val="OCTableText"/>
            </w:pPr>
            <w:r w:rsidRPr="00A16617">
              <w:t>Lifecycle management of customer changes</w:t>
            </w:r>
          </w:p>
          <w:p w14:paraId="27B76E24" w14:textId="77777777" w:rsidR="00A16617" w:rsidRPr="0009581D" w:rsidRDefault="00A16617" w:rsidP="0009581D">
            <w:pPr>
              <w:pStyle w:val="OCPointsBulletsLevel1"/>
            </w:pPr>
            <w:r w:rsidRPr="0009581D">
              <w:t>Create</w:t>
            </w:r>
            <w:r w:rsidR="0009581D">
              <w:t xml:space="preserve">, </w:t>
            </w:r>
            <w:proofErr w:type="gramStart"/>
            <w:r w:rsidR="0009581D">
              <w:t>review</w:t>
            </w:r>
            <w:proofErr w:type="gramEnd"/>
            <w:r w:rsidR="0009581D">
              <w:t xml:space="preserve"> and approve request for change (</w:t>
            </w:r>
            <w:r w:rsidRPr="0009581D">
              <w:t>RFC</w:t>
            </w:r>
            <w:r w:rsidR="0009581D">
              <w:t>)</w:t>
            </w:r>
          </w:p>
          <w:p w14:paraId="43091F1D" w14:textId="77777777" w:rsidR="00A16617" w:rsidRPr="0009581D" w:rsidRDefault="0009581D" w:rsidP="0009581D">
            <w:pPr>
              <w:pStyle w:val="OCPointsBulletsLevel1"/>
            </w:pPr>
            <w:r>
              <w:t>I</w:t>
            </w:r>
            <w:r w:rsidR="00A16617" w:rsidRPr="0009581D">
              <w:t>dentif</w:t>
            </w:r>
            <w:r>
              <w:t>y stakeholders (approvers and implementers)</w:t>
            </w:r>
          </w:p>
          <w:p w14:paraId="4FFB72AD" w14:textId="77777777" w:rsidR="00A16617" w:rsidRPr="0009581D" w:rsidRDefault="0009581D" w:rsidP="0009581D">
            <w:pPr>
              <w:pStyle w:val="OCPointsBulletsLevel1"/>
            </w:pPr>
            <w:r>
              <w:t xml:space="preserve">Ensure </w:t>
            </w:r>
            <w:r w:rsidR="00A16617" w:rsidRPr="0009581D">
              <w:t xml:space="preserve">back out plans </w:t>
            </w:r>
            <w:r>
              <w:t xml:space="preserve">are </w:t>
            </w:r>
            <w:r w:rsidR="00A16617" w:rsidRPr="0009581D">
              <w:t xml:space="preserve">adequate &amp; </w:t>
            </w:r>
            <w:proofErr w:type="gramStart"/>
            <w:r w:rsidR="00A16617" w:rsidRPr="0009581D">
              <w:t>documented</w:t>
            </w:r>
            <w:proofErr w:type="gramEnd"/>
          </w:p>
          <w:p w14:paraId="7C6B3A33" w14:textId="77777777" w:rsidR="00A16617" w:rsidRPr="0009581D" w:rsidRDefault="006D50DF" w:rsidP="0009581D">
            <w:pPr>
              <w:pStyle w:val="OCPointsBulletsLevel1"/>
            </w:pPr>
            <w:r>
              <w:t xml:space="preserve">Ensure </w:t>
            </w:r>
            <w:r w:rsidR="00A16617" w:rsidRPr="0009581D">
              <w:t xml:space="preserve">testing plans adequate &amp; </w:t>
            </w:r>
            <w:proofErr w:type="gramStart"/>
            <w:r w:rsidR="00A16617" w:rsidRPr="0009581D">
              <w:t>documented</w:t>
            </w:r>
            <w:proofErr w:type="gramEnd"/>
          </w:p>
          <w:p w14:paraId="38A4B130" w14:textId="77777777" w:rsidR="00A16617" w:rsidRPr="0009581D" w:rsidRDefault="00A16617" w:rsidP="0009581D">
            <w:pPr>
              <w:pStyle w:val="OCPointsBulletsLevel1"/>
            </w:pPr>
            <w:r w:rsidRPr="0009581D">
              <w:t xml:space="preserve">Obtain stakeholder </w:t>
            </w:r>
            <w:proofErr w:type="gramStart"/>
            <w:r w:rsidRPr="0009581D">
              <w:t>approval</w:t>
            </w:r>
            <w:proofErr w:type="gramEnd"/>
          </w:p>
          <w:p w14:paraId="212E3F41" w14:textId="77777777" w:rsidR="00A16617" w:rsidRDefault="00A16617" w:rsidP="0009581D">
            <w:pPr>
              <w:pStyle w:val="OCPointsBulletsLevel1"/>
              <w:rPr>
                <w:rFonts w:cs="Arial"/>
                <w:sz w:val="18"/>
                <w:szCs w:val="18"/>
              </w:rPr>
            </w:pPr>
            <w:r w:rsidRPr="0009581D">
              <w:t>Complete Closure requirements</w:t>
            </w:r>
          </w:p>
        </w:tc>
      </w:tr>
      <w:tr w:rsidR="00A16617" w:rsidRPr="007F4DCC" w14:paraId="0B35F492" w14:textId="77777777" w:rsidTr="007D3DBB">
        <w:trPr>
          <w:cantSplit/>
        </w:trPr>
        <w:tc>
          <w:tcPr>
            <w:tcW w:w="1920" w:type="dxa"/>
            <w:shd w:val="clear" w:color="auto" w:fill="E9E9E9"/>
          </w:tcPr>
          <w:p w14:paraId="7A7F2023" w14:textId="77777777" w:rsidR="00A16617" w:rsidRPr="00A16617" w:rsidRDefault="00A16617" w:rsidP="007D3DBB">
            <w:pPr>
              <w:pStyle w:val="OCTableText"/>
            </w:pPr>
            <w:r w:rsidRPr="00A16617">
              <w:t>Change Review Board</w:t>
            </w:r>
          </w:p>
        </w:tc>
        <w:tc>
          <w:tcPr>
            <w:tcW w:w="6580" w:type="dxa"/>
            <w:shd w:val="clear" w:color="auto" w:fill="E9E9E9"/>
          </w:tcPr>
          <w:p w14:paraId="7A00C942" w14:textId="77777777" w:rsidR="00A16617" w:rsidRPr="006D50DF" w:rsidRDefault="00A16617" w:rsidP="007D3DBB">
            <w:pPr>
              <w:pStyle w:val="OCTableText"/>
            </w:pPr>
            <w:r w:rsidRPr="006D50DF">
              <w:t>Attend or host Customer Change Review Board meetings</w:t>
            </w:r>
          </w:p>
        </w:tc>
      </w:tr>
      <w:tr w:rsidR="000B1C90" w14:paraId="68E6C235" w14:textId="77777777" w:rsidTr="008A26BC">
        <w:trPr>
          <w:cantSplit/>
        </w:trPr>
        <w:tc>
          <w:tcPr>
            <w:tcW w:w="1920" w:type="dxa"/>
            <w:shd w:val="clear" w:color="auto" w:fill="E9E9E9"/>
          </w:tcPr>
          <w:p w14:paraId="2FF447CD" w14:textId="77777777" w:rsidR="000B1C90" w:rsidRPr="00A16617" w:rsidRDefault="000B1C90" w:rsidP="008A26BC">
            <w:pPr>
              <w:pStyle w:val="OCTableText"/>
            </w:pPr>
            <w:r w:rsidRPr="00A16617">
              <w:t>Failed Changes</w:t>
            </w:r>
          </w:p>
        </w:tc>
        <w:tc>
          <w:tcPr>
            <w:tcW w:w="6580" w:type="dxa"/>
            <w:shd w:val="clear" w:color="auto" w:fill="E9E9E9"/>
          </w:tcPr>
          <w:p w14:paraId="4973573E" w14:textId="77777777" w:rsidR="000B1C90" w:rsidRPr="006D50DF" w:rsidRDefault="000B1C90" w:rsidP="008A26BC">
            <w:pPr>
              <w:pStyle w:val="OCTableText"/>
            </w:pPr>
            <w:r w:rsidRPr="006D50DF">
              <w:t>Identify and review failed changes</w:t>
            </w:r>
          </w:p>
        </w:tc>
      </w:tr>
      <w:tr w:rsidR="00A16617" w:rsidRPr="004C4CB2" w14:paraId="3B2A8832" w14:textId="77777777" w:rsidTr="007D3DBB">
        <w:trPr>
          <w:cantSplit/>
        </w:trPr>
        <w:tc>
          <w:tcPr>
            <w:tcW w:w="1920" w:type="dxa"/>
            <w:shd w:val="clear" w:color="auto" w:fill="E9E9E9"/>
          </w:tcPr>
          <w:p w14:paraId="77B55F8A" w14:textId="77777777" w:rsidR="00A16617" w:rsidRPr="00A16617" w:rsidRDefault="000B1C90" w:rsidP="007D3DBB">
            <w:pPr>
              <w:pStyle w:val="OCTableText"/>
            </w:pPr>
            <w:r>
              <w:t>Failed Change Reviews</w:t>
            </w:r>
          </w:p>
        </w:tc>
        <w:tc>
          <w:tcPr>
            <w:tcW w:w="6580" w:type="dxa"/>
            <w:shd w:val="clear" w:color="auto" w:fill="E9E9E9"/>
          </w:tcPr>
          <w:p w14:paraId="041F2DBE" w14:textId="77777777" w:rsidR="00A16617" w:rsidRPr="006D50DF" w:rsidRDefault="00A16617" w:rsidP="007D3DBB">
            <w:pPr>
              <w:pStyle w:val="OCTableText"/>
            </w:pPr>
            <w:r w:rsidRPr="006D50DF">
              <w:t xml:space="preserve">Provide Post Implementation Reviews for failed </w:t>
            </w:r>
            <w:proofErr w:type="gramStart"/>
            <w:r w:rsidRPr="006D50DF">
              <w:t>changes</w:t>
            </w:r>
            <w:r w:rsidR="000B1C90">
              <w:t>, and</w:t>
            </w:r>
            <w:proofErr w:type="gramEnd"/>
            <w:r w:rsidR="000B1C90">
              <w:t xml:space="preserve"> participate in customer initiated reviews of failed changes.</w:t>
            </w:r>
          </w:p>
        </w:tc>
      </w:tr>
      <w:tr w:rsidR="00A16617" w:rsidRPr="004C4CB2" w14:paraId="35891E67" w14:textId="77777777" w:rsidTr="007D3DBB">
        <w:trPr>
          <w:cantSplit/>
        </w:trPr>
        <w:tc>
          <w:tcPr>
            <w:tcW w:w="1920" w:type="dxa"/>
            <w:shd w:val="clear" w:color="auto" w:fill="E9E9E9"/>
          </w:tcPr>
          <w:p w14:paraId="69B7CC84" w14:textId="77777777" w:rsidR="00A16617" w:rsidRPr="00A16617" w:rsidRDefault="00A16617" w:rsidP="007D3DBB">
            <w:pPr>
              <w:pStyle w:val="OCTableText"/>
            </w:pPr>
            <w:r w:rsidRPr="00A16617">
              <w:t>Cross Capability Interface</w:t>
            </w:r>
          </w:p>
        </w:tc>
        <w:tc>
          <w:tcPr>
            <w:tcW w:w="6580" w:type="dxa"/>
            <w:shd w:val="clear" w:color="auto" w:fill="E9E9E9"/>
          </w:tcPr>
          <w:p w14:paraId="4B2DC270" w14:textId="77777777" w:rsidR="00A16617" w:rsidRPr="006D50DF" w:rsidRDefault="00A16617" w:rsidP="007D3DBB">
            <w:pPr>
              <w:pStyle w:val="OCTableText"/>
            </w:pPr>
            <w:r w:rsidRPr="006D50DF">
              <w:t>Full visibility and leverage of Change Management records to other Service Management processes</w:t>
            </w:r>
          </w:p>
        </w:tc>
      </w:tr>
    </w:tbl>
    <w:p w14:paraId="6860157B" w14:textId="77777777" w:rsidR="001758D7" w:rsidRDefault="001758D7" w:rsidP="00694B5A"/>
    <w:p w14:paraId="4924F523" w14:textId="77777777" w:rsidR="001758D7" w:rsidRDefault="001758D7" w:rsidP="0048369E">
      <w:pPr>
        <w:pStyle w:val="Heading2"/>
      </w:pPr>
      <w:r>
        <w:t xml:space="preserve">The following </w:t>
      </w:r>
      <w:r w:rsidR="00A54C3C">
        <w:t xml:space="preserve">functionality is excluded from </w:t>
      </w:r>
      <w:r>
        <w:t>Change Management</w:t>
      </w:r>
      <w:r w:rsidR="00A54C3C">
        <w:t xml:space="preserve"> (but may be provided as part of other Service Inclusions in your ISM Service)</w:t>
      </w:r>
      <w:r>
        <w:t>:</w:t>
      </w:r>
    </w:p>
    <w:tbl>
      <w:tblPr>
        <w:tblStyle w:val="TableGrid"/>
        <w:tblW w:w="5003"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3"/>
        <w:gridCol w:w="6237"/>
      </w:tblGrid>
      <w:tr w:rsidR="001758D7" w14:paraId="5AFD0AA5" w14:textId="77777777" w:rsidTr="00905A99">
        <w:trPr>
          <w:cantSplit/>
          <w:tblHeader/>
        </w:trPr>
        <w:tc>
          <w:tcPr>
            <w:tcW w:w="1331" w:type="pct"/>
            <w:shd w:val="clear" w:color="auto" w:fill="007AB0"/>
          </w:tcPr>
          <w:p w14:paraId="29DD174F" w14:textId="77777777" w:rsidR="001758D7" w:rsidRPr="00E53F18" w:rsidRDefault="001758D7" w:rsidP="004D2931">
            <w:pPr>
              <w:pStyle w:val="OCTableHeadings"/>
            </w:pPr>
            <w:r>
              <w:br w:type="page"/>
            </w:r>
            <w:r w:rsidRPr="00E53F18">
              <w:t>Attribute</w:t>
            </w:r>
          </w:p>
        </w:tc>
        <w:tc>
          <w:tcPr>
            <w:tcW w:w="3669" w:type="pct"/>
            <w:shd w:val="clear" w:color="auto" w:fill="007AB0"/>
          </w:tcPr>
          <w:p w14:paraId="21D3F224" w14:textId="77777777" w:rsidR="001758D7" w:rsidRPr="00E53F18" w:rsidRDefault="001758D7" w:rsidP="004D2931">
            <w:pPr>
              <w:pStyle w:val="OCTableHeadings"/>
            </w:pPr>
            <w:r w:rsidRPr="00E53F18">
              <w:t>Detail</w:t>
            </w:r>
          </w:p>
        </w:tc>
      </w:tr>
      <w:tr w:rsidR="001758D7" w14:paraId="6E590E45" w14:textId="77777777" w:rsidTr="00B03900">
        <w:trPr>
          <w:cantSplit/>
        </w:trPr>
        <w:tc>
          <w:tcPr>
            <w:tcW w:w="1331" w:type="pct"/>
            <w:shd w:val="clear" w:color="auto" w:fill="E9E9E9"/>
          </w:tcPr>
          <w:p w14:paraId="388E454B" w14:textId="77777777" w:rsidR="001758D7" w:rsidRPr="00E44CCA" w:rsidRDefault="001758D7" w:rsidP="004D2931">
            <w:pPr>
              <w:pStyle w:val="OCTableText"/>
            </w:pPr>
            <w:r w:rsidRPr="00E44CCA">
              <w:t>Business to Business Interface</w:t>
            </w:r>
          </w:p>
        </w:tc>
        <w:tc>
          <w:tcPr>
            <w:tcW w:w="3669" w:type="pct"/>
            <w:shd w:val="clear" w:color="auto" w:fill="E9E9E9"/>
          </w:tcPr>
          <w:p w14:paraId="4505108F" w14:textId="77777777" w:rsidR="001758D7" w:rsidRPr="00E44CCA" w:rsidRDefault="001758D7" w:rsidP="00F85006">
            <w:pPr>
              <w:pStyle w:val="OCTableText"/>
            </w:pPr>
            <w:r>
              <w:t xml:space="preserve">B2B interfacing </w:t>
            </w:r>
            <w:r w:rsidRPr="00E44CCA">
              <w:t xml:space="preserve">between </w:t>
            </w:r>
            <w:r>
              <w:t xml:space="preserve">the </w:t>
            </w:r>
            <w:r w:rsidRPr="00E44CCA">
              <w:t xml:space="preserve">Customers Change Management System and </w:t>
            </w:r>
            <w:r>
              <w:t xml:space="preserve">the </w:t>
            </w:r>
            <w:r w:rsidRPr="00E44CCA">
              <w:t>Telstra system</w:t>
            </w:r>
            <w:r w:rsidR="00F85006">
              <w:t>s.</w:t>
            </w:r>
          </w:p>
        </w:tc>
      </w:tr>
      <w:tr w:rsidR="001758D7" w14:paraId="092598AB" w14:textId="77777777" w:rsidTr="00B03900">
        <w:trPr>
          <w:cantSplit/>
        </w:trPr>
        <w:tc>
          <w:tcPr>
            <w:tcW w:w="1331" w:type="pct"/>
            <w:shd w:val="clear" w:color="auto" w:fill="E9E9E9"/>
          </w:tcPr>
          <w:p w14:paraId="6985627A" w14:textId="77777777" w:rsidR="001758D7" w:rsidRPr="00376C12" w:rsidRDefault="001758D7" w:rsidP="004D2931">
            <w:pPr>
              <w:pStyle w:val="OCTableText"/>
            </w:pPr>
            <w:r w:rsidRPr="00376C12">
              <w:t>Development / Update of Release Plan</w:t>
            </w:r>
          </w:p>
        </w:tc>
        <w:tc>
          <w:tcPr>
            <w:tcW w:w="3669" w:type="pct"/>
            <w:shd w:val="clear" w:color="auto" w:fill="E9E9E9"/>
          </w:tcPr>
          <w:p w14:paraId="3D1FD470" w14:textId="77777777" w:rsidR="001758D7" w:rsidRPr="00376C12" w:rsidRDefault="00BA024F" w:rsidP="00BA024F">
            <w:pPr>
              <w:pStyle w:val="OCTableText"/>
            </w:pPr>
            <w:r>
              <w:t>Development and u</w:t>
            </w:r>
            <w:r w:rsidRPr="00376C12">
              <w:t>pdate</w:t>
            </w:r>
            <w:r>
              <w:t>s to customised r</w:t>
            </w:r>
            <w:r w:rsidRPr="00376C12">
              <w:t xml:space="preserve">elease </w:t>
            </w:r>
            <w:r>
              <w:t>p</w:t>
            </w:r>
            <w:r w:rsidRPr="00376C12">
              <w:t>lan</w:t>
            </w:r>
            <w:r>
              <w:t>s.</w:t>
            </w:r>
          </w:p>
        </w:tc>
      </w:tr>
      <w:tr w:rsidR="001758D7" w14:paraId="2121FEBB" w14:textId="77777777" w:rsidTr="00B03900">
        <w:trPr>
          <w:cantSplit/>
        </w:trPr>
        <w:tc>
          <w:tcPr>
            <w:tcW w:w="1331" w:type="pct"/>
            <w:shd w:val="clear" w:color="auto" w:fill="E9E9E9"/>
          </w:tcPr>
          <w:p w14:paraId="025E92A5" w14:textId="77777777" w:rsidR="001758D7" w:rsidRPr="00376C12" w:rsidRDefault="001758D7" w:rsidP="004D2931">
            <w:pPr>
              <w:pStyle w:val="OCTableText"/>
            </w:pPr>
            <w:r>
              <w:t>Core Network Changes</w:t>
            </w:r>
          </w:p>
        </w:tc>
        <w:tc>
          <w:tcPr>
            <w:tcW w:w="3669" w:type="pct"/>
            <w:shd w:val="clear" w:color="auto" w:fill="E9E9E9"/>
          </w:tcPr>
          <w:p w14:paraId="012C721A" w14:textId="77777777" w:rsidR="001758D7" w:rsidRPr="00376C12" w:rsidRDefault="00BA024F" w:rsidP="00BA024F">
            <w:pPr>
              <w:pStyle w:val="OCTableText"/>
            </w:pPr>
            <w:r>
              <w:t>Changes to Telstra’s c</w:t>
            </w:r>
            <w:r w:rsidR="001758D7">
              <w:t>ore network</w:t>
            </w:r>
            <w:r>
              <w:t xml:space="preserve"> technologies are managed separately, including impacts, </w:t>
            </w:r>
            <w:proofErr w:type="gramStart"/>
            <w:r>
              <w:t>timing</w:t>
            </w:r>
            <w:proofErr w:type="gramEnd"/>
            <w:r>
              <w:t xml:space="preserve"> and notifications to you.</w:t>
            </w:r>
          </w:p>
        </w:tc>
      </w:tr>
      <w:tr w:rsidR="001758D7" w14:paraId="03C4EE8D" w14:textId="77777777" w:rsidTr="00B03900">
        <w:trPr>
          <w:cantSplit/>
        </w:trPr>
        <w:tc>
          <w:tcPr>
            <w:tcW w:w="1331" w:type="pct"/>
            <w:shd w:val="clear" w:color="auto" w:fill="E9E9E9"/>
          </w:tcPr>
          <w:p w14:paraId="303607A6" w14:textId="77777777" w:rsidR="001758D7" w:rsidRDefault="001758D7" w:rsidP="004D2931">
            <w:pPr>
              <w:pStyle w:val="OCTableText"/>
            </w:pPr>
            <w:r>
              <w:t>Business Continuity Plan</w:t>
            </w:r>
          </w:p>
        </w:tc>
        <w:tc>
          <w:tcPr>
            <w:tcW w:w="3669" w:type="pct"/>
            <w:shd w:val="clear" w:color="auto" w:fill="E9E9E9"/>
          </w:tcPr>
          <w:p w14:paraId="23D02916" w14:textId="77777777" w:rsidR="001758D7" w:rsidRDefault="00BA024F" w:rsidP="00BA024F">
            <w:pPr>
              <w:pStyle w:val="OCTableText"/>
              <w:rPr>
                <w:b/>
                <w:bCs/>
              </w:rPr>
            </w:pPr>
            <w:r>
              <w:t>Change Management back-out plans are not a substitute for your Business Continuity Plan</w:t>
            </w:r>
            <w:r w:rsidR="001758D7">
              <w:t>. A fall-back plan may be a compromise, between the origi</w:t>
            </w:r>
            <w:r>
              <w:t>nal state and the planned state</w:t>
            </w:r>
            <w:r w:rsidR="001758D7">
              <w:t xml:space="preserve"> that is enacted when, due to unexpected results, there is no possibility of achieving either state during the change window</w:t>
            </w:r>
            <w:r>
              <w:t>.</w:t>
            </w:r>
          </w:p>
        </w:tc>
      </w:tr>
      <w:tr w:rsidR="001758D7" w14:paraId="26039538" w14:textId="77777777" w:rsidTr="00B03900">
        <w:trPr>
          <w:cantSplit/>
        </w:trPr>
        <w:tc>
          <w:tcPr>
            <w:tcW w:w="1331" w:type="pct"/>
            <w:shd w:val="clear" w:color="auto" w:fill="E9E9E9"/>
          </w:tcPr>
          <w:p w14:paraId="35003FDF" w14:textId="77777777" w:rsidR="001758D7" w:rsidRDefault="001758D7" w:rsidP="004D2931">
            <w:pPr>
              <w:pStyle w:val="OCTableText"/>
            </w:pPr>
            <w:r>
              <w:t>Customer Service Management Tools</w:t>
            </w:r>
          </w:p>
        </w:tc>
        <w:tc>
          <w:tcPr>
            <w:tcW w:w="3669" w:type="pct"/>
            <w:shd w:val="clear" w:color="auto" w:fill="E9E9E9"/>
          </w:tcPr>
          <w:p w14:paraId="659F2963" w14:textId="77777777" w:rsidR="001758D7" w:rsidRDefault="00B03900" w:rsidP="00B03900">
            <w:pPr>
              <w:pStyle w:val="OCTableText"/>
            </w:pPr>
            <w:r>
              <w:t>Change a</w:t>
            </w:r>
            <w:r w:rsidR="001758D7">
              <w:t xml:space="preserve">ctivities </w:t>
            </w:r>
            <w:r>
              <w:t xml:space="preserve">will not be </w:t>
            </w:r>
            <w:r w:rsidR="001758D7">
              <w:t xml:space="preserve">recorded in the Customers Change Management System </w:t>
            </w:r>
            <w:r>
              <w:t>unless separately agreed.</w:t>
            </w:r>
          </w:p>
        </w:tc>
      </w:tr>
    </w:tbl>
    <w:p w14:paraId="728043D5" w14:textId="77777777" w:rsidR="001758D7" w:rsidRDefault="001758D7" w:rsidP="0056634D"/>
    <w:p w14:paraId="3DB72EF3" w14:textId="77777777" w:rsidR="001758D7" w:rsidRPr="0048369E" w:rsidRDefault="001758D7" w:rsidP="0048369E">
      <w:pPr>
        <w:pStyle w:val="Heading1"/>
      </w:pPr>
      <w:bookmarkStart w:id="38" w:name="_Toc486819593"/>
      <w:r w:rsidRPr="0048369E">
        <w:t xml:space="preserve">Capacity </w:t>
      </w:r>
      <w:r w:rsidR="005F4839" w:rsidRPr="0048369E">
        <w:t>Management</w:t>
      </w:r>
      <w:bookmarkEnd w:id="38"/>
    </w:p>
    <w:p w14:paraId="379101C3" w14:textId="77777777" w:rsidR="001758D7" w:rsidRDefault="001758D7" w:rsidP="001758D7">
      <w:pPr>
        <w:pStyle w:val="ScheduleSubHead"/>
      </w:pPr>
      <w:r>
        <w:t>GENERAL</w:t>
      </w:r>
    </w:p>
    <w:p w14:paraId="50FD5561" w14:textId="77777777" w:rsidR="001758D7" w:rsidRDefault="000F7A46" w:rsidP="0048369E">
      <w:pPr>
        <w:pStyle w:val="Heading2"/>
      </w:pPr>
      <w:r>
        <w:t>If you take up the Capacity Management capability, w</w:t>
      </w:r>
      <w:r w:rsidR="00C33B4E">
        <w:t xml:space="preserve">e will implement a </w:t>
      </w:r>
      <w:r w:rsidR="001758D7">
        <w:t xml:space="preserve">Capacity Management </w:t>
      </w:r>
      <w:r w:rsidR="00C33B4E">
        <w:t xml:space="preserve">process </w:t>
      </w:r>
      <w:r w:rsidR="001758D7">
        <w:t xml:space="preserve">designed to ensure that the capacity of </w:t>
      </w:r>
      <w:r w:rsidR="00C33B4E">
        <w:t xml:space="preserve">your </w:t>
      </w:r>
      <w:r w:rsidR="00E87DF7">
        <w:t>In-scope Services</w:t>
      </w:r>
      <w:r w:rsidR="001758D7">
        <w:t xml:space="preserve"> meets agreed capacity and performance-related requirements.</w:t>
      </w:r>
    </w:p>
    <w:p w14:paraId="21C14547" w14:textId="77777777" w:rsidR="001758D7" w:rsidRDefault="001758D7" w:rsidP="001758D7">
      <w:pPr>
        <w:pStyle w:val="ScheduleSubHead"/>
      </w:pPr>
      <w:r>
        <w:t>CAPACITY MANAGEMENT</w:t>
      </w:r>
    </w:p>
    <w:p w14:paraId="0E8B82DF" w14:textId="77777777" w:rsidR="001758D7" w:rsidRDefault="001758D7" w:rsidP="0048369E">
      <w:pPr>
        <w:pStyle w:val="Heading2"/>
      </w:pPr>
      <w:r>
        <w:t>As part of Capacity Management, we will:</w:t>
      </w:r>
    </w:p>
    <w:p w14:paraId="192862D5" w14:textId="77777777" w:rsidR="001758D7" w:rsidRDefault="001758D7" w:rsidP="0048369E">
      <w:pPr>
        <w:pStyle w:val="Heading3"/>
      </w:pPr>
      <w:r>
        <w:t>determine your service capacity requirements for each service component;</w:t>
      </w:r>
    </w:p>
    <w:p w14:paraId="3D64333C" w14:textId="77777777" w:rsidR="001758D7" w:rsidRDefault="001758D7" w:rsidP="0048369E">
      <w:pPr>
        <w:pStyle w:val="Heading3"/>
      </w:pPr>
      <w:r>
        <w:t xml:space="preserve">develop and maintain a capacity plan (including an annual investment plan in line with the business or budget lifecycle and a quarterly re-issue of the updated plan if necessary); </w:t>
      </w:r>
    </w:p>
    <w:p w14:paraId="480E64EE" w14:textId="77777777" w:rsidR="001758D7" w:rsidRDefault="001758D7" w:rsidP="0048369E">
      <w:pPr>
        <w:pStyle w:val="Heading3"/>
      </w:pPr>
      <w:r>
        <w:t>monitor and report on the service capacity;</w:t>
      </w:r>
    </w:p>
    <w:p w14:paraId="6B42DA05" w14:textId="77777777" w:rsidR="001758D7" w:rsidRDefault="001758D7" w:rsidP="0048369E">
      <w:pPr>
        <w:pStyle w:val="Heading3"/>
      </w:pPr>
      <w:r>
        <w:t>review capacity, including considering the potential for delivery of new services; and</w:t>
      </w:r>
    </w:p>
    <w:p w14:paraId="7EB2F0AB" w14:textId="77777777" w:rsidR="001758D7" w:rsidRDefault="001758D7" w:rsidP="0048369E">
      <w:pPr>
        <w:pStyle w:val="Heading3"/>
      </w:pPr>
      <w:r>
        <w:t xml:space="preserve">deliver capacity data and metrics to you. </w:t>
      </w:r>
    </w:p>
    <w:p w14:paraId="31C7BDE4" w14:textId="77777777" w:rsidR="001758D7" w:rsidRPr="003B5723" w:rsidRDefault="001758D7" w:rsidP="001758D7">
      <w:pPr>
        <w:pStyle w:val="ScheduleSubHead"/>
      </w:pPr>
      <w:r w:rsidRPr="003B5723">
        <w:t>INCLUSIONS</w:t>
      </w:r>
    </w:p>
    <w:p w14:paraId="56CCB1B6" w14:textId="77777777" w:rsidR="001758D7" w:rsidRDefault="001758D7" w:rsidP="0048369E">
      <w:pPr>
        <w:pStyle w:val="Heading2"/>
      </w:pPr>
      <w:r>
        <w:t xml:space="preserve">The following </w:t>
      </w:r>
      <w:r w:rsidR="00C33B4E">
        <w:t xml:space="preserve">functionality will be provided as part of </w:t>
      </w:r>
      <w:r>
        <w:t>Capacity Management:</w:t>
      </w:r>
    </w:p>
    <w:tbl>
      <w:tblPr>
        <w:tblStyle w:val="TableGrid"/>
        <w:tblW w:w="85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6662"/>
      </w:tblGrid>
      <w:tr w:rsidR="00282DB4" w14:paraId="49E422E4" w14:textId="77777777" w:rsidTr="00905A99">
        <w:trPr>
          <w:cantSplit/>
          <w:tblHeader/>
        </w:trPr>
        <w:tc>
          <w:tcPr>
            <w:tcW w:w="1838" w:type="dxa"/>
            <w:shd w:val="clear" w:color="auto" w:fill="007AB0"/>
          </w:tcPr>
          <w:p w14:paraId="05CA83D0" w14:textId="77777777" w:rsidR="00282DB4" w:rsidRPr="00E53F18" w:rsidRDefault="00282DB4" w:rsidP="00956AE3">
            <w:pPr>
              <w:pStyle w:val="OCTableHeadings"/>
            </w:pPr>
            <w:r w:rsidRPr="00E53F18">
              <w:t>Attribute</w:t>
            </w:r>
          </w:p>
        </w:tc>
        <w:tc>
          <w:tcPr>
            <w:tcW w:w="6662" w:type="dxa"/>
            <w:shd w:val="clear" w:color="auto" w:fill="007AB0"/>
          </w:tcPr>
          <w:p w14:paraId="452F7D3B" w14:textId="77777777" w:rsidR="00282DB4" w:rsidRPr="00E53F18" w:rsidRDefault="00282DB4" w:rsidP="00956AE3">
            <w:pPr>
              <w:pStyle w:val="OCTableHeadings"/>
            </w:pPr>
            <w:r w:rsidRPr="00E53F18">
              <w:t>Detail</w:t>
            </w:r>
          </w:p>
        </w:tc>
      </w:tr>
      <w:tr w:rsidR="00282DB4" w14:paraId="67227649" w14:textId="77777777" w:rsidTr="00282DB4">
        <w:trPr>
          <w:cantSplit/>
        </w:trPr>
        <w:tc>
          <w:tcPr>
            <w:tcW w:w="1838" w:type="dxa"/>
            <w:shd w:val="clear" w:color="auto" w:fill="E9E9E9"/>
          </w:tcPr>
          <w:p w14:paraId="501B523A" w14:textId="77777777" w:rsidR="00282DB4" w:rsidRDefault="00282DB4" w:rsidP="00956AE3">
            <w:pPr>
              <w:pStyle w:val="OCTableText"/>
            </w:pPr>
            <w:r>
              <w:t>Capacity Report</w:t>
            </w:r>
          </w:p>
        </w:tc>
        <w:tc>
          <w:tcPr>
            <w:tcW w:w="6662" w:type="dxa"/>
            <w:shd w:val="clear" w:color="auto" w:fill="E9E9E9"/>
          </w:tcPr>
          <w:p w14:paraId="432E6D43" w14:textId="77777777" w:rsidR="00282DB4" w:rsidRPr="00C33B4E" w:rsidRDefault="00282DB4" w:rsidP="00282DB4">
            <w:pPr>
              <w:pStyle w:val="OCTableText"/>
            </w:pPr>
            <w:r>
              <w:t xml:space="preserve">Capacity Report </w:t>
            </w:r>
            <w:r w:rsidRPr="00C33B4E">
              <w:t>detailing existing utilisation and details of any capacity related incidents or events will be produced to allow the customer to understand any impacts of any capacity related issues that exist in their environment.</w:t>
            </w:r>
          </w:p>
        </w:tc>
      </w:tr>
      <w:tr w:rsidR="00282DB4" w14:paraId="5ECC9D4E" w14:textId="77777777" w:rsidTr="00282DB4">
        <w:trPr>
          <w:cantSplit/>
          <w:trHeight w:val="133"/>
        </w:trPr>
        <w:tc>
          <w:tcPr>
            <w:tcW w:w="1838" w:type="dxa"/>
            <w:shd w:val="clear" w:color="auto" w:fill="E9E9E9"/>
          </w:tcPr>
          <w:p w14:paraId="3020AB48" w14:textId="77777777" w:rsidR="00282DB4" w:rsidRPr="00D12253" w:rsidDel="00602331" w:rsidRDefault="00282DB4" w:rsidP="00956AE3">
            <w:pPr>
              <w:pStyle w:val="OCTableText"/>
            </w:pPr>
            <w:r>
              <w:t>Capacity Plan</w:t>
            </w:r>
          </w:p>
        </w:tc>
        <w:tc>
          <w:tcPr>
            <w:tcW w:w="6662" w:type="dxa"/>
            <w:shd w:val="clear" w:color="auto" w:fill="E9E9E9"/>
          </w:tcPr>
          <w:p w14:paraId="7057BE0C" w14:textId="77777777" w:rsidR="00282DB4" w:rsidRDefault="00282DB4" w:rsidP="00282DB4">
            <w:pPr>
              <w:pStyle w:val="OCTableText"/>
            </w:pPr>
            <w:r>
              <w:t xml:space="preserve">Capacity Plan with forecast and recommendations based upon historical capacity data and any changes within your environment. </w:t>
            </w:r>
          </w:p>
          <w:p w14:paraId="7122CAD7" w14:textId="77777777" w:rsidR="00282DB4" w:rsidRPr="00D12253" w:rsidDel="00602331" w:rsidRDefault="00282DB4" w:rsidP="00282DB4">
            <w:pPr>
              <w:pStyle w:val="OCTableText"/>
            </w:pPr>
            <w:r>
              <w:t>We will periodically review the Capacity Plan with you to ensure that risks are understood.</w:t>
            </w:r>
          </w:p>
        </w:tc>
      </w:tr>
    </w:tbl>
    <w:p w14:paraId="7F8F7F2D" w14:textId="77777777" w:rsidR="00EE608B" w:rsidRDefault="00EE608B" w:rsidP="00B0578B">
      <w:bookmarkStart w:id="39" w:name="_Ref480823272"/>
    </w:p>
    <w:p w14:paraId="05CA1677" w14:textId="421389EA" w:rsidR="00EE608B" w:rsidRPr="003B5723" w:rsidRDefault="00EE608B" w:rsidP="00EE608B">
      <w:pPr>
        <w:pStyle w:val="ScheduleSubHead"/>
      </w:pPr>
      <w:r>
        <w:t xml:space="preserve">Capacity Management </w:t>
      </w:r>
      <w:r w:rsidR="00D678ED">
        <w:t>Add-ons</w:t>
      </w:r>
    </w:p>
    <w:p w14:paraId="34CC87AE" w14:textId="39E88700" w:rsidR="00EE608B" w:rsidRDefault="00F73CB9" w:rsidP="00EE608B">
      <w:pPr>
        <w:pStyle w:val="Heading2"/>
      </w:pPr>
      <w:r>
        <w:t>If you take up the optional add-on service</w:t>
      </w:r>
      <w:r w:rsidR="0042108F">
        <w:t>(s)</w:t>
      </w:r>
      <w:r>
        <w:t xml:space="preserve"> we will provide t</w:t>
      </w:r>
      <w:r w:rsidR="00EE608B">
        <w:t xml:space="preserve">he following </w:t>
      </w:r>
      <w:r>
        <w:t xml:space="preserve">additional </w:t>
      </w:r>
      <w:r w:rsidR="00EE608B">
        <w:t>functionality as part of Capacity Management:</w:t>
      </w:r>
    </w:p>
    <w:tbl>
      <w:tblPr>
        <w:tblStyle w:val="TableGrid"/>
        <w:tblW w:w="85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0"/>
        <w:gridCol w:w="6380"/>
      </w:tblGrid>
      <w:tr w:rsidR="00EE608B" w14:paraId="557857C5" w14:textId="77777777" w:rsidTr="00905A99">
        <w:trPr>
          <w:cantSplit/>
          <w:tblHeader/>
        </w:trPr>
        <w:tc>
          <w:tcPr>
            <w:tcW w:w="2120" w:type="dxa"/>
            <w:shd w:val="clear" w:color="auto" w:fill="007AB0"/>
          </w:tcPr>
          <w:p w14:paraId="257DFDBF" w14:textId="77777777" w:rsidR="00EE608B" w:rsidRPr="00E53F18" w:rsidRDefault="00EE608B" w:rsidP="00C71F5D">
            <w:pPr>
              <w:pStyle w:val="OCTableHeadings"/>
            </w:pPr>
            <w:r w:rsidRPr="00E53F18">
              <w:t>Attribute</w:t>
            </w:r>
          </w:p>
        </w:tc>
        <w:tc>
          <w:tcPr>
            <w:tcW w:w="6380" w:type="dxa"/>
            <w:shd w:val="clear" w:color="auto" w:fill="007AB0"/>
          </w:tcPr>
          <w:p w14:paraId="6D7C5290" w14:textId="77777777" w:rsidR="00EE608B" w:rsidRPr="00E53F18" w:rsidRDefault="00EE608B" w:rsidP="00C71F5D">
            <w:pPr>
              <w:pStyle w:val="OCTableHeadings"/>
            </w:pPr>
            <w:r w:rsidRPr="00E53F18">
              <w:t>Detail</w:t>
            </w:r>
          </w:p>
        </w:tc>
      </w:tr>
      <w:tr w:rsidR="00EE608B" w14:paraId="679C6BD1" w14:textId="77777777" w:rsidTr="00B0578B">
        <w:trPr>
          <w:cantSplit/>
        </w:trPr>
        <w:tc>
          <w:tcPr>
            <w:tcW w:w="2120" w:type="dxa"/>
            <w:shd w:val="clear" w:color="auto" w:fill="E9E9E9"/>
          </w:tcPr>
          <w:p w14:paraId="04CC0B58" w14:textId="51AE8DD7" w:rsidR="00EE608B" w:rsidRDefault="002A2B58" w:rsidP="00C71F5D">
            <w:pPr>
              <w:pStyle w:val="OCTableText"/>
            </w:pPr>
            <w:r>
              <w:t>Demand Forecasting</w:t>
            </w:r>
          </w:p>
        </w:tc>
        <w:tc>
          <w:tcPr>
            <w:tcW w:w="6380" w:type="dxa"/>
            <w:shd w:val="clear" w:color="auto" w:fill="E9E9E9"/>
          </w:tcPr>
          <w:p w14:paraId="22DBDC3A" w14:textId="7FF44060" w:rsidR="00EE608B" w:rsidRPr="00C33B4E" w:rsidRDefault="002A2B58" w:rsidP="00DC5CF3">
            <w:pPr>
              <w:pStyle w:val="OCTableText"/>
            </w:pPr>
            <w:r>
              <w:t xml:space="preserve">We will work with you collaboratively to understand your current business demands and the anticipated future demands your business is likely to place on your </w:t>
            </w:r>
            <w:r w:rsidR="00913CC5">
              <w:t>In-scope Service</w:t>
            </w:r>
            <w:r>
              <w:t>s.</w:t>
            </w:r>
          </w:p>
        </w:tc>
      </w:tr>
      <w:tr w:rsidR="002A2B58" w14:paraId="3CF59642" w14:textId="77777777" w:rsidTr="00B0578B">
        <w:trPr>
          <w:cantSplit/>
        </w:trPr>
        <w:tc>
          <w:tcPr>
            <w:tcW w:w="2120" w:type="dxa"/>
            <w:shd w:val="clear" w:color="auto" w:fill="E9E9E9"/>
          </w:tcPr>
          <w:p w14:paraId="7BB84EDE" w14:textId="34923526" w:rsidR="002A2B58" w:rsidRDefault="002A2B58" w:rsidP="00C71F5D">
            <w:pPr>
              <w:pStyle w:val="OCTableText"/>
            </w:pPr>
            <w:r w:rsidRPr="00EE608B">
              <w:t>Proactively Manage Findings &amp; Recommendations</w:t>
            </w:r>
          </w:p>
        </w:tc>
        <w:tc>
          <w:tcPr>
            <w:tcW w:w="6380" w:type="dxa"/>
            <w:shd w:val="clear" w:color="auto" w:fill="E9E9E9"/>
          </w:tcPr>
          <w:p w14:paraId="68B68412" w14:textId="2E5B5CC7" w:rsidR="002A2B58" w:rsidRDefault="002A2B58" w:rsidP="00DC5CF3">
            <w:pPr>
              <w:pStyle w:val="OCTableText"/>
            </w:pPr>
            <w:r>
              <w:rPr>
                <w:rFonts w:cs="Calibri"/>
                <w:color w:val="000000"/>
                <w:szCs w:val="19"/>
              </w:rPr>
              <w:t>We will p</w:t>
            </w:r>
            <w:r w:rsidRPr="009F207F">
              <w:rPr>
                <w:rFonts w:cs="Calibri"/>
                <w:color w:val="000000"/>
                <w:szCs w:val="19"/>
              </w:rPr>
              <w:t xml:space="preserve">roactively review </w:t>
            </w:r>
            <w:r>
              <w:rPr>
                <w:rFonts w:cs="Calibri"/>
                <w:color w:val="000000"/>
                <w:szCs w:val="19"/>
              </w:rPr>
              <w:t xml:space="preserve">your </w:t>
            </w:r>
            <w:r w:rsidRPr="009F207F">
              <w:rPr>
                <w:rFonts w:cs="Calibri"/>
                <w:color w:val="000000"/>
                <w:szCs w:val="19"/>
              </w:rPr>
              <w:t>change management activities to identify and assess potential capacity impacts and implement recommendations.</w:t>
            </w:r>
          </w:p>
        </w:tc>
      </w:tr>
    </w:tbl>
    <w:p w14:paraId="6ABB9545" w14:textId="77777777" w:rsidR="0072240B" w:rsidRDefault="0072240B" w:rsidP="0072240B"/>
    <w:p w14:paraId="395A7366" w14:textId="77777777" w:rsidR="001758D7" w:rsidRPr="0048369E" w:rsidRDefault="001758D7" w:rsidP="0048369E">
      <w:pPr>
        <w:pStyle w:val="Heading1"/>
      </w:pPr>
      <w:bookmarkStart w:id="40" w:name="_Ref485987597"/>
      <w:bookmarkStart w:id="41" w:name="_Toc486819594"/>
      <w:r w:rsidRPr="0048369E">
        <w:t xml:space="preserve">Third </w:t>
      </w:r>
      <w:r w:rsidR="005F4839" w:rsidRPr="0048369E">
        <w:t>Party Management</w:t>
      </w:r>
      <w:bookmarkEnd w:id="39"/>
      <w:bookmarkEnd w:id="40"/>
      <w:bookmarkEnd w:id="41"/>
    </w:p>
    <w:p w14:paraId="5302974D" w14:textId="6D41B2B8" w:rsidR="00F0548B" w:rsidRPr="003B5723" w:rsidRDefault="00F0548B" w:rsidP="00F0548B">
      <w:pPr>
        <w:pStyle w:val="ScheduleSubHead"/>
      </w:pPr>
      <w:r>
        <w:t>standard Third Party Management</w:t>
      </w:r>
    </w:p>
    <w:p w14:paraId="2573469B" w14:textId="106754AC" w:rsidR="00F0548B" w:rsidRDefault="00F0548B" w:rsidP="00F0548B">
      <w:pPr>
        <w:pStyle w:val="Heading2"/>
      </w:pPr>
      <w:r>
        <w:t xml:space="preserve">As part of </w:t>
      </w:r>
      <w:r w:rsidR="00FC37BC">
        <w:t>S</w:t>
      </w:r>
      <w:r>
        <w:t xml:space="preserve">tandard </w:t>
      </w:r>
      <w:proofErr w:type="gramStart"/>
      <w:r>
        <w:t>Third Party</w:t>
      </w:r>
      <w:proofErr w:type="gramEnd"/>
      <w:r>
        <w:t xml:space="preserve"> Management, where your </w:t>
      </w:r>
      <w:r w:rsidR="00913CC5">
        <w:t>In-scope Service</w:t>
      </w:r>
      <w:r>
        <w:t>s</w:t>
      </w:r>
      <w:r w:rsidR="001F47D6">
        <w:t xml:space="preserve"> </w:t>
      </w:r>
      <w:r w:rsidR="00FC37BC">
        <w:t xml:space="preserve">supplied by Telstra are </w:t>
      </w:r>
      <w:r>
        <w:t xml:space="preserve">provided </w:t>
      </w:r>
      <w:r w:rsidR="001F47D6">
        <w:t xml:space="preserve">(e.g. resold from) </w:t>
      </w:r>
      <w:r>
        <w:t>or supported by a Third Party Supplier, we will manage</w:t>
      </w:r>
      <w:r w:rsidR="001F47D6">
        <w:t xml:space="preserve"> all aspects of the relationship with the Third</w:t>
      </w:r>
      <w:r w:rsidR="001F47D6" w:rsidRPr="001F47D6">
        <w:t xml:space="preserve"> </w:t>
      </w:r>
      <w:r w:rsidR="001F47D6">
        <w:t xml:space="preserve">Party Supplier as part of your ISM Service. </w:t>
      </w:r>
    </w:p>
    <w:p w14:paraId="4A3CEE18" w14:textId="042CB935" w:rsidR="001F47D6" w:rsidRDefault="001F47D6" w:rsidP="00644368">
      <w:pPr>
        <w:pStyle w:val="Heading2"/>
      </w:pPr>
      <w:r>
        <w:t xml:space="preserve">To the extent you have a direct </w:t>
      </w:r>
      <w:r w:rsidR="00644368">
        <w:t xml:space="preserve">contractual </w:t>
      </w:r>
      <w:r>
        <w:t>relationship with the Third</w:t>
      </w:r>
      <w:r w:rsidRPr="001F47D6">
        <w:t xml:space="preserve"> </w:t>
      </w:r>
      <w:r>
        <w:t>Party Supplier</w:t>
      </w:r>
      <w:r w:rsidR="00644368">
        <w:t xml:space="preserve"> in connection with the </w:t>
      </w:r>
      <w:r w:rsidR="00913CC5">
        <w:t>In-scope Service</w:t>
      </w:r>
      <w:r w:rsidR="00644368">
        <w:t>s</w:t>
      </w:r>
      <w:r>
        <w:t xml:space="preserve">, you must do all things necessary </w:t>
      </w:r>
      <w:r w:rsidR="00644368">
        <w:t xml:space="preserve">to authorise and enable </w:t>
      </w:r>
      <w:r>
        <w:t>us to perform the ISM Service</w:t>
      </w:r>
      <w:r w:rsidR="004D31F1">
        <w:t xml:space="preserve"> in connection with that Third Party Supplier</w:t>
      </w:r>
      <w:r w:rsidR="00644368">
        <w:t>.</w:t>
      </w:r>
    </w:p>
    <w:p w14:paraId="526875C9" w14:textId="50E02CCF" w:rsidR="00F0548B" w:rsidRPr="003B5723" w:rsidRDefault="00F0548B" w:rsidP="00F0548B">
      <w:pPr>
        <w:pStyle w:val="ScheduleSubHead"/>
      </w:pPr>
      <w:r>
        <w:t>Custom Third Party Management</w:t>
      </w:r>
    </w:p>
    <w:p w14:paraId="37DE32BF" w14:textId="54708F94" w:rsidR="00644368" w:rsidRDefault="001F47D6" w:rsidP="002B45AD">
      <w:pPr>
        <w:pStyle w:val="Heading2"/>
      </w:pPr>
      <w:r>
        <w:t xml:space="preserve">If you take up Custom Third Party Management, we will extend our management of Third Party Suppliers to include </w:t>
      </w:r>
      <w:r w:rsidR="00913CC5">
        <w:t>In-scope Service</w:t>
      </w:r>
      <w:r>
        <w:t>s that have not been supplied by Telstra.</w:t>
      </w:r>
      <w:r w:rsidR="00644368">
        <w:t xml:space="preserve"> We will manage the </w:t>
      </w:r>
      <w:r>
        <w:t>specific Third Party Managed Contracts</w:t>
      </w:r>
      <w:r w:rsidR="00644368">
        <w:t xml:space="preserve"> set out in your agreement with us. The scope of the Custom Third Party Management capability is further set out in your agreement with us.</w:t>
      </w:r>
    </w:p>
    <w:p w14:paraId="23629302" w14:textId="77777777" w:rsidR="001758D7" w:rsidRDefault="001758D7" w:rsidP="00B82ADA"/>
    <w:p w14:paraId="17AE7F55" w14:textId="77777777" w:rsidR="00C47CCC" w:rsidRDefault="00357D7A" w:rsidP="00C47CCC">
      <w:pPr>
        <w:pStyle w:val="Heading1"/>
      </w:pPr>
      <w:bookmarkStart w:id="42" w:name="_Ref485857985"/>
      <w:bookmarkStart w:id="43" w:name="_Toc486819595"/>
      <w:r>
        <w:t>Special Meanings</w:t>
      </w:r>
      <w:bookmarkEnd w:id="42"/>
      <w:bookmarkEnd w:id="43"/>
    </w:p>
    <w:p w14:paraId="1C579DEC" w14:textId="77777777" w:rsidR="00C47CCC" w:rsidRPr="002D509B" w:rsidRDefault="00357D7A" w:rsidP="004E697E">
      <w:pPr>
        <w:pStyle w:val="Heading3"/>
        <w:numPr>
          <w:ilvl w:val="0"/>
          <w:numId w:val="0"/>
        </w:numPr>
        <w:ind w:left="1474" w:hanging="737"/>
      </w:pPr>
      <w:r w:rsidRPr="00357D7A">
        <w:t>The terms below have the following meaning</w:t>
      </w:r>
      <w:r>
        <w:t>s</w:t>
      </w:r>
      <w:r w:rsidRPr="00357D7A">
        <w:t>:</w:t>
      </w:r>
    </w:p>
    <w:p w14:paraId="6852297E" w14:textId="77777777" w:rsidR="00C47CCC" w:rsidRPr="00861583" w:rsidRDefault="00C47CCC" w:rsidP="00C47CCC">
      <w:pPr>
        <w:pStyle w:val="Heading2"/>
      </w:pPr>
      <w:r w:rsidRPr="00C47CCC">
        <w:rPr>
          <w:b/>
        </w:rPr>
        <w:t>Asset</w:t>
      </w:r>
      <w:r w:rsidRPr="00C47CCC">
        <w:t xml:space="preserve"> </w:t>
      </w:r>
      <w:r w:rsidRPr="00861583">
        <w:t>means an item of equipment or asset:</w:t>
      </w:r>
    </w:p>
    <w:p w14:paraId="330EC0E8" w14:textId="77777777" w:rsidR="00C47CCC" w:rsidRPr="00861583" w:rsidRDefault="00C47CCC" w:rsidP="00357D7A">
      <w:pPr>
        <w:pStyle w:val="Heading3"/>
      </w:pPr>
      <w:r w:rsidRPr="00861583">
        <w:t>owned or leased by us;</w:t>
      </w:r>
    </w:p>
    <w:p w14:paraId="4793D805" w14:textId="31633B7F" w:rsidR="00C47CCC" w:rsidRPr="00861583" w:rsidRDefault="00C47CCC" w:rsidP="00C47CCC">
      <w:pPr>
        <w:pStyle w:val="Heading3"/>
      </w:pPr>
      <w:r w:rsidRPr="00861583">
        <w:t xml:space="preserve">with a useful working life in excess of 12 </w:t>
      </w:r>
      <w:proofErr w:type="gramStart"/>
      <w:r w:rsidRPr="00861583">
        <w:t>months;</w:t>
      </w:r>
      <w:proofErr w:type="gramEnd"/>
    </w:p>
    <w:p w14:paraId="0DD30E10" w14:textId="46EE5399" w:rsidR="00C47CCC" w:rsidRPr="00861583" w:rsidRDefault="00C47CCC" w:rsidP="00C47CCC">
      <w:pPr>
        <w:pStyle w:val="Heading3"/>
      </w:pPr>
      <w:r w:rsidRPr="00861583">
        <w:t>which is capable of being treated as an asset in accordance with the applicable Australian “AASB Accounting Standards” and “AAS Accounting Standards”</w:t>
      </w:r>
      <w:r w:rsidR="00C92F7C">
        <w:t>; and</w:t>
      </w:r>
    </w:p>
    <w:p w14:paraId="74CF31E8" w14:textId="4009F3F7" w:rsidR="00C47CCC" w:rsidRPr="00861583" w:rsidRDefault="00C47CCC" w:rsidP="00C47CCC">
      <w:pPr>
        <w:pStyle w:val="Heading3"/>
      </w:pPr>
      <w:r w:rsidRPr="00861583">
        <w:t>which we manage on your behalf and bill you in respect of such management</w:t>
      </w:r>
      <w:r w:rsidR="00C92F7C">
        <w:t xml:space="preserve"> as part of the </w:t>
      </w:r>
      <w:r w:rsidR="00913CC5">
        <w:t>In-scope Service</w:t>
      </w:r>
      <w:r w:rsidRPr="00861583">
        <w:t>.</w:t>
      </w:r>
    </w:p>
    <w:p w14:paraId="4BBA9707" w14:textId="77777777" w:rsidR="00C47CCC" w:rsidRDefault="00C47CCC" w:rsidP="00C47CCC">
      <w:pPr>
        <w:pStyle w:val="Heading2"/>
      </w:pPr>
      <w:r w:rsidRPr="00C47CCC">
        <w:rPr>
          <w:b/>
        </w:rPr>
        <w:t>Authorised Representatives</w:t>
      </w:r>
      <w:r w:rsidRPr="00C42DE6">
        <w:t xml:space="preserve"> means your authorised representative who has the requisite authority to make any Requests and decisions in relation to the </w:t>
      </w:r>
      <w:r>
        <w:t xml:space="preserve">In-scope Services </w:t>
      </w:r>
      <w:r w:rsidRPr="00C42DE6">
        <w:t>on your behalf.</w:t>
      </w:r>
    </w:p>
    <w:p w14:paraId="5040CA39" w14:textId="650CB825" w:rsidR="00C47CCC" w:rsidRPr="00C47CCC" w:rsidRDefault="00C47CCC" w:rsidP="00C47CCC">
      <w:pPr>
        <w:pStyle w:val="Heading2"/>
      </w:pPr>
      <w:r w:rsidRPr="00C47CCC">
        <w:rPr>
          <w:b/>
        </w:rPr>
        <w:t>Change</w:t>
      </w:r>
      <w:r w:rsidRPr="00C47CCC">
        <w:t xml:space="preserve"> </w:t>
      </w:r>
      <w:r>
        <w:t xml:space="preserve">means a change to your </w:t>
      </w:r>
      <w:r w:rsidR="00913CC5">
        <w:t>In-scope Service</w:t>
      </w:r>
      <w:r w:rsidR="00EB16D2">
        <w:t xml:space="preserve">s or your </w:t>
      </w:r>
      <w:r>
        <w:t>ISM Service</w:t>
      </w:r>
      <w:r w:rsidR="00EB16D2">
        <w:t xml:space="preserve"> itself</w:t>
      </w:r>
      <w:r>
        <w:t xml:space="preserve">. </w:t>
      </w:r>
    </w:p>
    <w:p w14:paraId="609ACF03" w14:textId="77777777" w:rsidR="00C47CCC" w:rsidRPr="00C47CCC" w:rsidRDefault="00C47CCC" w:rsidP="00C47CCC">
      <w:pPr>
        <w:pStyle w:val="Heading2"/>
      </w:pPr>
      <w:r w:rsidRPr="00C47CCC">
        <w:rPr>
          <w:b/>
        </w:rPr>
        <w:t>Change Management</w:t>
      </w:r>
      <w:r w:rsidRPr="00C47CCC">
        <w:t xml:space="preserve"> </w:t>
      </w:r>
      <w:r>
        <w:t xml:space="preserve">means the change management process </w:t>
      </w:r>
      <w:r w:rsidR="00D30DB8">
        <w:t xml:space="preserve">provided as part of the change management capability </w:t>
      </w:r>
      <w:r>
        <w:t xml:space="preserve">described in clause </w:t>
      </w:r>
      <w:r>
        <w:fldChar w:fldCharType="begin"/>
      </w:r>
      <w:r>
        <w:instrText xml:space="preserve"> REF _Ref480986775 \r \h  \* MERGEFORMAT </w:instrText>
      </w:r>
      <w:r>
        <w:fldChar w:fldCharType="separate"/>
      </w:r>
      <w:r w:rsidR="00F672EB">
        <w:t>13</w:t>
      </w:r>
      <w:r>
        <w:fldChar w:fldCharType="end"/>
      </w:r>
      <w:r>
        <w:t>.</w:t>
      </w:r>
    </w:p>
    <w:p w14:paraId="2E048BEB" w14:textId="77777777" w:rsidR="00C47CCC" w:rsidRPr="00C47CCC" w:rsidRDefault="00C47CCC" w:rsidP="00C47CCC">
      <w:pPr>
        <w:pStyle w:val="Heading2"/>
      </w:pPr>
      <w:r w:rsidRPr="00C47CCC">
        <w:rPr>
          <w:b/>
        </w:rPr>
        <w:t>Change Request</w:t>
      </w:r>
      <w:r w:rsidRPr="00C47CCC">
        <w:t xml:space="preserve"> </w:t>
      </w:r>
      <w:r>
        <w:t xml:space="preserve">means a Customer’s request for a Change. </w:t>
      </w:r>
    </w:p>
    <w:p w14:paraId="7F788A70" w14:textId="77777777" w:rsidR="00C47CCC" w:rsidRPr="00C47CCC" w:rsidRDefault="00C47CCC" w:rsidP="00C47CCC">
      <w:pPr>
        <w:pStyle w:val="Heading2"/>
      </w:pPr>
      <w:r w:rsidRPr="00C47CCC">
        <w:rPr>
          <w:b/>
        </w:rPr>
        <w:t>Customer Input</w:t>
      </w:r>
      <w:r w:rsidRPr="00C47CCC">
        <w:t xml:space="preserve"> </w:t>
      </w:r>
      <w:r>
        <w:t>means any input you are required to provide to enabl</w:t>
      </w:r>
      <w:r w:rsidR="00D30DB8">
        <w:t>e us to provide the ISM Service, as described in your agreement with us.</w:t>
      </w:r>
      <w:r>
        <w:t xml:space="preserve"> </w:t>
      </w:r>
    </w:p>
    <w:p w14:paraId="4E63E33F" w14:textId="77777777" w:rsidR="00C47CCC" w:rsidRPr="009A0FCB" w:rsidRDefault="00C47CCC" w:rsidP="00C47CCC">
      <w:pPr>
        <w:pStyle w:val="Heading2"/>
      </w:pPr>
      <w:r w:rsidRPr="00C47CCC">
        <w:rPr>
          <w:b/>
        </w:rPr>
        <w:t>Incident</w:t>
      </w:r>
      <w:r w:rsidRPr="009A0FCB">
        <w:t xml:space="preserve"> means an event that is not part of the standard or expected operation of your </w:t>
      </w:r>
      <w:r>
        <w:t>In-scope Service</w:t>
      </w:r>
      <w:r w:rsidRPr="009A0FCB">
        <w:t xml:space="preserve">s that causes, or may cause, an interruption to, or a reduction in the quality of, the </w:t>
      </w:r>
      <w:r>
        <w:t>In-scope Service</w:t>
      </w:r>
      <w:r w:rsidRPr="009A0FCB">
        <w:t xml:space="preserve"> or which affects your ability to use your </w:t>
      </w:r>
      <w:r>
        <w:t>In-scope Service</w:t>
      </w:r>
      <w:r w:rsidRPr="009A0FCB">
        <w:t xml:space="preserve">s. </w:t>
      </w:r>
    </w:p>
    <w:p w14:paraId="6911CBC4" w14:textId="77777777" w:rsidR="00C47CCC" w:rsidRDefault="00C47CCC" w:rsidP="00C47CCC">
      <w:pPr>
        <w:pStyle w:val="Heading2"/>
      </w:pPr>
      <w:r w:rsidRPr="00C47CCC">
        <w:rPr>
          <w:b/>
        </w:rPr>
        <w:t>In-scope Service</w:t>
      </w:r>
      <w:r>
        <w:t xml:space="preserve"> </w:t>
      </w:r>
      <w:r w:rsidRPr="00C42DE6">
        <w:t xml:space="preserve">means those </w:t>
      </w:r>
      <w:r w:rsidR="00D30DB8">
        <w:t xml:space="preserve">the </w:t>
      </w:r>
      <w:r w:rsidR="00E87DF7">
        <w:t xml:space="preserve">products and </w:t>
      </w:r>
      <w:r w:rsidR="00D30DB8">
        <w:t xml:space="preserve">services </w:t>
      </w:r>
      <w:r w:rsidR="00E87DF7" w:rsidRPr="00C42DE6">
        <w:t xml:space="preserve">for which we will provide the </w:t>
      </w:r>
      <w:r w:rsidR="00E87DF7">
        <w:t xml:space="preserve">Service Inclusions </w:t>
      </w:r>
      <w:r w:rsidR="00E87DF7" w:rsidRPr="00C42DE6">
        <w:t>to you</w:t>
      </w:r>
      <w:r w:rsidR="00E87DF7">
        <w:t xml:space="preserve"> as </w:t>
      </w:r>
      <w:r w:rsidR="00D30DB8">
        <w:t>set out in your agreement with us</w:t>
      </w:r>
      <w:r w:rsidR="00E87DF7">
        <w:t xml:space="preserve">. Unless otherwise agreed, </w:t>
      </w:r>
      <w:r w:rsidR="00AB258B">
        <w:t>a product or service must be set out in the Service Catalogue to be accepted as an In</w:t>
      </w:r>
      <w:r w:rsidR="00E87DF7">
        <w:t xml:space="preserve">-scope </w:t>
      </w:r>
      <w:r w:rsidR="00AB258B">
        <w:t>Services.</w:t>
      </w:r>
    </w:p>
    <w:p w14:paraId="6AC2FCE9" w14:textId="77777777" w:rsidR="00C47CCC" w:rsidRPr="00C47CCC" w:rsidRDefault="00C47CCC" w:rsidP="00C47CCC">
      <w:pPr>
        <w:pStyle w:val="Heading2"/>
      </w:pPr>
      <w:r w:rsidRPr="00C47CCC">
        <w:rPr>
          <w:b/>
        </w:rPr>
        <w:t>ISM Tool</w:t>
      </w:r>
      <w:r>
        <w:t xml:space="preserve"> means our service management tool that manages Incidents and Requests</w:t>
      </w:r>
      <w:r w:rsidR="006C3786">
        <w:t>, operated by our Service Desk</w:t>
      </w:r>
      <w:r w:rsidR="00273DB8">
        <w:t>, and accessible to you through the Contact Channels.</w:t>
      </w:r>
    </w:p>
    <w:p w14:paraId="556D6743" w14:textId="77777777" w:rsidR="00C47CCC" w:rsidRPr="00C47CCC" w:rsidRDefault="00C47CCC" w:rsidP="00C47CCC">
      <w:pPr>
        <w:pStyle w:val="Heading2"/>
      </w:pPr>
      <w:r w:rsidRPr="00C47CCC">
        <w:rPr>
          <w:b/>
        </w:rPr>
        <w:t>Non-Standard Requests</w:t>
      </w:r>
      <w:r w:rsidRPr="00E6595F">
        <w:t xml:space="preserve"> are any </w:t>
      </w:r>
      <w:r w:rsidR="00273DB8">
        <w:t>R</w:t>
      </w:r>
      <w:r w:rsidRPr="00E6595F">
        <w:t xml:space="preserve">equests in relation to </w:t>
      </w:r>
      <w:r>
        <w:t>In-scope Service</w:t>
      </w:r>
      <w:r w:rsidRPr="00E6595F">
        <w:t>s that are not contained in the Service Catalogue.</w:t>
      </w:r>
    </w:p>
    <w:p w14:paraId="611F4F67" w14:textId="77777777" w:rsidR="00AD70DF" w:rsidRDefault="00AD70DF" w:rsidP="00C47CCC">
      <w:pPr>
        <w:pStyle w:val="Heading2"/>
      </w:pPr>
      <w:r w:rsidRPr="00C47CCC">
        <w:rPr>
          <w:b/>
        </w:rPr>
        <w:t>Major Incident</w:t>
      </w:r>
      <w:r>
        <w:t xml:space="preserve"> means an Incident with a Priority Level of one or two. </w:t>
      </w:r>
    </w:p>
    <w:p w14:paraId="09360900" w14:textId="77777777" w:rsidR="00AD70DF" w:rsidRPr="00B2651F" w:rsidRDefault="00AD70DF" w:rsidP="00C47CCC">
      <w:pPr>
        <w:pStyle w:val="Heading2"/>
      </w:pPr>
      <w:r>
        <w:rPr>
          <w:b/>
        </w:rPr>
        <w:t xml:space="preserve">Minor </w:t>
      </w:r>
      <w:r w:rsidRPr="00C47CCC">
        <w:rPr>
          <w:b/>
        </w:rPr>
        <w:t>Incident</w:t>
      </w:r>
      <w:r>
        <w:t xml:space="preserve"> means an Incident with a Priority Level of three or four.</w:t>
      </w:r>
    </w:p>
    <w:p w14:paraId="7903EBA9" w14:textId="77777777" w:rsidR="00C47CCC" w:rsidRPr="00036329" w:rsidRDefault="00C47CCC" w:rsidP="00C47CCC">
      <w:pPr>
        <w:pStyle w:val="Heading2"/>
      </w:pPr>
      <w:r w:rsidRPr="00036329">
        <w:rPr>
          <w:b/>
        </w:rPr>
        <w:t>Premises</w:t>
      </w:r>
      <w:r w:rsidRPr="00036329">
        <w:t xml:space="preserve"> </w:t>
      </w:r>
      <w:r w:rsidRPr="00036329">
        <w:rPr>
          <w:bCs w:val="0"/>
        </w:rPr>
        <w:t xml:space="preserve">means </w:t>
      </w:r>
      <w:r w:rsidR="0096110F">
        <w:rPr>
          <w:bCs w:val="0"/>
        </w:rPr>
        <w:t xml:space="preserve">the locations where </w:t>
      </w:r>
      <w:proofErr w:type="gramStart"/>
      <w:r w:rsidR="0096110F">
        <w:rPr>
          <w:bCs w:val="0"/>
        </w:rPr>
        <w:t>your</w:t>
      </w:r>
      <w:proofErr w:type="gramEnd"/>
      <w:r w:rsidR="0096110F">
        <w:rPr>
          <w:bCs w:val="0"/>
        </w:rPr>
        <w:t xml:space="preserve"> </w:t>
      </w:r>
      <w:r w:rsidRPr="00036329">
        <w:rPr>
          <w:bCs w:val="0"/>
        </w:rPr>
        <w:t>In-scope Services are being provided</w:t>
      </w:r>
      <w:r w:rsidR="0096110F">
        <w:rPr>
          <w:bCs w:val="0"/>
        </w:rPr>
        <w:t xml:space="preserve">, as </w:t>
      </w:r>
      <w:r w:rsidR="0096110F" w:rsidRPr="00036329">
        <w:t xml:space="preserve">identified </w:t>
      </w:r>
      <w:r w:rsidR="0096110F">
        <w:t>your agreement with us</w:t>
      </w:r>
      <w:r w:rsidRPr="00036329">
        <w:rPr>
          <w:bCs w:val="0"/>
        </w:rPr>
        <w:t xml:space="preserve">, </w:t>
      </w:r>
      <w:r w:rsidR="0096110F">
        <w:rPr>
          <w:bCs w:val="0"/>
        </w:rPr>
        <w:t xml:space="preserve">or </w:t>
      </w:r>
      <w:r w:rsidRPr="00036329">
        <w:rPr>
          <w:bCs w:val="0"/>
        </w:rPr>
        <w:t xml:space="preserve">amended from time to time </w:t>
      </w:r>
      <w:r w:rsidR="0096110F">
        <w:rPr>
          <w:bCs w:val="0"/>
        </w:rPr>
        <w:t>in accordance with this section.</w:t>
      </w:r>
    </w:p>
    <w:p w14:paraId="2674A81C" w14:textId="77777777" w:rsidR="002D5C9F" w:rsidRDefault="00C47CCC" w:rsidP="00C47CCC">
      <w:pPr>
        <w:pStyle w:val="Heading2"/>
      </w:pPr>
      <w:r w:rsidRPr="00036329">
        <w:rPr>
          <w:b/>
        </w:rPr>
        <w:t>Priority Level</w:t>
      </w:r>
      <w:r>
        <w:t xml:space="preserve"> means </w:t>
      </w:r>
      <w:r w:rsidR="002D5C9F">
        <w:t>the priority allocated to an Incident based on the impact and severity of the Incident as described in the following table:</w:t>
      </w:r>
    </w:p>
    <w:tbl>
      <w:tblPr>
        <w:tblStyle w:val="TableGrid"/>
        <w:tblW w:w="499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
        <w:gridCol w:w="1506"/>
        <w:gridCol w:w="6126"/>
      </w:tblGrid>
      <w:tr w:rsidR="002D5C9F" w14:paraId="546C3527" w14:textId="77777777" w:rsidTr="00905A99">
        <w:trPr>
          <w:cantSplit/>
          <w:tblHeader/>
        </w:trPr>
        <w:tc>
          <w:tcPr>
            <w:tcW w:w="499" w:type="pct"/>
            <w:shd w:val="clear" w:color="auto" w:fill="007AB0"/>
          </w:tcPr>
          <w:p w14:paraId="6461FB6F" w14:textId="77777777" w:rsidR="002D5C9F" w:rsidRDefault="002D5C9F" w:rsidP="002D5C9F">
            <w:pPr>
              <w:pStyle w:val="OCTableHeadings"/>
              <w:keepNext w:val="0"/>
            </w:pPr>
            <w:r>
              <w:t>Priority Level</w:t>
            </w:r>
          </w:p>
        </w:tc>
        <w:tc>
          <w:tcPr>
            <w:tcW w:w="888" w:type="pct"/>
            <w:shd w:val="clear" w:color="auto" w:fill="007AB0"/>
          </w:tcPr>
          <w:p w14:paraId="1DF7B32F" w14:textId="77777777" w:rsidR="002D5C9F" w:rsidRPr="00E53F18" w:rsidRDefault="002D5C9F" w:rsidP="002D5C9F">
            <w:pPr>
              <w:pStyle w:val="OCTableHeadings"/>
              <w:keepNext w:val="0"/>
            </w:pPr>
            <w:r>
              <w:t>Classification</w:t>
            </w:r>
          </w:p>
        </w:tc>
        <w:tc>
          <w:tcPr>
            <w:tcW w:w="3613" w:type="pct"/>
            <w:shd w:val="clear" w:color="auto" w:fill="007AB0"/>
          </w:tcPr>
          <w:p w14:paraId="42A1CE18" w14:textId="77777777" w:rsidR="002D5C9F" w:rsidRPr="00E53F18" w:rsidRDefault="002D5C9F" w:rsidP="002D5C9F">
            <w:pPr>
              <w:pStyle w:val="OCTableHeadings"/>
              <w:keepNext w:val="0"/>
            </w:pPr>
            <w:r>
              <w:t>Definition</w:t>
            </w:r>
          </w:p>
        </w:tc>
      </w:tr>
      <w:tr w:rsidR="002D5C9F" w14:paraId="72269F54" w14:textId="77777777" w:rsidTr="00A171AE">
        <w:trPr>
          <w:cantSplit/>
        </w:trPr>
        <w:tc>
          <w:tcPr>
            <w:tcW w:w="499" w:type="pct"/>
            <w:shd w:val="clear" w:color="auto" w:fill="E9E9E9"/>
          </w:tcPr>
          <w:p w14:paraId="563FE91E" w14:textId="77777777" w:rsidR="002D5C9F" w:rsidRDefault="002D5C9F" w:rsidP="002D5C9F">
            <w:pPr>
              <w:pStyle w:val="OCTableText"/>
            </w:pPr>
            <w:r>
              <w:t>One</w:t>
            </w:r>
          </w:p>
        </w:tc>
        <w:tc>
          <w:tcPr>
            <w:tcW w:w="888" w:type="pct"/>
            <w:shd w:val="clear" w:color="auto" w:fill="E9E9E9"/>
          </w:tcPr>
          <w:p w14:paraId="6CDEF678" w14:textId="77777777" w:rsidR="002D5C9F" w:rsidRPr="00026CC1" w:rsidRDefault="002D5C9F" w:rsidP="00C46405">
            <w:pPr>
              <w:pStyle w:val="OCTableText"/>
            </w:pPr>
            <w:r>
              <w:t xml:space="preserve">Major </w:t>
            </w:r>
          </w:p>
        </w:tc>
        <w:tc>
          <w:tcPr>
            <w:tcW w:w="3613" w:type="pct"/>
            <w:shd w:val="clear" w:color="auto" w:fill="E9E9E9"/>
          </w:tcPr>
          <w:p w14:paraId="40A239E0" w14:textId="77777777" w:rsidR="002D5C9F" w:rsidRPr="00C47CCC" w:rsidRDefault="00C46405" w:rsidP="00C46405">
            <w:pPr>
              <w:pStyle w:val="OCTableText"/>
            </w:pPr>
            <w:r>
              <w:t>C</w:t>
            </w:r>
            <w:r w:rsidR="002D5C9F" w:rsidRPr="00476F97">
              <w:t xml:space="preserve">ritical or very high impact </w:t>
            </w:r>
            <w:r w:rsidR="007702EC" w:rsidRPr="00476F97">
              <w:t>interruption</w:t>
            </w:r>
            <w:r w:rsidR="007702EC">
              <w:t xml:space="preserve"> to </w:t>
            </w:r>
            <w:r w:rsidR="002D5C9F">
              <w:t>In-scope S</w:t>
            </w:r>
            <w:r w:rsidR="002D5C9F" w:rsidRPr="00476F97">
              <w:t>ervice causing extensive or widespread outages</w:t>
            </w:r>
            <w:r w:rsidR="002D5C9F">
              <w:t>. For example:</w:t>
            </w:r>
          </w:p>
          <w:p w14:paraId="2A932FF3" w14:textId="77777777" w:rsidR="002D5C9F" w:rsidRPr="00476F97" w:rsidRDefault="002D5C9F" w:rsidP="00C46405">
            <w:pPr>
              <w:pStyle w:val="OCPointsBulletsLevel1"/>
            </w:pPr>
            <w:r>
              <w:t>a</w:t>
            </w:r>
            <w:r w:rsidRPr="00476F97">
              <w:t xml:space="preserve">ll of your sites and core business is </w:t>
            </w:r>
            <w:proofErr w:type="gramStart"/>
            <w:r w:rsidRPr="00476F97">
              <w:t>impacted;</w:t>
            </w:r>
            <w:proofErr w:type="gramEnd"/>
          </w:p>
          <w:p w14:paraId="6BA3547E" w14:textId="77777777" w:rsidR="002D5C9F" w:rsidRPr="00476F97" w:rsidRDefault="002D5C9F" w:rsidP="00C46405">
            <w:pPr>
              <w:pStyle w:val="OCPointsBulletsLevel1"/>
            </w:pPr>
            <w:r>
              <w:t>a</w:t>
            </w:r>
            <w:r w:rsidRPr="00476F97">
              <w:t xml:space="preserve"> single major site (of more than 100 users) or multiple sites are impacted; or </w:t>
            </w:r>
          </w:p>
          <w:p w14:paraId="73ED5018" w14:textId="77777777" w:rsidR="002D5C9F" w:rsidRPr="00026CC1" w:rsidRDefault="002D5C9F" w:rsidP="00C46405">
            <w:pPr>
              <w:pStyle w:val="OCPointsBulletsLevel1"/>
            </w:pPr>
            <w:r>
              <w:t>y</w:t>
            </w:r>
            <w:r w:rsidRPr="00476F97">
              <w:t xml:space="preserve">our ability to service your customers is </w:t>
            </w:r>
            <w:proofErr w:type="gramStart"/>
            <w:r w:rsidRPr="00476F97">
              <w:t>severely restricted,</w:t>
            </w:r>
            <w:proofErr w:type="gramEnd"/>
            <w:r w:rsidRPr="00476F97">
              <w:t xml:space="preserve"> to the point of rendering the systems unusable.</w:t>
            </w:r>
          </w:p>
        </w:tc>
      </w:tr>
      <w:tr w:rsidR="002D5C9F" w14:paraId="3123ED0E" w14:textId="77777777" w:rsidTr="00A171AE">
        <w:trPr>
          <w:cantSplit/>
        </w:trPr>
        <w:tc>
          <w:tcPr>
            <w:tcW w:w="499" w:type="pct"/>
            <w:shd w:val="clear" w:color="auto" w:fill="E9E9E9"/>
          </w:tcPr>
          <w:p w14:paraId="4EBB4809" w14:textId="77777777" w:rsidR="002D5C9F" w:rsidRDefault="002D5C9F" w:rsidP="002D5C9F">
            <w:pPr>
              <w:pStyle w:val="OCTableText"/>
            </w:pPr>
            <w:r>
              <w:t>Two</w:t>
            </w:r>
          </w:p>
        </w:tc>
        <w:tc>
          <w:tcPr>
            <w:tcW w:w="888" w:type="pct"/>
            <w:shd w:val="clear" w:color="auto" w:fill="E9E9E9"/>
          </w:tcPr>
          <w:p w14:paraId="01C7581E" w14:textId="77777777" w:rsidR="002D5C9F" w:rsidRDefault="002D5C9F" w:rsidP="002D5C9F">
            <w:pPr>
              <w:pStyle w:val="OCTableText"/>
            </w:pPr>
            <w:r>
              <w:t>Major</w:t>
            </w:r>
          </w:p>
        </w:tc>
        <w:tc>
          <w:tcPr>
            <w:tcW w:w="3613" w:type="pct"/>
            <w:shd w:val="clear" w:color="auto" w:fill="E9E9E9"/>
          </w:tcPr>
          <w:p w14:paraId="578C1804" w14:textId="77777777" w:rsidR="002D5C9F" w:rsidRPr="00C46405" w:rsidRDefault="00C46405" w:rsidP="00C46405">
            <w:pPr>
              <w:pStyle w:val="OCTableText"/>
            </w:pPr>
            <w:r>
              <w:t>H</w:t>
            </w:r>
            <w:r w:rsidR="002D5C9F" w:rsidRPr="005574AE">
              <w:t>igh impact interruption</w:t>
            </w:r>
            <w:r w:rsidR="002D5C9F">
              <w:t xml:space="preserve"> </w:t>
            </w:r>
            <w:r>
              <w:t>to In-scope S</w:t>
            </w:r>
            <w:r w:rsidRPr="005574AE">
              <w:t>ervice</w:t>
            </w:r>
            <w:r>
              <w:t>s</w:t>
            </w:r>
            <w:r w:rsidRPr="005574AE">
              <w:t xml:space="preserve"> </w:t>
            </w:r>
            <w:r w:rsidR="002D5C9F">
              <w:t>that</w:t>
            </w:r>
            <w:r w:rsidR="002D5C9F" w:rsidRPr="005574AE">
              <w:t xml:space="preserve"> is severely affecting your </w:t>
            </w:r>
            <w:r w:rsidR="002D5C9F">
              <w:t>In-scope S</w:t>
            </w:r>
            <w:r w:rsidR="002D5C9F" w:rsidRPr="005574AE">
              <w:t>ervice</w:t>
            </w:r>
            <w:r w:rsidR="002D5C9F">
              <w:t>s</w:t>
            </w:r>
            <w:r w:rsidR="002D5C9F" w:rsidRPr="005574AE">
              <w:t xml:space="preserve"> to the extent that normal business operations have been compromised</w:t>
            </w:r>
            <w:r w:rsidR="002D5C9F">
              <w:t>. For example:</w:t>
            </w:r>
          </w:p>
          <w:p w14:paraId="3482363C" w14:textId="77777777" w:rsidR="002D5C9F" w:rsidRPr="005574AE" w:rsidRDefault="002D5C9F" w:rsidP="00C46405">
            <w:pPr>
              <w:pStyle w:val="OCPointsBulletsLevel1"/>
            </w:pPr>
            <w:r>
              <w:t>m</w:t>
            </w:r>
            <w:r w:rsidRPr="005574AE">
              <w:t>ultiple users are impacted (high volume of more than 100 users</w:t>
            </w:r>
            <w:proofErr w:type="gramStart"/>
            <w:r w:rsidRPr="005574AE">
              <w:t>);</w:t>
            </w:r>
            <w:proofErr w:type="gramEnd"/>
          </w:p>
          <w:p w14:paraId="0267720B" w14:textId="77777777" w:rsidR="002D5C9F" w:rsidRPr="005574AE" w:rsidRDefault="002D5C9F" w:rsidP="00C46405">
            <w:pPr>
              <w:pStyle w:val="OCPointsBulletsLevel1"/>
            </w:pPr>
            <w:r>
              <w:t>t</w:t>
            </w:r>
            <w:r w:rsidRPr="005574AE">
              <w:t xml:space="preserve">here is a partial network outage impacting several </w:t>
            </w:r>
            <w:proofErr w:type="gramStart"/>
            <w:r w:rsidRPr="005574AE">
              <w:t>sites;</w:t>
            </w:r>
            <w:proofErr w:type="gramEnd"/>
          </w:p>
          <w:p w14:paraId="558EC618" w14:textId="77777777" w:rsidR="002D5C9F" w:rsidRPr="005574AE" w:rsidRDefault="002D5C9F" w:rsidP="00C46405">
            <w:pPr>
              <w:pStyle w:val="OCPointsBulletsLevel1"/>
            </w:pPr>
            <w:r>
              <w:t>o</w:t>
            </w:r>
            <w:r w:rsidRPr="005574AE">
              <w:t>ne site (of more than 100 users) or a whole department is impacted;</w:t>
            </w:r>
            <w:r>
              <w:t xml:space="preserve"> or</w:t>
            </w:r>
            <w:r w:rsidRPr="005574AE">
              <w:t xml:space="preserve"> </w:t>
            </w:r>
          </w:p>
          <w:p w14:paraId="6152661A" w14:textId="77777777" w:rsidR="002D5C9F" w:rsidRDefault="002D5C9F" w:rsidP="00C46405">
            <w:pPr>
              <w:pStyle w:val="OCPointsBulletsLevel1"/>
            </w:pPr>
            <w:r>
              <w:t>a</w:t>
            </w:r>
            <w:r w:rsidRPr="005574AE">
              <w:t xml:space="preserve"> part of your ability to service your customers is disabled, resulting in slow customer service.</w:t>
            </w:r>
          </w:p>
        </w:tc>
      </w:tr>
      <w:tr w:rsidR="002D5C9F" w14:paraId="1A02119E" w14:textId="77777777" w:rsidTr="00A171AE">
        <w:trPr>
          <w:cantSplit/>
        </w:trPr>
        <w:tc>
          <w:tcPr>
            <w:tcW w:w="499" w:type="pct"/>
            <w:shd w:val="clear" w:color="auto" w:fill="E9E9E9"/>
          </w:tcPr>
          <w:p w14:paraId="4A4A045B" w14:textId="77777777" w:rsidR="002D5C9F" w:rsidRDefault="002D5C9F" w:rsidP="002D5C9F">
            <w:pPr>
              <w:pStyle w:val="OCTableText"/>
            </w:pPr>
            <w:r>
              <w:t>Three</w:t>
            </w:r>
          </w:p>
        </w:tc>
        <w:tc>
          <w:tcPr>
            <w:tcW w:w="888" w:type="pct"/>
            <w:shd w:val="clear" w:color="auto" w:fill="E9E9E9"/>
          </w:tcPr>
          <w:p w14:paraId="149601D6" w14:textId="77777777" w:rsidR="002D5C9F" w:rsidRDefault="002D5C9F" w:rsidP="002D5C9F">
            <w:pPr>
              <w:pStyle w:val="OCTableText"/>
            </w:pPr>
            <w:r>
              <w:t>Minor</w:t>
            </w:r>
          </w:p>
        </w:tc>
        <w:tc>
          <w:tcPr>
            <w:tcW w:w="3613" w:type="pct"/>
            <w:shd w:val="clear" w:color="auto" w:fill="E9E9E9"/>
          </w:tcPr>
          <w:p w14:paraId="59D11BFF" w14:textId="77777777" w:rsidR="002D5C9F" w:rsidRPr="002F3E93" w:rsidRDefault="007702EC" w:rsidP="00C46405">
            <w:pPr>
              <w:pStyle w:val="OCTableText"/>
            </w:pPr>
            <w:r>
              <w:t>M</w:t>
            </w:r>
            <w:r w:rsidR="002D5C9F" w:rsidRPr="003F036C">
              <w:t xml:space="preserve">oderate impact </w:t>
            </w:r>
            <w:r w:rsidRPr="005574AE">
              <w:t>interruption</w:t>
            </w:r>
            <w:r>
              <w:t xml:space="preserve"> to </w:t>
            </w:r>
            <w:r w:rsidR="002D5C9F">
              <w:t>In-scope S</w:t>
            </w:r>
            <w:r w:rsidR="002D5C9F" w:rsidRPr="003F036C">
              <w:t>ervice</w:t>
            </w:r>
            <w:r>
              <w:t>s</w:t>
            </w:r>
            <w:r w:rsidR="002D5C9F" w:rsidRPr="003F036C">
              <w:t xml:space="preserve">, confined to a small number of users, </w:t>
            </w:r>
            <w:r w:rsidR="002D5C9F">
              <w:t xml:space="preserve">which </w:t>
            </w:r>
            <w:r w:rsidR="002D5C9F" w:rsidRPr="003F036C">
              <w:t>is affecting normal business operations and business deliverables ar</w:t>
            </w:r>
            <w:r w:rsidR="002D5C9F">
              <w:t>e at risk of being compromised. For example:</w:t>
            </w:r>
          </w:p>
          <w:p w14:paraId="462BFAC0" w14:textId="77777777" w:rsidR="002D5C9F" w:rsidRPr="003F036C" w:rsidRDefault="002D5C9F" w:rsidP="00C46405">
            <w:pPr>
              <w:pStyle w:val="OCPointsBulletsLevel1"/>
            </w:pPr>
            <w:r>
              <w:t>m</w:t>
            </w:r>
            <w:r w:rsidRPr="003F036C">
              <w:t>ultiple users are impacted (low volume of less than 100 users</w:t>
            </w:r>
            <w:proofErr w:type="gramStart"/>
            <w:r w:rsidRPr="003F036C">
              <w:t>);</w:t>
            </w:r>
            <w:proofErr w:type="gramEnd"/>
          </w:p>
          <w:p w14:paraId="203F6DEB" w14:textId="77777777" w:rsidR="002D5C9F" w:rsidRPr="003F036C" w:rsidRDefault="002D5C9F" w:rsidP="00C46405">
            <w:pPr>
              <w:pStyle w:val="OCPointsBulletsLevel1"/>
            </w:pPr>
            <w:r>
              <w:t>t</w:t>
            </w:r>
            <w:r w:rsidRPr="003F036C">
              <w:t xml:space="preserve">here is an impairment to or a degraded or slow network </w:t>
            </w:r>
            <w:proofErr w:type="gramStart"/>
            <w:r w:rsidRPr="003F036C">
              <w:t>service;</w:t>
            </w:r>
            <w:proofErr w:type="gramEnd"/>
          </w:p>
          <w:p w14:paraId="3C68A5DD" w14:textId="77777777" w:rsidR="002D5C9F" w:rsidRPr="003F036C" w:rsidRDefault="002D5C9F" w:rsidP="00C46405">
            <w:pPr>
              <w:pStyle w:val="OCPointsBulletsLevel1"/>
            </w:pPr>
            <w:r>
              <w:t>a</w:t>
            </w:r>
            <w:r w:rsidRPr="003F036C">
              <w:t xml:space="preserve"> component of the service provided to any site type or business function is disabled;</w:t>
            </w:r>
            <w:r>
              <w:t xml:space="preserve"> or</w:t>
            </w:r>
          </w:p>
          <w:p w14:paraId="15AFF2CB" w14:textId="77777777" w:rsidR="002D5C9F" w:rsidRDefault="002D5C9F" w:rsidP="00C46405">
            <w:pPr>
              <w:pStyle w:val="OCPointsBulletsLevel1"/>
            </w:pPr>
            <w:r>
              <w:t>t</w:t>
            </w:r>
            <w:r w:rsidRPr="003F036C">
              <w:t>he quality of service is impaired (rather than unavailable).</w:t>
            </w:r>
          </w:p>
        </w:tc>
      </w:tr>
      <w:tr w:rsidR="002D5C9F" w14:paraId="6D35501C" w14:textId="77777777" w:rsidTr="00A171AE">
        <w:trPr>
          <w:cantSplit/>
        </w:trPr>
        <w:tc>
          <w:tcPr>
            <w:tcW w:w="499" w:type="pct"/>
            <w:shd w:val="clear" w:color="auto" w:fill="E9E9E9"/>
          </w:tcPr>
          <w:p w14:paraId="5C6A92E5" w14:textId="77777777" w:rsidR="002D5C9F" w:rsidRDefault="002D5C9F" w:rsidP="002D5C9F">
            <w:pPr>
              <w:pStyle w:val="OCTableText"/>
            </w:pPr>
            <w:r>
              <w:t>Four</w:t>
            </w:r>
          </w:p>
        </w:tc>
        <w:tc>
          <w:tcPr>
            <w:tcW w:w="888" w:type="pct"/>
            <w:shd w:val="clear" w:color="auto" w:fill="E9E9E9"/>
          </w:tcPr>
          <w:p w14:paraId="7F923361" w14:textId="77777777" w:rsidR="002D5C9F" w:rsidRDefault="002D5C9F" w:rsidP="002D5C9F">
            <w:pPr>
              <w:pStyle w:val="OCTableText"/>
            </w:pPr>
            <w:r>
              <w:t>Minor</w:t>
            </w:r>
          </w:p>
        </w:tc>
        <w:tc>
          <w:tcPr>
            <w:tcW w:w="3613" w:type="pct"/>
            <w:shd w:val="clear" w:color="auto" w:fill="E9E9E9"/>
          </w:tcPr>
          <w:p w14:paraId="26CA086D" w14:textId="77777777" w:rsidR="002D5C9F" w:rsidRPr="003F036C" w:rsidRDefault="00C46405" w:rsidP="00C46405">
            <w:pPr>
              <w:pStyle w:val="OCTableText"/>
            </w:pPr>
            <w:r>
              <w:t>L</w:t>
            </w:r>
            <w:r w:rsidR="002D5C9F" w:rsidRPr="003F036C">
              <w:t xml:space="preserve">ow impact </w:t>
            </w:r>
            <w:r w:rsidR="007702EC" w:rsidRPr="005574AE">
              <w:t>interruption</w:t>
            </w:r>
            <w:r w:rsidR="007702EC">
              <w:t xml:space="preserve"> to </w:t>
            </w:r>
            <w:r w:rsidR="002D5C9F">
              <w:t>In-scope S</w:t>
            </w:r>
            <w:r w:rsidR="002D5C9F" w:rsidRPr="003F036C">
              <w:t xml:space="preserve">ervice </w:t>
            </w:r>
            <w:r w:rsidR="002D5C9F">
              <w:t xml:space="preserve">that </w:t>
            </w:r>
            <w:r w:rsidR="002D5C9F" w:rsidRPr="003F036C">
              <w:t xml:space="preserve">has a minor or localised </w:t>
            </w:r>
            <w:proofErr w:type="gramStart"/>
            <w:r w:rsidR="002D5C9F" w:rsidRPr="003F036C">
              <w:t>impact</w:t>
            </w:r>
            <w:proofErr w:type="gramEnd"/>
            <w:r w:rsidR="002D5C9F" w:rsidRPr="003F036C">
              <w:t xml:space="preserve"> but your normal business operations can continue</w:t>
            </w:r>
            <w:r w:rsidR="002D5C9F">
              <w:t>. For example</w:t>
            </w:r>
            <w:r w:rsidR="002D5C9F" w:rsidRPr="003F036C">
              <w:t xml:space="preserve">: </w:t>
            </w:r>
          </w:p>
          <w:p w14:paraId="2FB1FE90" w14:textId="77777777" w:rsidR="002D5C9F" w:rsidRPr="003F036C" w:rsidRDefault="002D5C9F" w:rsidP="00C46405">
            <w:pPr>
              <w:pStyle w:val="OCPointsBulletsLevel1"/>
            </w:pPr>
            <w:r>
              <w:t>a</w:t>
            </w:r>
            <w:r w:rsidRPr="003F036C">
              <w:t xml:space="preserve"> single user is impacted and unable to access business functions;</w:t>
            </w:r>
            <w:r>
              <w:t xml:space="preserve"> or</w:t>
            </w:r>
          </w:p>
          <w:p w14:paraId="5A7FA04B" w14:textId="77777777" w:rsidR="002D5C9F" w:rsidRDefault="002D5C9F" w:rsidP="00C46405">
            <w:pPr>
              <w:pStyle w:val="OCPointsBulletsLevel1"/>
            </w:pPr>
            <w:r>
              <w:t>a</w:t>
            </w:r>
            <w:r w:rsidRPr="003F036C">
              <w:t xml:space="preserve"> business function is disabled for a small number of </w:t>
            </w:r>
            <w:proofErr w:type="gramStart"/>
            <w:r w:rsidRPr="003F036C">
              <w:t>users</w:t>
            </w:r>
            <w:proofErr w:type="gramEnd"/>
            <w:r w:rsidRPr="003F036C">
              <w:t xml:space="preserve"> but your normal business operations can continue.</w:t>
            </w:r>
          </w:p>
        </w:tc>
      </w:tr>
    </w:tbl>
    <w:p w14:paraId="314F2D78" w14:textId="77777777" w:rsidR="002D5C9F" w:rsidRDefault="002D5C9F" w:rsidP="002D5C9F"/>
    <w:p w14:paraId="459032A1" w14:textId="77777777" w:rsidR="00C47CCC" w:rsidRPr="002F3E93" w:rsidRDefault="00C47CCC" w:rsidP="00A227D8">
      <w:pPr>
        <w:pStyle w:val="Heading2"/>
      </w:pPr>
      <w:r w:rsidRPr="00CB4A42">
        <w:rPr>
          <w:b/>
        </w:rPr>
        <w:t>Problem</w:t>
      </w:r>
      <w:r w:rsidRPr="002F3E93">
        <w:t xml:space="preserve"> </w:t>
      </w:r>
      <w:r>
        <w:t xml:space="preserve">means a recurring Incident or multiple recurring Incidents </w:t>
      </w:r>
      <w:r w:rsidR="00001C5A">
        <w:t xml:space="preserve">of a similar nature </w:t>
      </w:r>
      <w:r>
        <w:t xml:space="preserve">where the cause is not known. </w:t>
      </w:r>
    </w:p>
    <w:p w14:paraId="47F322C1" w14:textId="77777777" w:rsidR="00C47CCC" w:rsidRDefault="00C47CCC" w:rsidP="00A227D8">
      <w:pPr>
        <w:pStyle w:val="Heading2"/>
      </w:pPr>
      <w:r w:rsidRPr="00CB4A42">
        <w:rPr>
          <w:b/>
        </w:rPr>
        <w:t>Resolution</w:t>
      </w:r>
      <w:r>
        <w:t xml:space="preserve"> means: </w:t>
      </w:r>
    </w:p>
    <w:p w14:paraId="55891EE7" w14:textId="77777777" w:rsidR="00C47CCC" w:rsidRDefault="00C47CCC" w:rsidP="00A227D8">
      <w:pPr>
        <w:pStyle w:val="Heading3"/>
      </w:pPr>
      <w:r>
        <w:t xml:space="preserve">in respect of Request </w:t>
      </w:r>
      <w:r w:rsidR="00DF12DB">
        <w:t>F</w:t>
      </w:r>
      <w:r>
        <w:t xml:space="preserve">ulfilment, any action which will fulfil a Request; </w:t>
      </w:r>
    </w:p>
    <w:p w14:paraId="08736720" w14:textId="77777777" w:rsidR="00C47CCC" w:rsidRDefault="00C47CCC" w:rsidP="00A227D8">
      <w:pPr>
        <w:pStyle w:val="Heading3"/>
      </w:pPr>
      <w:r>
        <w:t>in respect of an Incident or Problem, any action which will restore normal service operation; and</w:t>
      </w:r>
    </w:p>
    <w:p w14:paraId="4E47FCFB" w14:textId="77777777" w:rsidR="00C47CCC" w:rsidRDefault="00C47CCC" w:rsidP="00A227D8">
      <w:pPr>
        <w:pStyle w:val="Heading3"/>
      </w:pPr>
      <w:r>
        <w:t xml:space="preserve">the implementation of workarounds to mitigate the effects of Incidents; </w:t>
      </w:r>
    </w:p>
    <w:p w14:paraId="3AC11887" w14:textId="77777777" w:rsidR="00C47CCC" w:rsidRDefault="00C47CCC" w:rsidP="00DF12DB">
      <w:pPr>
        <w:pStyle w:val="Heading3"/>
        <w:numPr>
          <w:ilvl w:val="0"/>
          <w:numId w:val="0"/>
        </w:numPr>
        <w:ind w:left="737"/>
      </w:pPr>
      <w:r w:rsidRPr="002A1CB4">
        <w:rPr>
          <w:b/>
        </w:rPr>
        <w:t>Resolve</w:t>
      </w:r>
      <w:r>
        <w:t xml:space="preserve">, </w:t>
      </w:r>
      <w:r w:rsidRPr="002A1CB4">
        <w:rPr>
          <w:b/>
        </w:rPr>
        <w:t>Resolved</w:t>
      </w:r>
      <w:r>
        <w:t xml:space="preserve"> and </w:t>
      </w:r>
      <w:r w:rsidRPr="002A1CB4">
        <w:rPr>
          <w:b/>
        </w:rPr>
        <w:t>Resolving</w:t>
      </w:r>
      <w:r>
        <w:t xml:space="preserve"> have a corresponding meaning.</w:t>
      </w:r>
    </w:p>
    <w:p w14:paraId="1CD6C9BD" w14:textId="77777777" w:rsidR="00C47CCC" w:rsidRPr="002F3E93" w:rsidRDefault="00C47CCC" w:rsidP="00A227D8">
      <w:pPr>
        <w:pStyle w:val="Heading2"/>
      </w:pPr>
      <w:r w:rsidRPr="00CB4A42">
        <w:rPr>
          <w:b/>
        </w:rPr>
        <w:t>Request</w:t>
      </w:r>
      <w:r w:rsidRPr="002F3E93">
        <w:t xml:space="preserve"> means any request (including Standard Requests and Non-Standard Requests) or ‘how </w:t>
      </w:r>
      <w:r w:rsidRPr="00D40DBB">
        <w:t>to’</w:t>
      </w:r>
      <w:r w:rsidRPr="002F3E93">
        <w:t xml:space="preserve"> enquiries in relation to the In-scope Services, except for a request or enquiry in relation to an Incident.</w:t>
      </w:r>
    </w:p>
    <w:p w14:paraId="77061134" w14:textId="77777777" w:rsidR="00C47CCC" w:rsidRDefault="00C47CCC" w:rsidP="00A227D8">
      <w:pPr>
        <w:pStyle w:val="Heading2"/>
      </w:pPr>
      <w:r w:rsidRPr="00CB4A42">
        <w:rPr>
          <w:b/>
        </w:rPr>
        <w:t>Service Catalogue</w:t>
      </w:r>
      <w:r>
        <w:t xml:space="preserve"> </w:t>
      </w:r>
      <w:r w:rsidR="006F7D4D">
        <w:t>means a description of the various Telstra services that can benefit from the Capabilities and the extent to which they can benefit</w:t>
      </w:r>
      <w:r>
        <w:t>.</w:t>
      </w:r>
    </w:p>
    <w:p w14:paraId="3ECEE4E9" w14:textId="77777777" w:rsidR="00C47CCC" w:rsidRDefault="00C47CCC" w:rsidP="00A227D8">
      <w:pPr>
        <w:pStyle w:val="Heading2"/>
      </w:pPr>
      <w:r w:rsidRPr="00CB4A42">
        <w:rPr>
          <w:b/>
        </w:rPr>
        <w:t>Service Desk</w:t>
      </w:r>
      <w:r>
        <w:t xml:space="preserve"> means </w:t>
      </w:r>
      <w:r w:rsidR="00D324C3">
        <w:t xml:space="preserve">our personnel, </w:t>
      </w:r>
      <w:proofErr w:type="gramStart"/>
      <w:r w:rsidR="00D324C3">
        <w:t>processes</w:t>
      </w:r>
      <w:proofErr w:type="gramEnd"/>
      <w:r w:rsidR="00D324C3">
        <w:t xml:space="preserve"> and systems we use to deliver the Capabilities.</w:t>
      </w:r>
      <w:r>
        <w:t xml:space="preserve"> </w:t>
      </w:r>
    </w:p>
    <w:p w14:paraId="2230A393" w14:textId="77777777" w:rsidR="00C47CCC" w:rsidRPr="000A6159" w:rsidRDefault="00C47CCC" w:rsidP="00A227D8">
      <w:pPr>
        <w:pStyle w:val="Heading2"/>
      </w:pPr>
      <w:r w:rsidRPr="00CB4A42">
        <w:rPr>
          <w:b/>
        </w:rPr>
        <w:t>Service Inclusions</w:t>
      </w:r>
      <w:r>
        <w:t xml:space="preserve"> means the specific </w:t>
      </w:r>
      <w:r w:rsidR="002963CC">
        <w:t xml:space="preserve">Capabilities included </w:t>
      </w:r>
      <w:r>
        <w:t xml:space="preserve">in your ISM Service, as set out </w:t>
      </w:r>
      <w:r w:rsidR="002963CC">
        <w:t>your agreement with us.</w:t>
      </w:r>
    </w:p>
    <w:p w14:paraId="3F000B94" w14:textId="77777777" w:rsidR="00C47CCC" w:rsidRPr="00C70B24" w:rsidRDefault="00F37055" w:rsidP="00A227D8">
      <w:pPr>
        <w:pStyle w:val="Heading2"/>
      </w:pPr>
      <w:r>
        <w:rPr>
          <w:b/>
        </w:rPr>
        <w:t xml:space="preserve">Service Level </w:t>
      </w:r>
      <w:r w:rsidR="00C47CCC">
        <w:t xml:space="preserve">means the </w:t>
      </w:r>
      <w:r>
        <w:t xml:space="preserve">service availability and assurance targets for the ISM Service, as </w:t>
      </w:r>
      <w:r w:rsidR="00C47CCC">
        <w:t xml:space="preserve">set out in </w:t>
      </w:r>
      <w:r>
        <w:t>your agreement with us.</w:t>
      </w:r>
    </w:p>
    <w:p w14:paraId="7FC90A0C" w14:textId="77777777" w:rsidR="00C47CCC" w:rsidRDefault="00C47CCC" w:rsidP="00A227D8">
      <w:pPr>
        <w:pStyle w:val="Heading2"/>
      </w:pPr>
      <w:r w:rsidRPr="00CB4A42">
        <w:rPr>
          <w:b/>
        </w:rPr>
        <w:t>Standard Requests</w:t>
      </w:r>
      <w:r w:rsidRPr="00956BF1">
        <w:t xml:space="preserve"> are a new i</w:t>
      </w:r>
      <w:r>
        <w:t>nstance of, or a change to, an I</w:t>
      </w:r>
      <w:r w:rsidRPr="00956BF1">
        <w:t>n-scope Service that is contained in the Service Catalogue, and is classified as either a simple request or a complex request where:</w:t>
      </w:r>
    </w:p>
    <w:p w14:paraId="5E937408" w14:textId="77777777" w:rsidR="00C47CCC" w:rsidRDefault="00C47CCC" w:rsidP="00A227D8">
      <w:pPr>
        <w:pStyle w:val="Heading3"/>
      </w:pPr>
      <w:r w:rsidRPr="00956BF1">
        <w:t xml:space="preserve">simple requests (also known as minor requests) are small, low risk changes to </w:t>
      </w:r>
      <w:r>
        <w:t>In-scope</w:t>
      </w:r>
      <w:r w:rsidRPr="00956BF1">
        <w:t xml:space="preserve"> Services that are pre-approved and are proven, repeatable and well-documented minor changes (including software installations, moves, add, changes and deletions) that are generally performed remotely; and</w:t>
      </w:r>
    </w:p>
    <w:p w14:paraId="59D7328B" w14:textId="77777777" w:rsidR="00C47CCC" w:rsidRDefault="00C47CCC" w:rsidP="00A227D8">
      <w:pPr>
        <w:pStyle w:val="Heading3"/>
      </w:pPr>
      <w:r>
        <w:t>complex requests (also known as major requests) are larger, higher risk changes to in scope In-scope Services that are pre-approved require site visits or include 10 or more of the same activity in some cases, complex requests may be as a separate project.</w:t>
      </w:r>
    </w:p>
    <w:p w14:paraId="2FBADDF5" w14:textId="67FF4644" w:rsidR="00C47CCC" w:rsidRDefault="00C47CCC" w:rsidP="002F3E93">
      <w:pPr>
        <w:pStyle w:val="Heading2"/>
      </w:pPr>
      <w:r w:rsidRPr="002F3E93">
        <w:rPr>
          <w:b/>
        </w:rPr>
        <w:t>Third Party Managed Contract</w:t>
      </w:r>
      <w:r>
        <w:t xml:space="preserve"> means </w:t>
      </w:r>
      <w:r w:rsidR="007D37FD">
        <w:t>each</w:t>
      </w:r>
      <w:r>
        <w:t xml:space="preserve"> contract between you and a Third Party Supplier which is to be managed on behalf of you by us</w:t>
      </w:r>
      <w:r w:rsidR="007D37FD">
        <w:t xml:space="preserve"> as part of the </w:t>
      </w:r>
      <w:r w:rsidR="00310B0F">
        <w:t xml:space="preserve">custom </w:t>
      </w:r>
      <w:r w:rsidR="007D37FD">
        <w:t>Third Party Management Capability, as set out in your agreement with us</w:t>
      </w:r>
      <w:r>
        <w:t>.</w:t>
      </w:r>
    </w:p>
    <w:p w14:paraId="2EE1C337" w14:textId="51951794" w:rsidR="00C47CCC" w:rsidRDefault="00C47CCC" w:rsidP="002F3E93">
      <w:pPr>
        <w:pStyle w:val="Heading2"/>
      </w:pPr>
      <w:r w:rsidRPr="002F3E93">
        <w:rPr>
          <w:b/>
        </w:rPr>
        <w:t>Third Party Supplier</w:t>
      </w:r>
      <w:r>
        <w:t xml:space="preserve"> means any </w:t>
      </w:r>
      <w:r w:rsidR="00FC37BC">
        <w:t xml:space="preserve">third party who provides or supports the </w:t>
      </w:r>
      <w:r w:rsidR="00913CC5">
        <w:t>In-scope Service</w:t>
      </w:r>
      <w:r w:rsidR="00FC37BC">
        <w:t>s</w:t>
      </w:r>
      <w:r>
        <w:t xml:space="preserve">. </w:t>
      </w:r>
    </w:p>
    <w:p w14:paraId="260AEC33" w14:textId="77777777" w:rsidR="00C47CCC" w:rsidRPr="002F3E93" w:rsidRDefault="00C47CCC" w:rsidP="002F3E93">
      <w:pPr>
        <w:pStyle w:val="Heading2"/>
      </w:pPr>
      <w:r w:rsidRPr="002F3E93">
        <w:rPr>
          <w:b/>
        </w:rPr>
        <w:t>Tier</w:t>
      </w:r>
      <w:r w:rsidRPr="002F3E93">
        <w:t xml:space="preserve"> means one of the three tiers of Essential, Enhanced and Premium.</w:t>
      </w:r>
    </w:p>
    <w:p w14:paraId="0C14247E" w14:textId="77777777" w:rsidR="00C47CCC" w:rsidRPr="002F3E93" w:rsidRDefault="00C47CCC" w:rsidP="002F3E93">
      <w:pPr>
        <w:pStyle w:val="Heading2"/>
      </w:pPr>
      <w:r w:rsidRPr="002F3E93">
        <w:rPr>
          <w:b/>
        </w:rPr>
        <w:t>User</w:t>
      </w:r>
      <w:r w:rsidRPr="002F3E93">
        <w:t xml:space="preserve"> means a person within your organisation that has been provided with access to the Web Portal to use it on your behalf.</w:t>
      </w:r>
    </w:p>
    <w:p w14:paraId="5A9EFE9B" w14:textId="589C5610" w:rsidR="00D07CFC" w:rsidRPr="00A227D8" w:rsidRDefault="00C47CCC" w:rsidP="005B45CC">
      <w:pPr>
        <w:pStyle w:val="Heading2"/>
      </w:pPr>
      <w:r w:rsidRPr="0016667C">
        <w:rPr>
          <w:b/>
          <w:bCs w:val="0"/>
        </w:rPr>
        <w:t>Web Portal</w:t>
      </w:r>
      <w:r w:rsidRPr="008864A7">
        <w:t xml:space="preserve"> means a secure web browser client based access to a single comprehensive service management portal which may be provided by us as a part of the Service Desk.</w:t>
      </w:r>
      <w:bookmarkEnd w:id="12"/>
    </w:p>
    <w:sectPr w:rsidR="00D07CFC" w:rsidRPr="00A227D8" w:rsidSect="00F316CE">
      <w:headerReference w:type="default" r:id="rId16"/>
      <w:footerReference w:type="even" r:id="rId17"/>
      <w:footerReference w:type="default" r:id="rId18"/>
      <w:headerReference w:type="first" r:id="rId19"/>
      <w:footerReference w:type="first" r:id="rId20"/>
      <w:pgSz w:w="11907" w:h="16840" w:code="9"/>
      <w:pgMar w:top="1134" w:right="1559" w:bottom="1276"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5F947" w14:textId="77777777" w:rsidR="00257AF0" w:rsidRDefault="00257AF0">
      <w:r>
        <w:separator/>
      </w:r>
    </w:p>
  </w:endnote>
  <w:endnote w:type="continuationSeparator" w:id="0">
    <w:p w14:paraId="1991193B" w14:textId="77777777" w:rsidR="00257AF0" w:rsidRDefault="0025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auto"/>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8438" w14:textId="06E49D74" w:rsidR="00EB16D2" w:rsidRDefault="008A21FA">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0B792404" wp14:editId="574EE084">
              <wp:simplePos x="635" y="635"/>
              <wp:positionH relativeFrom="page">
                <wp:align>center</wp:align>
              </wp:positionH>
              <wp:positionV relativeFrom="page">
                <wp:align>bottom</wp:align>
              </wp:positionV>
              <wp:extent cx="443865" cy="443865"/>
              <wp:effectExtent l="0" t="0" r="11430" b="0"/>
              <wp:wrapNone/>
              <wp:docPr id="1452391660"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26D349" w14:textId="09847243" w:rsidR="008A21FA" w:rsidRPr="008A21FA" w:rsidRDefault="008A21FA" w:rsidP="008A21FA">
                          <w:pPr>
                            <w:rPr>
                              <w:rFonts w:ascii="Calibri" w:eastAsia="Calibri" w:hAnsi="Calibri" w:cs="Calibri"/>
                              <w:noProof/>
                              <w:color w:val="000000"/>
                              <w:sz w:val="20"/>
                            </w:rPr>
                          </w:pPr>
                          <w:r w:rsidRPr="008A21FA">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792404"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126D349" w14:textId="09847243" w:rsidR="008A21FA" w:rsidRPr="008A21FA" w:rsidRDefault="008A21FA" w:rsidP="008A21FA">
                    <w:pPr>
                      <w:rPr>
                        <w:rFonts w:ascii="Calibri" w:eastAsia="Calibri" w:hAnsi="Calibri" w:cs="Calibri"/>
                        <w:noProof/>
                        <w:color w:val="000000"/>
                        <w:sz w:val="20"/>
                      </w:rPr>
                    </w:pPr>
                    <w:r w:rsidRPr="008A21FA">
                      <w:rPr>
                        <w:rFonts w:ascii="Calibri" w:eastAsia="Calibri" w:hAnsi="Calibri" w:cs="Calibri"/>
                        <w:noProof/>
                        <w:color w:val="000000"/>
                        <w:sz w:val="20"/>
                      </w:rPr>
                      <w:t>General</w:t>
                    </w:r>
                  </w:p>
                </w:txbxContent>
              </v:textbox>
              <w10:wrap anchorx="page" anchory="page"/>
            </v:shape>
          </w:pict>
        </mc:Fallback>
      </mc:AlternateContent>
    </w:r>
    <w:r w:rsidR="00EB16D2">
      <w:rPr>
        <w:rStyle w:val="PageNumber"/>
      </w:rPr>
      <w:fldChar w:fldCharType="begin"/>
    </w:r>
    <w:r w:rsidR="00EB16D2">
      <w:rPr>
        <w:rStyle w:val="PageNumber"/>
      </w:rPr>
      <w:instrText xml:space="preserve">PAGE  </w:instrText>
    </w:r>
    <w:r w:rsidR="00EB16D2">
      <w:rPr>
        <w:rStyle w:val="PageNumber"/>
      </w:rPr>
      <w:fldChar w:fldCharType="separate"/>
    </w:r>
    <w:r w:rsidR="00EB16D2">
      <w:rPr>
        <w:rStyle w:val="PageNumber"/>
        <w:noProof/>
      </w:rPr>
      <w:t>23</w:t>
    </w:r>
    <w:r w:rsidR="00EB16D2">
      <w:rPr>
        <w:rStyle w:val="PageNumber"/>
      </w:rPr>
      <w:fldChar w:fldCharType="end"/>
    </w:r>
  </w:p>
  <w:p w14:paraId="48A44690" w14:textId="77777777" w:rsidR="00EB16D2" w:rsidRDefault="00EB16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08E9" w14:textId="38DB6262" w:rsidR="00EB16D2" w:rsidRDefault="008A21FA">
    <w:pPr>
      <w:spacing w:after="240"/>
      <w:rPr>
        <w:rFonts w:ascii="Arial" w:hAnsi="Arial" w:cs="Arial"/>
        <w:sz w:val="21"/>
      </w:rPr>
    </w:pPr>
    <w:r>
      <w:rPr>
        <w:rFonts w:ascii="Arial" w:hAnsi="Arial" w:cs="Arial"/>
        <w:noProof/>
        <w:sz w:val="21"/>
        <w:lang w:eastAsia="en-AU"/>
      </w:rPr>
      <mc:AlternateContent>
        <mc:Choice Requires="wps">
          <w:drawing>
            <wp:anchor distT="0" distB="0" distL="0" distR="0" simplePos="0" relativeHeight="251663360" behindDoc="0" locked="0" layoutInCell="1" allowOverlap="1" wp14:anchorId="0BF284C9" wp14:editId="08081893">
              <wp:simplePos x="1168400" y="10026650"/>
              <wp:positionH relativeFrom="page">
                <wp:align>center</wp:align>
              </wp:positionH>
              <wp:positionV relativeFrom="page">
                <wp:align>bottom</wp:align>
              </wp:positionV>
              <wp:extent cx="443865" cy="443865"/>
              <wp:effectExtent l="0" t="0" r="11430" b="0"/>
              <wp:wrapNone/>
              <wp:docPr id="13783028"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931C0" w14:textId="26E67402" w:rsidR="008A21FA" w:rsidRPr="008A21FA" w:rsidRDefault="008A21FA" w:rsidP="008A21FA">
                          <w:pPr>
                            <w:rPr>
                              <w:rFonts w:ascii="Calibri" w:eastAsia="Calibri" w:hAnsi="Calibri" w:cs="Calibri"/>
                              <w:noProof/>
                              <w:color w:val="000000"/>
                              <w:sz w:val="20"/>
                            </w:rPr>
                          </w:pPr>
                          <w:r w:rsidRPr="008A21FA">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F284C9"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5A931C0" w14:textId="26E67402" w:rsidR="008A21FA" w:rsidRPr="008A21FA" w:rsidRDefault="008A21FA" w:rsidP="008A21FA">
                    <w:pPr>
                      <w:rPr>
                        <w:rFonts w:ascii="Calibri" w:eastAsia="Calibri" w:hAnsi="Calibri" w:cs="Calibri"/>
                        <w:noProof/>
                        <w:color w:val="000000"/>
                        <w:sz w:val="20"/>
                      </w:rPr>
                    </w:pPr>
                    <w:r w:rsidRPr="008A21FA">
                      <w:rPr>
                        <w:rFonts w:ascii="Calibri" w:eastAsia="Calibri" w:hAnsi="Calibri" w:cs="Calibri"/>
                        <w:noProof/>
                        <w:color w:val="000000"/>
                        <w:sz w:val="20"/>
                      </w:rPr>
                      <w:t>General</w:t>
                    </w:r>
                  </w:p>
                </w:txbxContent>
              </v:textbox>
              <w10:wrap anchorx="page" anchory="page"/>
            </v:shape>
          </w:pict>
        </mc:Fallback>
      </mc:AlternateContent>
    </w:r>
    <w:r w:rsidR="00EB16D2">
      <w:rPr>
        <w:rFonts w:ascii="Arial" w:hAnsi="Arial" w:cs="Arial"/>
        <w:noProof/>
        <w:sz w:val="21"/>
        <w:lang w:eastAsia="en-AU"/>
      </w:rPr>
      <w:drawing>
        <wp:anchor distT="360045" distB="0" distL="114300" distR="114300" simplePos="0" relativeHeight="251660288" behindDoc="0" locked="0" layoutInCell="1" allowOverlap="1" wp14:anchorId="4D4ECFF6" wp14:editId="39A3731B">
          <wp:simplePos x="0" y="0"/>
          <wp:positionH relativeFrom="page">
            <wp:posOffset>6357620</wp:posOffset>
          </wp:positionH>
          <wp:positionV relativeFrom="page">
            <wp:posOffset>9859645</wp:posOffset>
          </wp:positionV>
          <wp:extent cx="842400" cy="84240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400" cy="84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16D2">
      <w:rPr>
        <w:rFonts w:ascii="Arial" w:hAnsi="Arial" w:cs="Arial"/>
        <w:sz w:val="21"/>
      </w:rPr>
      <w:t xml:space="preserve">Integrated Service Management section was last changed on </w:t>
    </w:r>
    <w:r>
      <w:rPr>
        <w:rFonts w:ascii="Arial" w:hAnsi="Arial" w:cs="Arial"/>
        <w:sz w:val="21"/>
      </w:rPr>
      <w:t>09 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C452" w14:textId="255E8E3D" w:rsidR="0094790B" w:rsidRDefault="008A21FA">
    <w:pPr>
      <w:pStyle w:val="Footer"/>
    </w:pPr>
    <w:r>
      <w:rPr>
        <w:noProof/>
      </w:rPr>
      <mc:AlternateContent>
        <mc:Choice Requires="wps">
          <w:drawing>
            <wp:anchor distT="0" distB="0" distL="0" distR="0" simplePos="0" relativeHeight="251661312" behindDoc="0" locked="0" layoutInCell="1" allowOverlap="1" wp14:anchorId="3783859D" wp14:editId="28AC1A35">
              <wp:simplePos x="635" y="635"/>
              <wp:positionH relativeFrom="page">
                <wp:align>center</wp:align>
              </wp:positionH>
              <wp:positionV relativeFrom="page">
                <wp:align>bottom</wp:align>
              </wp:positionV>
              <wp:extent cx="443865" cy="443865"/>
              <wp:effectExtent l="0" t="0" r="11430" b="0"/>
              <wp:wrapNone/>
              <wp:docPr id="623812546"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22F8AB" w14:textId="6AAA9BD9" w:rsidR="008A21FA" w:rsidRPr="008A21FA" w:rsidRDefault="008A21FA" w:rsidP="008A21FA">
                          <w:pPr>
                            <w:rPr>
                              <w:rFonts w:ascii="Calibri" w:eastAsia="Calibri" w:hAnsi="Calibri" w:cs="Calibri"/>
                              <w:noProof/>
                              <w:color w:val="000000"/>
                              <w:sz w:val="20"/>
                            </w:rPr>
                          </w:pPr>
                          <w:r w:rsidRPr="008A21FA">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83859D"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A22F8AB" w14:textId="6AAA9BD9" w:rsidR="008A21FA" w:rsidRPr="008A21FA" w:rsidRDefault="008A21FA" w:rsidP="008A21FA">
                    <w:pPr>
                      <w:rPr>
                        <w:rFonts w:ascii="Calibri" w:eastAsia="Calibri" w:hAnsi="Calibri" w:cs="Calibri"/>
                        <w:noProof/>
                        <w:color w:val="000000"/>
                        <w:sz w:val="20"/>
                      </w:rPr>
                    </w:pPr>
                    <w:r w:rsidRPr="008A21FA">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4051" w14:textId="179E20FF" w:rsidR="00EB16D2" w:rsidRDefault="008A21FA">
    <w:pPr>
      <w:pStyle w:val="Footer"/>
      <w:framePr w:wrap="around" w:vAnchor="text" w:hAnchor="margin" w:xAlign="right" w:y="1"/>
      <w:rPr>
        <w:rStyle w:val="PageNumber"/>
      </w:rPr>
    </w:pPr>
    <w:r>
      <w:rPr>
        <w:noProof/>
      </w:rPr>
      <mc:AlternateContent>
        <mc:Choice Requires="wps">
          <w:drawing>
            <wp:anchor distT="0" distB="0" distL="0" distR="0" simplePos="0" relativeHeight="251665408" behindDoc="0" locked="0" layoutInCell="1" allowOverlap="1" wp14:anchorId="286489E4" wp14:editId="0649106D">
              <wp:simplePos x="635" y="635"/>
              <wp:positionH relativeFrom="page">
                <wp:align>center</wp:align>
              </wp:positionH>
              <wp:positionV relativeFrom="page">
                <wp:align>bottom</wp:align>
              </wp:positionV>
              <wp:extent cx="443865" cy="443865"/>
              <wp:effectExtent l="0" t="0" r="11430" b="0"/>
              <wp:wrapNone/>
              <wp:docPr id="211111131"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0CA58F" w14:textId="04383545" w:rsidR="008A21FA" w:rsidRPr="008A21FA" w:rsidRDefault="008A21FA" w:rsidP="008A21FA">
                          <w:pPr>
                            <w:rPr>
                              <w:rFonts w:ascii="Calibri" w:eastAsia="Calibri" w:hAnsi="Calibri" w:cs="Calibri"/>
                              <w:noProof/>
                              <w:color w:val="000000"/>
                              <w:sz w:val="20"/>
                            </w:rPr>
                          </w:pPr>
                          <w:r w:rsidRPr="008A21FA">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6489E4" id="_x0000_t202" coordsize="21600,21600" o:spt="202" path="m,l,21600r21600,l21600,xe">
              <v:stroke joinstyle="miter"/>
              <v:path gradientshapeok="t" o:connecttype="rect"/>
            </v:shapetype>
            <v:shape id="Text Box 5" o:spid="_x0000_s1032" type="#_x0000_t202" alt="&quot;&quot;"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540CA58F" w14:textId="04383545" w:rsidR="008A21FA" w:rsidRPr="008A21FA" w:rsidRDefault="008A21FA" w:rsidP="008A21FA">
                    <w:pPr>
                      <w:rPr>
                        <w:rFonts w:ascii="Calibri" w:eastAsia="Calibri" w:hAnsi="Calibri" w:cs="Calibri"/>
                        <w:noProof/>
                        <w:color w:val="000000"/>
                        <w:sz w:val="20"/>
                      </w:rPr>
                    </w:pPr>
                    <w:r w:rsidRPr="008A21FA">
                      <w:rPr>
                        <w:rFonts w:ascii="Calibri" w:eastAsia="Calibri" w:hAnsi="Calibri" w:cs="Calibri"/>
                        <w:noProof/>
                        <w:color w:val="000000"/>
                        <w:sz w:val="20"/>
                      </w:rPr>
                      <w:t>General</w:t>
                    </w:r>
                  </w:p>
                </w:txbxContent>
              </v:textbox>
              <w10:wrap anchorx="page" anchory="page"/>
            </v:shape>
          </w:pict>
        </mc:Fallback>
      </mc:AlternateContent>
    </w:r>
    <w:r w:rsidR="00EB16D2">
      <w:rPr>
        <w:rStyle w:val="PageNumber"/>
      </w:rPr>
      <w:fldChar w:fldCharType="begin"/>
    </w:r>
    <w:r w:rsidR="00EB16D2">
      <w:rPr>
        <w:rStyle w:val="PageNumber"/>
      </w:rPr>
      <w:instrText xml:space="preserve">PAGE  </w:instrText>
    </w:r>
    <w:r w:rsidR="00EB16D2">
      <w:rPr>
        <w:rStyle w:val="PageNumber"/>
      </w:rPr>
      <w:fldChar w:fldCharType="separate"/>
    </w:r>
    <w:r w:rsidR="00EB16D2">
      <w:rPr>
        <w:rStyle w:val="PageNumber"/>
        <w:noProof/>
      </w:rPr>
      <w:t>23</w:t>
    </w:r>
    <w:r w:rsidR="00EB16D2">
      <w:rPr>
        <w:rStyle w:val="PageNumber"/>
      </w:rPr>
      <w:fldChar w:fldCharType="end"/>
    </w:r>
  </w:p>
  <w:p w14:paraId="797F479A" w14:textId="77777777" w:rsidR="00EB16D2" w:rsidRDefault="00EB16D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F02E" w14:textId="1F93C443" w:rsidR="00EB16D2" w:rsidRDefault="008A21FA">
    <w:pPr>
      <w:spacing w:after="240"/>
      <w:rPr>
        <w:rFonts w:ascii="Arial" w:hAnsi="Arial" w:cs="Arial"/>
        <w:sz w:val="21"/>
      </w:rPr>
    </w:pPr>
    <w:r>
      <w:rPr>
        <w:rFonts w:ascii="Arial" w:hAnsi="Arial" w:cs="Arial"/>
        <w:noProof/>
        <w:sz w:val="21"/>
        <w:lang w:eastAsia="en-AU"/>
      </w:rPr>
      <mc:AlternateContent>
        <mc:Choice Requires="wps">
          <w:drawing>
            <wp:anchor distT="0" distB="0" distL="0" distR="0" simplePos="0" relativeHeight="251666432" behindDoc="0" locked="0" layoutInCell="1" allowOverlap="1" wp14:anchorId="76CB2385" wp14:editId="6A80257E">
              <wp:simplePos x="1170940" y="10028555"/>
              <wp:positionH relativeFrom="page">
                <wp:align>center</wp:align>
              </wp:positionH>
              <wp:positionV relativeFrom="page">
                <wp:align>bottom</wp:align>
              </wp:positionV>
              <wp:extent cx="443865" cy="443865"/>
              <wp:effectExtent l="0" t="0" r="11430" b="0"/>
              <wp:wrapNone/>
              <wp:docPr id="1162693474"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3F04B" w14:textId="653630C1" w:rsidR="008A21FA" w:rsidRPr="008A21FA" w:rsidRDefault="008A21FA" w:rsidP="008A21FA">
                          <w:pPr>
                            <w:rPr>
                              <w:rFonts w:ascii="Calibri" w:eastAsia="Calibri" w:hAnsi="Calibri" w:cs="Calibri"/>
                              <w:noProof/>
                              <w:color w:val="000000"/>
                              <w:sz w:val="20"/>
                            </w:rPr>
                          </w:pPr>
                          <w:r w:rsidRPr="008A21FA">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CB2385" id="_x0000_t202" coordsize="21600,21600" o:spt="202" path="m,l,21600r21600,l21600,xe">
              <v:stroke joinstyle="miter"/>
              <v:path gradientshapeok="t" o:connecttype="rect"/>
            </v:shapetype>
            <v:shape id="Text Box 6" o:spid="_x0000_s1033" type="#_x0000_t202" alt="&quot;&quot;"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2E53F04B" w14:textId="653630C1" w:rsidR="008A21FA" w:rsidRPr="008A21FA" w:rsidRDefault="008A21FA" w:rsidP="008A21FA">
                    <w:pPr>
                      <w:rPr>
                        <w:rFonts w:ascii="Calibri" w:eastAsia="Calibri" w:hAnsi="Calibri" w:cs="Calibri"/>
                        <w:noProof/>
                        <w:color w:val="000000"/>
                        <w:sz w:val="20"/>
                      </w:rPr>
                    </w:pPr>
                    <w:r w:rsidRPr="008A21FA">
                      <w:rPr>
                        <w:rFonts w:ascii="Calibri" w:eastAsia="Calibri" w:hAnsi="Calibri" w:cs="Calibri"/>
                        <w:noProof/>
                        <w:color w:val="000000"/>
                        <w:sz w:val="20"/>
                      </w:rPr>
                      <w:t>General</w:t>
                    </w:r>
                  </w:p>
                </w:txbxContent>
              </v:textbox>
              <w10:wrap anchorx="page" anchory="page"/>
            </v:shape>
          </w:pict>
        </mc:Fallback>
      </mc:AlternateContent>
    </w:r>
    <w:r w:rsidR="00EB16D2">
      <w:rPr>
        <w:rFonts w:ascii="Arial" w:hAnsi="Arial" w:cs="Arial"/>
        <w:noProof/>
        <w:sz w:val="21"/>
        <w:lang w:eastAsia="en-AU"/>
      </w:rPr>
      <w:drawing>
        <wp:anchor distT="360045" distB="0" distL="114300" distR="114300" simplePos="0" relativeHeight="251657216" behindDoc="0" locked="0" layoutInCell="1" allowOverlap="1" wp14:anchorId="06F88B09" wp14:editId="512B542D">
          <wp:simplePos x="0" y="0"/>
          <wp:positionH relativeFrom="page">
            <wp:posOffset>6357668</wp:posOffset>
          </wp:positionH>
          <wp:positionV relativeFrom="page">
            <wp:posOffset>9859992</wp:posOffset>
          </wp:positionV>
          <wp:extent cx="842400" cy="842400"/>
          <wp:effectExtent l="0" t="0" r="0" b="0"/>
          <wp:wrapNone/>
          <wp:docPr id="113" name="Picture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400" cy="84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16D2">
      <w:rPr>
        <w:rFonts w:ascii="Arial" w:hAnsi="Arial" w:cs="Arial"/>
        <w:sz w:val="21"/>
      </w:rPr>
      <w:t xml:space="preserve">Integrated Service Management section was last changed on </w:t>
    </w:r>
    <w:r>
      <w:rPr>
        <w:rFonts w:ascii="Arial" w:hAnsi="Arial" w:cs="Arial"/>
        <w:sz w:val="21"/>
      </w:rPr>
      <w:t>09 November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F5C7" w14:textId="2E891B31" w:rsidR="008A21FA" w:rsidRDefault="008A21FA">
    <w:pPr>
      <w:pStyle w:val="Footer"/>
    </w:pPr>
    <w:r>
      <w:rPr>
        <w:noProof/>
      </w:rPr>
      <mc:AlternateContent>
        <mc:Choice Requires="wps">
          <w:drawing>
            <wp:anchor distT="0" distB="0" distL="0" distR="0" simplePos="0" relativeHeight="251664384" behindDoc="0" locked="0" layoutInCell="1" allowOverlap="1" wp14:anchorId="5CE4FCE4" wp14:editId="3C07E36A">
              <wp:simplePos x="635" y="635"/>
              <wp:positionH relativeFrom="page">
                <wp:align>center</wp:align>
              </wp:positionH>
              <wp:positionV relativeFrom="page">
                <wp:align>bottom</wp:align>
              </wp:positionV>
              <wp:extent cx="443865" cy="443865"/>
              <wp:effectExtent l="0" t="0" r="11430" b="0"/>
              <wp:wrapNone/>
              <wp:docPr id="186434372"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AB4AB" w14:textId="15A1C04B" w:rsidR="008A21FA" w:rsidRPr="008A21FA" w:rsidRDefault="008A21FA" w:rsidP="008A21FA">
                          <w:pPr>
                            <w:rPr>
                              <w:rFonts w:ascii="Calibri" w:eastAsia="Calibri" w:hAnsi="Calibri" w:cs="Calibri"/>
                              <w:noProof/>
                              <w:color w:val="000000"/>
                              <w:sz w:val="20"/>
                            </w:rPr>
                          </w:pPr>
                          <w:r w:rsidRPr="008A21FA">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E4FCE4" id="_x0000_t202" coordsize="21600,21600" o:spt="202" path="m,l,21600r21600,l21600,xe">
              <v:stroke joinstyle="miter"/>
              <v:path gradientshapeok="t" o:connecttype="rect"/>
            </v:shapetype>
            <v:shape id="Text Box 4" o:spid="_x0000_s1035" type="#_x0000_t202" alt="&quot;&quo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16AB4AB" w14:textId="15A1C04B" w:rsidR="008A21FA" w:rsidRPr="008A21FA" w:rsidRDefault="008A21FA" w:rsidP="008A21FA">
                    <w:pPr>
                      <w:rPr>
                        <w:rFonts w:ascii="Calibri" w:eastAsia="Calibri" w:hAnsi="Calibri" w:cs="Calibri"/>
                        <w:noProof/>
                        <w:color w:val="000000"/>
                        <w:sz w:val="20"/>
                      </w:rPr>
                    </w:pPr>
                    <w:r w:rsidRPr="008A21FA">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FCEB4" w14:textId="77777777" w:rsidR="00257AF0" w:rsidRDefault="00257AF0">
      <w:r>
        <w:separator/>
      </w:r>
    </w:p>
  </w:footnote>
  <w:footnote w:type="continuationSeparator" w:id="0">
    <w:p w14:paraId="6EEF27F8" w14:textId="77777777" w:rsidR="00257AF0" w:rsidRDefault="00257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A566" w14:textId="77777777" w:rsidR="0094790B" w:rsidRDefault="00947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86FE" w14:textId="77777777" w:rsidR="00EB16D2" w:rsidRDefault="00EB16D2">
    <w:pPr>
      <w:pStyle w:val="Header"/>
      <w:tabs>
        <w:tab w:val="right" w:pos="8505"/>
      </w:tabs>
      <w:rPr>
        <w:rStyle w:val="PageNumber"/>
      </w:rPr>
    </w:pPr>
    <w:r>
      <w:rPr>
        <w:rFonts w:ascii="Times New Roman" w:hAnsi="Times New Roman"/>
        <w:noProof/>
        <w:lang w:eastAsia="en-AU"/>
      </w:rPr>
      <mc:AlternateContent>
        <mc:Choice Requires="wps">
          <w:drawing>
            <wp:anchor distT="0" distB="0" distL="114300" distR="114300" simplePos="0" relativeHeight="251659264" behindDoc="0" locked="0" layoutInCell="0" allowOverlap="1" wp14:anchorId="1B07D87D" wp14:editId="5AAA6E1B">
              <wp:simplePos x="0" y="0"/>
              <wp:positionH relativeFrom="column">
                <wp:posOffset>2498090</wp:posOffset>
              </wp:positionH>
              <wp:positionV relativeFrom="paragraph">
                <wp:posOffset>-1347470</wp:posOffset>
              </wp:positionV>
              <wp:extent cx="2835275" cy="549275"/>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5368A8" w14:textId="77777777" w:rsidR="00EB16D2" w:rsidRDefault="00EB16D2">
                          <w:pPr>
                            <w:jc w:val="right"/>
                            <w:rPr>
                              <w:rFonts w:ascii="Arial" w:hAnsi="Arial"/>
                              <w:sz w:val="18"/>
                            </w:rPr>
                          </w:pPr>
                          <w:r>
                            <w:rPr>
                              <w:rFonts w:ascii="Arial" w:hAnsi="Arial"/>
                              <w:sz w:val="18"/>
                            </w:rPr>
                            <w:t>DRAFT [NO.]: [Date]</w:t>
                          </w:r>
                        </w:p>
                        <w:p w14:paraId="77E2B04C" w14:textId="77777777" w:rsidR="00EB16D2" w:rsidRDefault="00EB16D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7D87D" id="Rectangle 5" o:spid="_x0000_s1026" alt="&quot;&quot;" style="position:absolute;margin-left:196.7pt;margin-top:-106.1pt;width:223.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015368A8" w14:textId="77777777" w:rsidR="00EB16D2" w:rsidRDefault="00EB16D2">
                    <w:pPr>
                      <w:jc w:val="right"/>
                      <w:rPr>
                        <w:rFonts w:ascii="Arial" w:hAnsi="Arial"/>
                        <w:sz w:val="18"/>
                      </w:rPr>
                    </w:pPr>
                    <w:r>
                      <w:rPr>
                        <w:rFonts w:ascii="Arial" w:hAnsi="Arial"/>
                        <w:sz w:val="18"/>
                      </w:rPr>
                      <w:t>DRAFT [NO.]: [Date]</w:t>
                    </w:r>
                  </w:p>
                  <w:p w14:paraId="77E2B04C" w14:textId="77777777" w:rsidR="00EB16D2" w:rsidRDefault="00EB16D2">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E45C08">
      <w:rPr>
        <w:rStyle w:val="PageNumber"/>
        <w:b w:val="0"/>
        <w:bCs/>
        <w:noProof/>
        <w:sz w:val="20"/>
      </w:rPr>
      <w:t>1</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E45C08">
      <w:rPr>
        <w:rStyle w:val="PageNumber"/>
        <w:b w:val="0"/>
        <w:bCs/>
        <w:noProof/>
        <w:sz w:val="20"/>
      </w:rPr>
      <w:t>25</w:t>
    </w:r>
    <w:r>
      <w:rPr>
        <w:rStyle w:val="PageNumber"/>
        <w:b w:val="0"/>
        <w:bCs/>
        <w:sz w:val="20"/>
      </w:rPr>
      <w:fldChar w:fldCharType="end"/>
    </w:r>
  </w:p>
  <w:p w14:paraId="70977E69" w14:textId="77777777" w:rsidR="00EB16D2" w:rsidRDefault="00EB16D2" w:rsidP="005B0A26">
    <w:pPr>
      <w:pStyle w:val="Headersub"/>
      <w:spacing w:after="1440"/>
      <w:rPr>
        <w:rStyle w:val="PageNumber"/>
        <w:szCs w:val="36"/>
      </w:rPr>
    </w:pPr>
    <w:r>
      <w:rPr>
        <w:rStyle w:val="PageNumber"/>
        <w:szCs w:val="36"/>
      </w:rPr>
      <w:t xml:space="preserve">Integrated Service Management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54A3" w14:textId="77777777" w:rsidR="00EB16D2" w:rsidRDefault="00EB16D2">
    <w:pPr>
      <w:pStyle w:val="Header"/>
      <w:pBdr>
        <w:bottom w:val="single" w:sz="8" w:space="1" w:color="auto"/>
      </w:pBdr>
      <w:tabs>
        <w:tab w:val="right" w:pos="8505"/>
      </w:tabs>
      <w:rPr>
        <w:rStyle w:val="PageNumber"/>
        <w:szCs w:val="36"/>
      </w:rPr>
    </w:pPr>
    <w:r>
      <w:rPr>
        <w:rFonts w:ascii="Times New Roman" w:hAnsi="Times New Roman"/>
        <w:noProof/>
        <w:szCs w:val="36"/>
        <w:lang w:eastAsia="en-AU"/>
      </w:rPr>
      <mc:AlternateContent>
        <mc:Choice Requires="wps">
          <w:drawing>
            <wp:anchor distT="0" distB="0" distL="114300" distR="114300" simplePos="0" relativeHeight="251658240" behindDoc="0" locked="0" layoutInCell="0" allowOverlap="1" wp14:anchorId="3154F5AB" wp14:editId="4E839306">
              <wp:simplePos x="0" y="0"/>
              <wp:positionH relativeFrom="column">
                <wp:posOffset>2498090</wp:posOffset>
              </wp:positionH>
              <wp:positionV relativeFrom="paragraph">
                <wp:posOffset>-1347470</wp:posOffset>
              </wp:positionV>
              <wp:extent cx="2835275" cy="549275"/>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84FED4" w14:textId="77777777" w:rsidR="00EB16D2" w:rsidRDefault="00EB16D2">
                          <w:pPr>
                            <w:jc w:val="right"/>
                            <w:rPr>
                              <w:rFonts w:ascii="Arial" w:hAnsi="Arial"/>
                              <w:sz w:val="18"/>
                            </w:rPr>
                          </w:pPr>
                          <w:r>
                            <w:rPr>
                              <w:rFonts w:ascii="Arial" w:hAnsi="Arial"/>
                              <w:sz w:val="18"/>
                            </w:rPr>
                            <w:t>DRAFT [NO.]: [Date]</w:t>
                          </w:r>
                        </w:p>
                        <w:p w14:paraId="2F3100F4" w14:textId="77777777" w:rsidR="00EB16D2" w:rsidRDefault="00EB16D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4F5AB" id="Rectangle 4" o:spid="_x0000_s1029"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JU2gEAAKwDAAAOAAAAZHJzL2Uyb0RvYy54bWysU8Fu2zAMvQ/YPwi6L3bcZe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4uVsXl&#10;ijNJd6v3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LzhAlTaAQAArAMAAA4AAAAAAAAAAAAAAAAALgIAAGRycy9lMm9Eb2MueG1sUEsBAi0AFAAG&#10;AAgAAAAhACaFRBvjAAAADQEAAA8AAAAAAAAAAAAAAAAANAQAAGRycy9kb3ducmV2LnhtbFBLBQYA&#10;AAAABAAEAPMAAABEBQAAAAA=&#10;" o:allowincell="f" filled="f" stroked="f">
              <v:textbox inset="1pt,1pt,1pt,1pt">
                <w:txbxContent>
                  <w:p w14:paraId="5E84FED4" w14:textId="77777777" w:rsidR="00EB16D2" w:rsidRDefault="00EB16D2">
                    <w:pPr>
                      <w:jc w:val="right"/>
                      <w:rPr>
                        <w:rFonts w:ascii="Arial" w:hAnsi="Arial"/>
                        <w:sz w:val="18"/>
                      </w:rPr>
                    </w:pPr>
                    <w:r>
                      <w:rPr>
                        <w:rFonts w:ascii="Arial" w:hAnsi="Arial"/>
                        <w:sz w:val="18"/>
                      </w:rPr>
                      <w:t>DRAFT [NO.]: [Date]</w:t>
                    </w:r>
                  </w:p>
                  <w:p w14:paraId="2F3100F4" w14:textId="77777777" w:rsidR="00EB16D2" w:rsidRDefault="00EB16D2">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szCs w:val="36"/>
      </w:rPr>
      <w:t>Our Customer Terms</w:t>
    </w:r>
  </w:p>
  <w:p w14:paraId="3072DC70" w14:textId="77777777" w:rsidR="00EB16D2" w:rsidRDefault="00EB16D2">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417F8BC1" w14:textId="77777777" w:rsidR="00EB16D2" w:rsidRDefault="00EB16D2">
    <w:pPr>
      <w:pStyle w:val="Header"/>
      <w:pBdr>
        <w:bottom w:val="single" w:sz="8" w:space="1" w:color="auto"/>
      </w:pBdr>
      <w:tabs>
        <w:tab w:val="right" w:pos="8505"/>
      </w:tabs>
      <w:rPr>
        <w:rFonts w:ascii="Times New Roman" w:hAnsi="Times New Roman"/>
        <w:b w:val="0"/>
        <w:bCs/>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D1EA" w14:textId="77777777" w:rsidR="00EB16D2" w:rsidRDefault="00EB16D2">
    <w:pPr>
      <w:pStyle w:val="Header"/>
      <w:tabs>
        <w:tab w:val="right" w:pos="8505"/>
      </w:tabs>
      <w:rPr>
        <w:rStyle w:val="PageNumber"/>
      </w:rPr>
    </w:pPr>
    <w:r>
      <w:rPr>
        <w:rFonts w:ascii="Times New Roman" w:hAnsi="Times New Roman"/>
        <w:noProof/>
        <w:lang w:eastAsia="en-AU"/>
      </w:rPr>
      <mc:AlternateContent>
        <mc:Choice Requires="wps">
          <w:drawing>
            <wp:anchor distT="0" distB="0" distL="114300" distR="114300" simplePos="0" relativeHeight="251656192" behindDoc="0" locked="0" layoutInCell="0" allowOverlap="1" wp14:anchorId="69C32E8F" wp14:editId="6D76329A">
              <wp:simplePos x="0" y="0"/>
              <wp:positionH relativeFrom="column">
                <wp:posOffset>2498090</wp:posOffset>
              </wp:positionH>
              <wp:positionV relativeFrom="paragraph">
                <wp:posOffset>-1347470</wp:posOffset>
              </wp:positionV>
              <wp:extent cx="2835275" cy="54927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B808D3" w14:textId="77777777" w:rsidR="00EB16D2" w:rsidRDefault="00EB16D2">
                          <w:pPr>
                            <w:jc w:val="right"/>
                            <w:rPr>
                              <w:rFonts w:ascii="Arial" w:hAnsi="Arial"/>
                              <w:sz w:val="18"/>
                            </w:rPr>
                          </w:pPr>
                          <w:r>
                            <w:rPr>
                              <w:rFonts w:ascii="Arial" w:hAnsi="Arial"/>
                              <w:sz w:val="18"/>
                            </w:rPr>
                            <w:t>DRAFT [NO.]: [Date]</w:t>
                          </w:r>
                        </w:p>
                        <w:p w14:paraId="2E3747EB" w14:textId="77777777" w:rsidR="00EB16D2" w:rsidRDefault="00EB16D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32E8F" id="Rectangle 2" o:spid="_x0000_s1031" alt="&quot;&quot;" style="position:absolute;margin-left:196.7pt;margin-top:-106.1pt;width:223.2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" o:allowincell="f" filled="f" stroked="f">
              <v:textbox inset="1pt,1pt,1pt,1pt">
                <w:txbxContent>
                  <w:p w14:paraId="0BB808D3" w14:textId="77777777" w:rsidR="00EB16D2" w:rsidRDefault="00EB16D2">
                    <w:pPr>
                      <w:jc w:val="right"/>
                      <w:rPr>
                        <w:rFonts w:ascii="Arial" w:hAnsi="Arial"/>
                        <w:sz w:val="18"/>
                      </w:rPr>
                    </w:pPr>
                    <w:r>
                      <w:rPr>
                        <w:rFonts w:ascii="Arial" w:hAnsi="Arial"/>
                        <w:sz w:val="18"/>
                      </w:rPr>
                      <w:t>DRAFT [NO.]: [Date]</w:t>
                    </w:r>
                  </w:p>
                  <w:p w14:paraId="2E3747EB" w14:textId="77777777" w:rsidR="00EB16D2" w:rsidRDefault="00EB16D2">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E45C08">
      <w:rPr>
        <w:rStyle w:val="PageNumber"/>
        <w:b w:val="0"/>
        <w:bCs/>
        <w:noProof/>
        <w:sz w:val="20"/>
      </w:rPr>
      <w:t>2</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E45C08">
      <w:rPr>
        <w:rStyle w:val="PageNumber"/>
        <w:b w:val="0"/>
        <w:bCs/>
        <w:noProof/>
        <w:sz w:val="20"/>
      </w:rPr>
      <w:t>25</w:t>
    </w:r>
    <w:r>
      <w:rPr>
        <w:rStyle w:val="PageNumber"/>
        <w:b w:val="0"/>
        <w:bCs/>
        <w:sz w:val="20"/>
      </w:rPr>
      <w:fldChar w:fldCharType="end"/>
    </w:r>
  </w:p>
  <w:p w14:paraId="1841E4BD" w14:textId="77777777" w:rsidR="00EB16D2" w:rsidRDefault="00EB16D2" w:rsidP="005B0A26">
    <w:pPr>
      <w:pStyle w:val="Headersub"/>
      <w:spacing w:after="1440"/>
      <w:rPr>
        <w:rStyle w:val="PageNumber"/>
        <w:szCs w:val="36"/>
      </w:rPr>
    </w:pPr>
    <w:r>
      <w:rPr>
        <w:rStyle w:val="PageNumber"/>
        <w:szCs w:val="36"/>
      </w:rPr>
      <w:t xml:space="preserve">Integrated Service Management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C823" w14:textId="77777777" w:rsidR="00EB16D2" w:rsidRDefault="00EB16D2">
    <w:pPr>
      <w:pStyle w:val="Header"/>
      <w:pBdr>
        <w:bottom w:val="single" w:sz="8" w:space="1" w:color="auto"/>
      </w:pBdr>
      <w:tabs>
        <w:tab w:val="right" w:pos="8505"/>
      </w:tabs>
      <w:rPr>
        <w:rStyle w:val="PageNumber"/>
        <w:szCs w:val="36"/>
      </w:rPr>
    </w:pPr>
    <w:r>
      <w:rPr>
        <w:rFonts w:ascii="Times New Roman" w:hAnsi="Times New Roman"/>
        <w:noProof/>
        <w:szCs w:val="36"/>
        <w:lang w:eastAsia="en-AU"/>
      </w:rPr>
      <mc:AlternateContent>
        <mc:Choice Requires="wps">
          <w:drawing>
            <wp:anchor distT="0" distB="0" distL="114300" distR="114300" simplePos="0" relativeHeight="251655168" behindDoc="0" locked="0" layoutInCell="0" allowOverlap="1" wp14:anchorId="317F73AE" wp14:editId="15AC2DBB">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56A9AB" w14:textId="77777777" w:rsidR="00EB16D2" w:rsidRDefault="00EB16D2">
                          <w:pPr>
                            <w:jc w:val="right"/>
                            <w:rPr>
                              <w:rFonts w:ascii="Arial" w:hAnsi="Arial"/>
                              <w:sz w:val="18"/>
                            </w:rPr>
                          </w:pPr>
                          <w:r>
                            <w:rPr>
                              <w:rFonts w:ascii="Arial" w:hAnsi="Arial"/>
                              <w:sz w:val="18"/>
                            </w:rPr>
                            <w:t>DRAFT [NO.]: [Date]</w:t>
                          </w:r>
                        </w:p>
                        <w:p w14:paraId="36B7CB8E" w14:textId="77777777" w:rsidR="00EB16D2" w:rsidRDefault="00EB16D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F73AE" id="Rectangle 1" o:spid="_x0000_s1034" alt="&quot;&quot;" style="position:absolute;margin-left:196.7pt;margin-top:-106.1pt;width:223.25pt;height:4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BlYArDaAQAArAMAAA4AAAAAAAAAAAAAAAAALgIAAGRycy9lMm9Eb2MueG1sUEsBAi0AFAAG&#10;AAgAAAAhACaFRBvjAAAADQEAAA8AAAAAAAAAAAAAAAAANAQAAGRycy9kb3ducmV2LnhtbFBLBQYA&#10;AAAABAAEAPMAAABEBQAAAAA=&#10;" o:allowincell="f" filled="f" stroked="f">
              <v:textbox inset="1pt,1pt,1pt,1pt">
                <w:txbxContent>
                  <w:p w14:paraId="2B56A9AB" w14:textId="77777777" w:rsidR="00EB16D2" w:rsidRDefault="00EB16D2">
                    <w:pPr>
                      <w:jc w:val="right"/>
                      <w:rPr>
                        <w:rFonts w:ascii="Arial" w:hAnsi="Arial"/>
                        <w:sz w:val="18"/>
                      </w:rPr>
                    </w:pPr>
                    <w:r>
                      <w:rPr>
                        <w:rFonts w:ascii="Arial" w:hAnsi="Arial"/>
                        <w:sz w:val="18"/>
                      </w:rPr>
                      <w:t>DRAFT [NO.]: [Date]</w:t>
                    </w:r>
                  </w:p>
                  <w:p w14:paraId="36B7CB8E" w14:textId="77777777" w:rsidR="00EB16D2" w:rsidRDefault="00EB16D2">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szCs w:val="36"/>
      </w:rPr>
      <w:t>Our Customer Terms</w:t>
    </w:r>
  </w:p>
  <w:p w14:paraId="387DAE0C" w14:textId="77777777" w:rsidR="00EB16D2" w:rsidRDefault="00EB16D2">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488AD933" w14:textId="77777777" w:rsidR="00EB16D2" w:rsidRDefault="00EB16D2">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C6EA9DC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722457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67AD1"/>
    <w:multiLevelType w:val="multilevel"/>
    <w:tmpl w:val="1336837C"/>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Arial" w:hAnsi="Arial" w:cs="Arial" w:hint="default"/>
      </w:rPr>
    </w:lvl>
    <w:lvl w:ilvl="2">
      <w:start w:val="1"/>
      <w:numFmt w:val="lowerLetter"/>
      <w:lvlText w:val="(%3)"/>
      <w:lvlJc w:val="left"/>
      <w:pPr>
        <w:tabs>
          <w:tab w:val="num" w:pos="1021"/>
        </w:tabs>
        <w:ind w:left="1021" w:hanging="737"/>
      </w:pPr>
      <w:rPr>
        <w:rFonts w:hint="default"/>
        <w:b w:val="0"/>
      </w:rPr>
    </w:lvl>
    <w:lvl w:ilvl="3">
      <w:start w:val="1"/>
      <w:numFmt w:val="lowerRoman"/>
      <w:lvlText w:val="(%4)"/>
      <w:lvlJc w:val="right"/>
      <w:pPr>
        <w:tabs>
          <w:tab w:val="num" w:pos="2014"/>
        </w:tabs>
        <w:ind w:left="2014" w:hanging="737"/>
      </w:pPr>
      <w:rPr>
        <w:rFonts w:ascii="Arial" w:eastAsia="Times New Roman" w:hAnsi="Arial" w:cs="Arial"/>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8375094"/>
    <w:multiLevelType w:val="multilevel"/>
    <w:tmpl w:val="6620592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5671"/>
        </w:tabs>
        <w:ind w:left="737" w:hanging="737"/>
      </w:pPr>
      <w:rPr>
        <w:rFonts w:hint="default"/>
        <w:b w:val="0"/>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4" w15:restartNumberingAfterBreak="0">
    <w:nsid w:val="277D0E7B"/>
    <w:multiLevelType w:val="hybridMultilevel"/>
    <w:tmpl w:val="3F02948A"/>
    <w:lvl w:ilvl="0" w:tplc="51465EE0">
      <w:start w:val="1"/>
      <w:numFmt w:val="bullet"/>
      <w:pStyle w:val="OCPointsBulletsLevel1"/>
      <w:lvlText w:val=""/>
      <w:lvlJc w:val="left"/>
      <w:pPr>
        <w:ind w:left="360" w:hanging="360"/>
      </w:pPr>
      <w:rPr>
        <w:rFonts w:ascii="Symbol" w:hAnsi="Symbol" w:hint="default"/>
        <w:b/>
        <w:i w:val="0"/>
        <w:color w:val="005DAA"/>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476E1A42"/>
    <w:multiLevelType w:val="multilevel"/>
    <w:tmpl w:val="7AD814D8"/>
    <w:name w:val="ScheduleListNum"/>
    <w:lvl w:ilvl="0">
      <w:start w:val="1"/>
      <w:numFmt w:val="decimal"/>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7"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58916DAF"/>
    <w:multiLevelType w:val="hybridMultilevel"/>
    <w:tmpl w:val="9F4CAA96"/>
    <w:lvl w:ilvl="0" w:tplc="B8E250B8">
      <w:start w:val="1"/>
      <w:numFmt w:val="upperLetter"/>
      <w:pStyle w:val="SectionHeading"/>
      <w:suff w:val="nothing"/>
      <w:lvlText w:val="Part %1"/>
      <w:lvlJc w:val="left"/>
      <w:pPr>
        <w:ind w:left="7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C0500A7"/>
    <w:multiLevelType w:val="hybridMultilevel"/>
    <w:tmpl w:val="22F696F2"/>
    <w:lvl w:ilvl="0" w:tplc="A002DAC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1" w15:restartNumberingAfterBreak="0">
    <w:nsid w:val="6E783F17"/>
    <w:multiLevelType w:val="multilevel"/>
    <w:tmpl w:val="108AEEF6"/>
    <w:lvl w:ilvl="0">
      <w:start w:val="1"/>
      <w:numFmt w:val="decimal"/>
      <w:pStyle w:val="OCHeadingLevel1"/>
      <w:lvlText w:val="%1"/>
      <w:lvlJc w:val="left"/>
      <w:pPr>
        <w:tabs>
          <w:tab w:val="num" w:pos="1418"/>
        </w:tabs>
        <w:ind w:left="1418" w:hanging="1134"/>
      </w:pPr>
      <w:rPr>
        <w:rFonts w:hint="default"/>
      </w:rPr>
    </w:lvl>
    <w:lvl w:ilvl="1">
      <w:start w:val="1"/>
      <w:numFmt w:val="decimal"/>
      <w:pStyle w:val="OCHeadingLevel2"/>
      <w:lvlText w:val="%1.%2"/>
      <w:lvlJc w:val="left"/>
      <w:pPr>
        <w:tabs>
          <w:tab w:val="num" w:pos="1418"/>
        </w:tabs>
        <w:ind w:left="1418" w:hanging="1134"/>
      </w:pPr>
      <w:rPr>
        <w:rFonts w:hint="default"/>
      </w:rPr>
    </w:lvl>
    <w:lvl w:ilvl="2">
      <w:start w:val="1"/>
      <w:numFmt w:val="decimal"/>
      <w:lvlText w:val="%1.%2.%3"/>
      <w:lvlJc w:val="left"/>
      <w:pPr>
        <w:tabs>
          <w:tab w:val="num" w:pos="1418"/>
        </w:tabs>
        <w:ind w:left="1418" w:hanging="1134"/>
      </w:pPr>
      <w:rPr>
        <w:rFonts w:hint="default"/>
      </w:rPr>
    </w:lvl>
    <w:lvl w:ilvl="3">
      <w:start w:val="1"/>
      <w:numFmt w:val="decimal"/>
      <w:lvlText w:val="%1.%2.%3.%4"/>
      <w:lvlJc w:val="left"/>
      <w:pPr>
        <w:tabs>
          <w:tab w:val="num" w:pos="1364"/>
        </w:tabs>
        <w:ind w:left="1146" w:hanging="862"/>
      </w:pPr>
      <w:rPr>
        <w:rFonts w:hint="default"/>
      </w:rPr>
    </w:lvl>
    <w:lvl w:ilvl="4">
      <w:start w:val="1"/>
      <w:numFmt w:val="decimal"/>
      <w:lvlText w:val="%1.%2.%3.%4.%5"/>
      <w:lvlJc w:val="left"/>
      <w:pPr>
        <w:tabs>
          <w:tab w:val="num" w:pos="1293"/>
        </w:tabs>
        <w:ind w:left="1293" w:hanging="1009"/>
      </w:pPr>
      <w:rPr>
        <w:rFonts w:hint="default"/>
      </w:rPr>
    </w:lvl>
    <w:lvl w:ilvl="5">
      <w:start w:val="1"/>
      <w:numFmt w:val="decimal"/>
      <w:lvlText w:val="%1.%2.%3.%4.%5.%6"/>
      <w:lvlJc w:val="left"/>
      <w:pPr>
        <w:tabs>
          <w:tab w:val="num" w:pos="1435"/>
        </w:tabs>
        <w:ind w:left="1435" w:hanging="1151"/>
      </w:pPr>
      <w:rPr>
        <w:rFonts w:hint="default"/>
      </w:rPr>
    </w:lvl>
    <w:lvl w:ilvl="6">
      <w:start w:val="1"/>
      <w:numFmt w:val="decimal"/>
      <w:lvlText w:val="%1.%2.%3.%4.%5.%6.%7"/>
      <w:lvlJc w:val="left"/>
      <w:pPr>
        <w:tabs>
          <w:tab w:val="num" w:pos="1582"/>
        </w:tabs>
        <w:ind w:left="1582" w:hanging="1298"/>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6"/>
        </w:tabs>
        <w:ind w:left="1866" w:hanging="1582"/>
      </w:pPr>
      <w:rPr>
        <w:rFonts w:hint="default"/>
      </w:rPr>
    </w:lvl>
  </w:abstractNum>
  <w:num w:numId="1" w16cid:durableId="649482909">
    <w:abstractNumId w:val="10"/>
  </w:num>
  <w:num w:numId="2" w16cid:durableId="549271810">
    <w:abstractNumId w:val="3"/>
  </w:num>
  <w:num w:numId="3" w16cid:durableId="2113281415">
    <w:abstractNumId w:val="7"/>
  </w:num>
  <w:num w:numId="4" w16cid:durableId="450053859">
    <w:abstractNumId w:val="8"/>
  </w:num>
  <w:num w:numId="5" w16cid:durableId="1359307690">
    <w:abstractNumId w:val="5"/>
  </w:num>
  <w:num w:numId="6" w16cid:durableId="64500618">
    <w:abstractNumId w:val="0"/>
  </w:num>
  <w:num w:numId="7" w16cid:durableId="1891988793">
    <w:abstractNumId w:val="1"/>
  </w:num>
  <w:num w:numId="8" w16cid:durableId="1947344048">
    <w:abstractNumId w:val="9"/>
  </w:num>
  <w:num w:numId="9" w16cid:durableId="439954413">
    <w:abstractNumId w:val="4"/>
  </w:num>
  <w:num w:numId="10" w16cid:durableId="6067372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8075336"/>
    <w:docVar w:name="FirstTime" w:val="No"/>
    <w:docVar w:name="M_BRAND" w:val="YES"/>
  </w:docVars>
  <w:rsids>
    <w:rsidRoot w:val="001E5FFA"/>
    <w:rsid w:val="00001C5A"/>
    <w:rsid w:val="00002B9B"/>
    <w:rsid w:val="00002E70"/>
    <w:rsid w:val="00003F83"/>
    <w:rsid w:val="00005058"/>
    <w:rsid w:val="00006187"/>
    <w:rsid w:val="0000726B"/>
    <w:rsid w:val="00007996"/>
    <w:rsid w:val="000107EB"/>
    <w:rsid w:val="00010B17"/>
    <w:rsid w:val="00011438"/>
    <w:rsid w:val="0001191E"/>
    <w:rsid w:val="00012967"/>
    <w:rsid w:val="0001449E"/>
    <w:rsid w:val="00014BE6"/>
    <w:rsid w:val="000153FA"/>
    <w:rsid w:val="0001590B"/>
    <w:rsid w:val="000159A1"/>
    <w:rsid w:val="00015F6F"/>
    <w:rsid w:val="0002284D"/>
    <w:rsid w:val="000248FE"/>
    <w:rsid w:val="00024CA9"/>
    <w:rsid w:val="00024F31"/>
    <w:rsid w:val="00025E42"/>
    <w:rsid w:val="00027A83"/>
    <w:rsid w:val="000342D3"/>
    <w:rsid w:val="000343DB"/>
    <w:rsid w:val="00034794"/>
    <w:rsid w:val="00034C2F"/>
    <w:rsid w:val="00034FBC"/>
    <w:rsid w:val="00035B83"/>
    <w:rsid w:val="00035E3E"/>
    <w:rsid w:val="0003627C"/>
    <w:rsid w:val="00036329"/>
    <w:rsid w:val="00036E1D"/>
    <w:rsid w:val="000404D0"/>
    <w:rsid w:val="000409AD"/>
    <w:rsid w:val="00043051"/>
    <w:rsid w:val="00043310"/>
    <w:rsid w:val="0004412F"/>
    <w:rsid w:val="0004454F"/>
    <w:rsid w:val="000448F5"/>
    <w:rsid w:val="00045273"/>
    <w:rsid w:val="00047E1B"/>
    <w:rsid w:val="00050406"/>
    <w:rsid w:val="00050CF8"/>
    <w:rsid w:val="0005368E"/>
    <w:rsid w:val="00054887"/>
    <w:rsid w:val="000562ED"/>
    <w:rsid w:val="00057B4B"/>
    <w:rsid w:val="00057E4B"/>
    <w:rsid w:val="000608FF"/>
    <w:rsid w:val="00060ABE"/>
    <w:rsid w:val="00061C2F"/>
    <w:rsid w:val="00063AA3"/>
    <w:rsid w:val="0006456D"/>
    <w:rsid w:val="00065FB9"/>
    <w:rsid w:val="00066E01"/>
    <w:rsid w:val="0006705C"/>
    <w:rsid w:val="00076600"/>
    <w:rsid w:val="00076BC7"/>
    <w:rsid w:val="00076DF4"/>
    <w:rsid w:val="00080BEC"/>
    <w:rsid w:val="00081B11"/>
    <w:rsid w:val="00084403"/>
    <w:rsid w:val="00085666"/>
    <w:rsid w:val="00086801"/>
    <w:rsid w:val="000872AC"/>
    <w:rsid w:val="00090C24"/>
    <w:rsid w:val="0009109E"/>
    <w:rsid w:val="00091326"/>
    <w:rsid w:val="00091696"/>
    <w:rsid w:val="000928DC"/>
    <w:rsid w:val="000946C4"/>
    <w:rsid w:val="00094971"/>
    <w:rsid w:val="00094A99"/>
    <w:rsid w:val="000953E8"/>
    <w:rsid w:val="0009581D"/>
    <w:rsid w:val="0009699F"/>
    <w:rsid w:val="00096CB7"/>
    <w:rsid w:val="00096E14"/>
    <w:rsid w:val="000979F4"/>
    <w:rsid w:val="000A043F"/>
    <w:rsid w:val="000A277A"/>
    <w:rsid w:val="000A2C10"/>
    <w:rsid w:val="000A2D89"/>
    <w:rsid w:val="000A36A3"/>
    <w:rsid w:val="000A377C"/>
    <w:rsid w:val="000A39F4"/>
    <w:rsid w:val="000A3F9E"/>
    <w:rsid w:val="000A54B9"/>
    <w:rsid w:val="000A5F3B"/>
    <w:rsid w:val="000A626E"/>
    <w:rsid w:val="000A73FA"/>
    <w:rsid w:val="000B02EE"/>
    <w:rsid w:val="000B12C7"/>
    <w:rsid w:val="000B1C90"/>
    <w:rsid w:val="000B4361"/>
    <w:rsid w:val="000B578E"/>
    <w:rsid w:val="000C1507"/>
    <w:rsid w:val="000C2132"/>
    <w:rsid w:val="000C2609"/>
    <w:rsid w:val="000C360D"/>
    <w:rsid w:val="000C4759"/>
    <w:rsid w:val="000C643B"/>
    <w:rsid w:val="000C6C0F"/>
    <w:rsid w:val="000C7B60"/>
    <w:rsid w:val="000D0D04"/>
    <w:rsid w:val="000D13DA"/>
    <w:rsid w:val="000D2261"/>
    <w:rsid w:val="000D2867"/>
    <w:rsid w:val="000D5972"/>
    <w:rsid w:val="000D5B05"/>
    <w:rsid w:val="000D5BBE"/>
    <w:rsid w:val="000D63B8"/>
    <w:rsid w:val="000D7023"/>
    <w:rsid w:val="000D72AE"/>
    <w:rsid w:val="000E0590"/>
    <w:rsid w:val="000E0778"/>
    <w:rsid w:val="000E21CC"/>
    <w:rsid w:val="000E2373"/>
    <w:rsid w:val="000E3C5C"/>
    <w:rsid w:val="000E3FFA"/>
    <w:rsid w:val="000E6B1D"/>
    <w:rsid w:val="000E6F9D"/>
    <w:rsid w:val="000F4A03"/>
    <w:rsid w:val="000F4C2B"/>
    <w:rsid w:val="000F6587"/>
    <w:rsid w:val="000F70BB"/>
    <w:rsid w:val="000F712A"/>
    <w:rsid w:val="000F7A46"/>
    <w:rsid w:val="00101E78"/>
    <w:rsid w:val="0010219A"/>
    <w:rsid w:val="00104CF1"/>
    <w:rsid w:val="00105D75"/>
    <w:rsid w:val="00106C75"/>
    <w:rsid w:val="00107580"/>
    <w:rsid w:val="00110464"/>
    <w:rsid w:val="0011140F"/>
    <w:rsid w:val="00112432"/>
    <w:rsid w:val="0011575C"/>
    <w:rsid w:val="00115F81"/>
    <w:rsid w:val="0012028D"/>
    <w:rsid w:val="001206DF"/>
    <w:rsid w:val="00120B8F"/>
    <w:rsid w:val="00120DF9"/>
    <w:rsid w:val="00121108"/>
    <w:rsid w:val="00121E6B"/>
    <w:rsid w:val="00121F37"/>
    <w:rsid w:val="00123601"/>
    <w:rsid w:val="00123613"/>
    <w:rsid w:val="00124E21"/>
    <w:rsid w:val="001264C8"/>
    <w:rsid w:val="001307C7"/>
    <w:rsid w:val="00132BFE"/>
    <w:rsid w:val="0013302E"/>
    <w:rsid w:val="00133C63"/>
    <w:rsid w:val="00133D3E"/>
    <w:rsid w:val="001359EF"/>
    <w:rsid w:val="001374CD"/>
    <w:rsid w:val="00140097"/>
    <w:rsid w:val="00140F04"/>
    <w:rsid w:val="0014104F"/>
    <w:rsid w:val="001423F2"/>
    <w:rsid w:val="0014391C"/>
    <w:rsid w:val="00143F34"/>
    <w:rsid w:val="00144612"/>
    <w:rsid w:val="001464EF"/>
    <w:rsid w:val="00147BC2"/>
    <w:rsid w:val="00150581"/>
    <w:rsid w:val="00150D49"/>
    <w:rsid w:val="00150EA0"/>
    <w:rsid w:val="001513CB"/>
    <w:rsid w:val="001535C6"/>
    <w:rsid w:val="00153F55"/>
    <w:rsid w:val="00154A42"/>
    <w:rsid w:val="00157277"/>
    <w:rsid w:val="00157BC3"/>
    <w:rsid w:val="001601A0"/>
    <w:rsid w:val="001608EB"/>
    <w:rsid w:val="00162E9E"/>
    <w:rsid w:val="00163277"/>
    <w:rsid w:val="001636AC"/>
    <w:rsid w:val="00164370"/>
    <w:rsid w:val="001657D5"/>
    <w:rsid w:val="0016667C"/>
    <w:rsid w:val="00167545"/>
    <w:rsid w:val="0017019E"/>
    <w:rsid w:val="0017134A"/>
    <w:rsid w:val="00172FC0"/>
    <w:rsid w:val="001730E1"/>
    <w:rsid w:val="00174473"/>
    <w:rsid w:val="001758D7"/>
    <w:rsid w:val="00176F25"/>
    <w:rsid w:val="00177BF5"/>
    <w:rsid w:val="00177DF3"/>
    <w:rsid w:val="00181892"/>
    <w:rsid w:val="0018255A"/>
    <w:rsid w:val="0018523A"/>
    <w:rsid w:val="00185438"/>
    <w:rsid w:val="00185ED1"/>
    <w:rsid w:val="00187295"/>
    <w:rsid w:val="001873A2"/>
    <w:rsid w:val="001904F6"/>
    <w:rsid w:val="00190DED"/>
    <w:rsid w:val="00191728"/>
    <w:rsid w:val="00192C00"/>
    <w:rsid w:val="00193C14"/>
    <w:rsid w:val="0019435D"/>
    <w:rsid w:val="0019674F"/>
    <w:rsid w:val="001A0470"/>
    <w:rsid w:val="001A1E8C"/>
    <w:rsid w:val="001A2A72"/>
    <w:rsid w:val="001A35C9"/>
    <w:rsid w:val="001A3B66"/>
    <w:rsid w:val="001A4F91"/>
    <w:rsid w:val="001A53A7"/>
    <w:rsid w:val="001A6E03"/>
    <w:rsid w:val="001A7D54"/>
    <w:rsid w:val="001B0E8F"/>
    <w:rsid w:val="001B2B2E"/>
    <w:rsid w:val="001B2BAC"/>
    <w:rsid w:val="001B310D"/>
    <w:rsid w:val="001B3153"/>
    <w:rsid w:val="001B33E6"/>
    <w:rsid w:val="001B6B34"/>
    <w:rsid w:val="001B7AD4"/>
    <w:rsid w:val="001C2605"/>
    <w:rsid w:val="001C3058"/>
    <w:rsid w:val="001C35AA"/>
    <w:rsid w:val="001C3AFA"/>
    <w:rsid w:val="001C43D3"/>
    <w:rsid w:val="001C6FA3"/>
    <w:rsid w:val="001C7F0E"/>
    <w:rsid w:val="001D0988"/>
    <w:rsid w:val="001D0B49"/>
    <w:rsid w:val="001D0B4B"/>
    <w:rsid w:val="001D17F2"/>
    <w:rsid w:val="001D200D"/>
    <w:rsid w:val="001D2225"/>
    <w:rsid w:val="001D335D"/>
    <w:rsid w:val="001D3FED"/>
    <w:rsid w:val="001D51B7"/>
    <w:rsid w:val="001D5463"/>
    <w:rsid w:val="001D6024"/>
    <w:rsid w:val="001D6FD3"/>
    <w:rsid w:val="001D7B1F"/>
    <w:rsid w:val="001E12E6"/>
    <w:rsid w:val="001E2050"/>
    <w:rsid w:val="001E22F4"/>
    <w:rsid w:val="001E2B59"/>
    <w:rsid w:val="001E3048"/>
    <w:rsid w:val="001E480C"/>
    <w:rsid w:val="001E5C55"/>
    <w:rsid w:val="001E5F19"/>
    <w:rsid w:val="001E5FFA"/>
    <w:rsid w:val="001E71D8"/>
    <w:rsid w:val="001F01E9"/>
    <w:rsid w:val="001F1822"/>
    <w:rsid w:val="001F1C32"/>
    <w:rsid w:val="001F32F3"/>
    <w:rsid w:val="001F3C1F"/>
    <w:rsid w:val="001F47D6"/>
    <w:rsid w:val="001F575A"/>
    <w:rsid w:val="00200207"/>
    <w:rsid w:val="002012B5"/>
    <w:rsid w:val="002013A5"/>
    <w:rsid w:val="00203407"/>
    <w:rsid w:val="002049C5"/>
    <w:rsid w:val="00207738"/>
    <w:rsid w:val="00207C3B"/>
    <w:rsid w:val="002157DF"/>
    <w:rsid w:val="002164BE"/>
    <w:rsid w:val="002204CD"/>
    <w:rsid w:val="00221588"/>
    <w:rsid w:val="00223077"/>
    <w:rsid w:val="00224D90"/>
    <w:rsid w:val="0023405B"/>
    <w:rsid w:val="00235791"/>
    <w:rsid w:val="00236D71"/>
    <w:rsid w:val="002371F7"/>
    <w:rsid w:val="002442D8"/>
    <w:rsid w:val="00244D0F"/>
    <w:rsid w:val="0024565E"/>
    <w:rsid w:val="00246A71"/>
    <w:rsid w:val="00247E65"/>
    <w:rsid w:val="00251565"/>
    <w:rsid w:val="002527FC"/>
    <w:rsid w:val="00253531"/>
    <w:rsid w:val="00254627"/>
    <w:rsid w:val="002558CB"/>
    <w:rsid w:val="002568F2"/>
    <w:rsid w:val="00257135"/>
    <w:rsid w:val="002572E4"/>
    <w:rsid w:val="00257AF0"/>
    <w:rsid w:val="00257F27"/>
    <w:rsid w:val="00260AB4"/>
    <w:rsid w:val="00263876"/>
    <w:rsid w:val="002644DA"/>
    <w:rsid w:val="002657AB"/>
    <w:rsid w:val="00265984"/>
    <w:rsid w:val="002669B9"/>
    <w:rsid w:val="00266C93"/>
    <w:rsid w:val="00267302"/>
    <w:rsid w:val="0027038D"/>
    <w:rsid w:val="002711A1"/>
    <w:rsid w:val="002725AA"/>
    <w:rsid w:val="00273DB8"/>
    <w:rsid w:val="002753A0"/>
    <w:rsid w:val="002779C0"/>
    <w:rsid w:val="002808FD"/>
    <w:rsid w:val="00281200"/>
    <w:rsid w:val="00282AC7"/>
    <w:rsid w:val="00282DB4"/>
    <w:rsid w:val="00283CDB"/>
    <w:rsid w:val="00291F3D"/>
    <w:rsid w:val="0029205B"/>
    <w:rsid w:val="0029237F"/>
    <w:rsid w:val="0029282E"/>
    <w:rsid w:val="0029362E"/>
    <w:rsid w:val="00293D4B"/>
    <w:rsid w:val="002954AA"/>
    <w:rsid w:val="002956D6"/>
    <w:rsid w:val="002956E3"/>
    <w:rsid w:val="002963CC"/>
    <w:rsid w:val="00297815"/>
    <w:rsid w:val="002A0AC4"/>
    <w:rsid w:val="002A2967"/>
    <w:rsid w:val="002A2B58"/>
    <w:rsid w:val="002A30D0"/>
    <w:rsid w:val="002A3ED5"/>
    <w:rsid w:val="002A6C5F"/>
    <w:rsid w:val="002A7C95"/>
    <w:rsid w:val="002A7E53"/>
    <w:rsid w:val="002A7F22"/>
    <w:rsid w:val="002B111C"/>
    <w:rsid w:val="002B1201"/>
    <w:rsid w:val="002B1B2E"/>
    <w:rsid w:val="002B1E87"/>
    <w:rsid w:val="002B2896"/>
    <w:rsid w:val="002B3203"/>
    <w:rsid w:val="002B3319"/>
    <w:rsid w:val="002B5361"/>
    <w:rsid w:val="002B5578"/>
    <w:rsid w:val="002B55F1"/>
    <w:rsid w:val="002B6594"/>
    <w:rsid w:val="002B689D"/>
    <w:rsid w:val="002B68DC"/>
    <w:rsid w:val="002C0C83"/>
    <w:rsid w:val="002C6AF4"/>
    <w:rsid w:val="002C7F73"/>
    <w:rsid w:val="002D1080"/>
    <w:rsid w:val="002D1093"/>
    <w:rsid w:val="002D2413"/>
    <w:rsid w:val="002D2E8D"/>
    <w:rsid w:val="002D3973"/>
    <w:rsid w:val="002D4440"/>
    <w:rsid w:val="002D4CEC"/>
    <w:rsid w:val="002D5133"/>
    <w:rsid w:val="002D59E0"/>
    <w:rsid w:val="002D5C9F"/>
    <w:rsid w:val="002D6B7F"/>
    <w:rsid w:val="002D7902"/>
    <w:rsid w:val="002E1171"/>
    <w:rsid w:val="002E19E5"/>
    <w:rsid w:val="002E2620"/>
    <w:rsid w:val="002E2849"/>
    <w:rsid w:val="002E5014"/>
    <w:rsid w:val="002E57F2"/>
    <w:rsid w:val="002E5B82"/>
    <w:rsid w:val="002E68C3"/>
    <w:rsid w:val="002E7BED"/>
    <w:rsid w:val="002F1374"/>
    <w:rsid w:val="002F1895"/>
    <w:rsid w:val="002F3E93"/>
    <w:rsid w:val="002F53E0"/>
    <w:rsid w:val="002F5E85"/>
    <w:rsid w:val="002F647C"/>
    <w:rsid w:val="002F675F"/>
    <w:rsid w:val="002F7222"/>
    <w:rsid w:val="00301EBA"/>
    <w:rsid w:val="003024E2"/>
    <w:rsid w:val="00302C05"/>
    <w:rsid w:val="00307D17"/>
    <w:rsid w:val="00310A11"/>
    <w:rsid w:val="00310B0F"/>
    <w:rsid w:val="00312BC3"/>
    <w:rsid w:val="00313C10"/>
    <w:rsid w:val="003157ED"/>
    <w:rsid w:val="00317AFE"/>
    <w:rsid w:val="00320824"/>
    <w:rsid w:val="00321DB3"/>
    <w:rsid w:val="00322431"/>
    <w:rsid w:val="00322758"/>
    <w:rsid w:val="00324B91"/>
    <w:rsid w:val="00325093"/>
    <w:rsid w:val="00327445"/>
    <w:rsid w:val="003302F1"/>
    <w:rsid w:val="00331D16"/>
    <w:rsid w:val="00332752"/>
    <w:rsid w:val="0033323D"/>
    <w:rsid w:val="00333348"/>
    <w:rsid w:val="00334A62"/>
    <w:rsid w:val="0033657A"/>
    <w:rsid w:val="0034240C"/>
    <w:rsid w:val="0034263A"/>
    <w:rsid w:val="0034314E"/>
    <w:rsid w:val="003432C2"/>
    <w:rsid w:val="00344FE6"/>
    <w:rsid w:val="003450C4"/>
    <w:rsid w:val="003455DF"/>
    <w:rsid w:val="003456CC"/>
    <w:rsid w:val="003460B2"/>
    <w:rsid w:val="00347289"/>
    <w:rsid w:val="00352048"/>
    <w:rsid w:val="003523BB"/>
    <w:rsid w:val="003533DF"/>
    <w:rsid w:val="00353791"/>
    <w:rsid w:val="00355B38"/>
    <w:rsid w:val="00356378"/>
    <w:rsid w:val="00357D7A"/>
    <w:rsid w:val="00363C70"/>
    <w:rsid w:val="00364A9F"/>
    <w:rsid w:val="003658B0"/>
    <w:rsid w:val="00367A7E"/>
    <w:rsid w:val="003721AB"/>
    <w:rsid w:val="00373341"/>
    <w:rsid w:val="00374093"/>
    <w:rsid w:val="003741BE"/>
    <w:rsid w:val="0037721D"/>
    <w:rsid w:val="00380CC9"/>
    <w:rsid w:val="00382984"/>
    <w:rsid w:val="00385031"/>
    <w:rsid w:val="0038511A"/>
    <w:rsid w:val="00385629"/>
    <w:rsid w:val="00385BDC"/>
    <w:rsid w:val="00387397"/>
    <w:rsid w:val="0039054D"/>
    <w:rsid w:val="00390A4E"/>
    <w:rsid w:val="00391383"/>
    <w:rsid w:val="0039239A"/>
    <w:rsid w:val="00393147"/>
    <w:rsid w:val="00394FD1"/>
    <w:rsid w:val="003957A7"/>
    <w:rsid w:val="003962BA"/>
    <w:rsid w:val="003975E8"/>
    <w:rsid w:val="003A23FB"/>
    <w:rsid w:val="003A26B8"/>
    <w:rsid w:val="003A3660"/>
    <w:rsid w:val="003A51CD"/>
    <w:rsid w:val="003A546F"/>
    <w:rsid w:val="003A5BFA"/>
    <w:rsid w:val="003A6B61"/>
    <w:rsid w:val="003A7336"/>
    <w:rsid w:val="003B053A"/>
    <w:rsid w:val="003B0EA2"/>
    <w:rsid w:val="003B10CF"/>
    <w:rsid w:val="003B2842"/>
    <w:rsid w:val="003B2A61"/>
    <w:rsid w:val="003B3FAD"/>
    <w:rsid w:val="003B5E77"/>
    <w:rsid w:val="003B6877"/>
    <w:rsid w:val="003B739F"/>
    <w:rsid w:val="003B7779"/>
    <w:rsid w:val="003B7F07"/>
    <w:rsid w:val="003C0C51"/>
    <w:rsid w:val="003C165C"/>
    <w:rsid w:val="003C22A9"/>
    <w:rsid w:val="003C2DB1"/>
    <w:rsid w:val="003C34DD"/>
    <w:rsid w:val="003C4437"/>
    <w:rsid w:val="003C45A3"/>
    <w:rsid w:val="003C4D6C"/>
    <w:rsid w:val="003C5C41"/>
    <w:rsid w:val="003C6094"/>
    <w:rsid w:val="003C6BE3"/>
    <w:rsid w:val="003C7562"/>
    <w:rsid w:val="003C75B8"/>
    <w:rsid w:val="003C7775"/>
    <w:rsid w:val="003C7DDF"/>
    <w:rsid w:val="003D0864"/>
    <w:rsid w:val="003D19D5"/>
    <w:rsid w:val="003D3B84"/>
    <w:rsid w:val="003D4CDF"/>
    <w:rsid w:val="003D5B54"/>
    <w:rsid w:val="003D6039"/>
    <w:rsid w:val="003D7D18"/>
    <w:rsid w:val="003E02D2"/>
    <w:rsid w:val="003E0E08"/>
    <w:rsid w:val="003E1304"/>
    <w:rsid w:val="003E1CA0"/>
    <w:rsid w:val="003E2532"/>
    <w:rsid w:val="003E32F3"/>
    <w:rsid w:val="003E3B2C"/>
    <w:rsid w:val="003E4E9A"/>
    <w:rsid w:val="003E6985"/>
    <w:rsid w:val="003E6D4E"/>
    <w:rsid w:val="003F0149"/>
    <w:rsid w:val="003F1266"/>
    <w:rsid w:val="003F1A93"/>
    <w:rsid w:val="003F20A4"/>
    <w:rsid w:val="003F557D"/>
    <w:rsid w:val="003F570A"/>
    <w:rsid w:val="003F793D"/>
    <w:rsid w:val="004009B0"/>
    <w:rsid w:val="00403CC2"/>
    <w:rsid w:val="00404AA0"/>
    <w:rsid w:val="00404C2A"/>
    <w:rsid w:val="00405363"/>
    <w:rsid w:val="00407C7A"/>
    <w:rsid w:val="00410640"/>
    <w:rsid w:val="00410A42"/>
    <w:rsid w:val="004125C7"/>
    <w:rsid w:val="00413386"/>
    <w:rsid w:val="00413EE6"/>
    <w:rsid w:val="00413FF4"/>
    <w:rsid w:val="00414D7C"/>
    <w:rsid w:val="004168C1"/>
    <w:rsid w:val="00416B0A"/>
    <w:rsid w:val="0042108F"/>
    <w:rsid w:val="004214BA"/>
    <w:rsid w:val="004215AC"/>
    <w:rsid w:val="00421E66"/>
    <w:rsid w:val="00422DEC"/>
    <w:rsid w:val="00423268"/>
    <w:rsid w:val="00423488"/>
    <w:rsid w:val="0042380E"/>
    <w:rsid w:val="00425DB8"/>
    <w:rsid w:val="00426649"/>
    <w:rsid w:val="00426B84"/>
    <w:rsid w:val="0042766A"/>
    <w:rsid w:val="004310BF"/>
    <w:rsid w:val="0043294B"/>
    <w:rsid w:val="004329CE"/>
    <w:rsid w:val="004342E0"/>
    <w:rsid w:val="00436FE6"/>
    <w:rsid w:val="00437F72"/>
    <w:rsid w:val="00441E04"/>
    <w:rsid w:val="00442606"/>
    <w:rsid w:val="00442BE2"/>
    <w:rsid w:val="0044396E"/>
    <w:rsid w:val="00443AD5"/>
    <w:rsid w:val="00443FDD"/>
    <w:rsid w:val="00445060"/>
    <w:rsid w:val="00447D37"/>
    <w:rsid w:val="00451D89"/>
    <w:rsid w:val="00451F4F"/>
    <w:rsid w:val="004525FF"/>
    <w:rsid w:val="00452FA9"/>
    <w:rsid w:val="00454BAE"/>
    <w:rsid w:val="004554F0"/>
    <w:rsid w:val="00456610"/>
    <w:rsid w:val="00456A21"/>
    <w:rsid w:val="004574CE"/>
    <w:rsid w:val="00460020"/>
    <w:rsid w:val="00461AF5"/>
    <w:rsid w:val="00461F5D"/>
    <w:rsid w:val="00464A06"/>
    <w:rsid w:val="00465F3E"/>
    <w:rsid w:val="004667C6"/>
    <w:rsid w:val="00466C2F"/>
    <w:rsid w:val="00470F2D"/>
    <w:rsid w:val="00471554"/>
    <w:rsid w:val="0047344C"/>
    <w:rsid w:val="00474428"/>
    <w:rsid w:val="00474A40"/>
    <w:rsid w:val="0047591C"/>
    <w:rsid w:val="00475D18"/>
    <w:rsid w:val="004817FE"/>
    <w:rsid w:val="00482B70"/>
    <w:rsid w:val="00482E95"/>
    <w:rsid w:val="00483644"/>
    <w:rsid w:val="0048369E"/>
    <w:rsid w:val="00484514"/>
    <w:rsid w:val="00484805"/>
    <w:rsid w:val="00487F01"/>
    <w:rsid w:val="00490608"/>
    <w:rsid w:val="00492CB0"/>
    <w:rsid w:val="00493A99"/>
    <w:rsid w:val="004948D3"/>
    <w:rsid w:val="00494FD9"/>
    <w:rsid w:val="00497557"/>
    <w:rsid w:val="004A037D"/>
    <w:rsid w:val="004A1BA4"/>
    <w:rsid w:val="004A2517"/>
    <w:rsid w:val="004A2C81"/>
    <w:rsid w:val="004A2EC2"/>
    <w:rsid w:val="004A3E01"/>
    <w:rsid w:val="004A735B"/>
    <w:rsid w:val="004B1723"/>
    <w:rsid w:val="004B3835"/>
    <w:rsid w:val="004B448D"/>
    <w:rsid w:val="004B56DE"/>
    <w:rsid w:val="004C102B"/>
    <w:rsid w:val="004C1282"/>
    <w:rsid w:val="004C1F0B"/>
    <w:rsid w:val="004C203A"/>
    <w:rsid w:val="004C23B4"/>
    <w:rsid w:val="004C2A4B"/>
    <w:rsid w:val="004C2F76"/>
    <w:rsid w:val="004C3D8C"/>
    <w:rsid w:val="004C69B6"/>
    <w:rsid w:val="004C7F63"/>
    <w:rsid w:val="004D0203"/>
    <w:rsid w:val="004D0496"/>
    <w:rsid w:val="004D1B45"/>
    <w:rsid w:val="004D25A6"/>
    <w:rsid w:val="004D2931"/>
    <w:rsid w:val="004D2E2D"/>
    <w:rsid w:val="004D31F1"/>
    <w:rsid w:val="004D41AC"/>
    <w:rsid w:val="004D4409"/>
    <w:rsid w:val="004D5022"/>
    <w:rsid w:val="004D526C"/>
    <w:rsid w:val="004D6E32"/>
    <w:rsid w:val="004D7481"/>
    <w:rsid w:val="004E0A40"/>
    <w:rsid w:val="004E2A39"/>
    <w:rsid w:val="004E356E"/>
    <w:rsid w:val="004E35AC"/>
    <w:rsid w:val="004E3B73"/>
    <w:rsid w:val="004E3E3F"/>
    <w:rsid w:val="004E4867"/>
    <w:rsid w:val="004E48C4"/>
    <w:rsid w:val="004E4F25"/>
    <w:rsid w:val="004E534A"/>
    <w:rsid w:val="004E697E"/>
    <w:rsid w:val="004F3F04"/>
    <w:rsid w:val="004F4623"/>
    <w:rsid w:val="004F4D06"/>
    <w:rsid w:val="004F5362"/>
    <w:rsid w:val="004F546D"/>
    <w:rsid w:val="004F59B5"/>
    <w:rsid w:val="004F5A7D"/>
    <w:rsid w:val="00500340"/>
    <w:rsid w:val="00500A36"/>
    <w:rsid w:val="00500B10"/>
    <w:rsid w:val="00502253"/>
    <w:rsid w:val="00502A20"/>
    <w:rsid w:val="00504947"/>
    <w:rsid w:val="00504F1B"/>
    <w:rsid w:val="00505B0F"/>
    <w:rsid w:val="00505D69"/>
    <w:rsid w:val="00506525"/>
    <w:rsid w:val="0050734C"/>
    <w:rsid w:val="0050769A"/>
    <w:rsid w:val="005105ED"/>
    <w:rsid w:val="00510813"/>
    <w:rsid w:val="00512CEF"/>
    <w:rsid w:val="0051426E"/>
    <w:rsid w:val="00514463"/>
    <w:rsid w:val="0051489C"/>
    <w:rsid w:val="00514929"/>
    <w:rsid w:val="00517753"/>
    <w:rsid w:val="00520987"/>
    <w:rsid w:val="0052181B"/>
    <w:rsid w:val="00522B20"/>
    <w:rsid w:val="00525802"/>
    <w:rsid w:val="00525C21"/>
    <w:rsid w:val="00526FD3"/>
    <w:rsid w:val="00530EF6"/>
    <w:rsid w:val="005316A6"/>
    <w:rsid w:val="005319DB"/>
    <w:rsid w:val="005340C5"/>
    <w:rsid w:val="00535371"/>
    <w:rsid w:val="00536351"/>
    <w:rsid w:val="00540866"/>
    <w:rsid w:val="00543289"/>
    <w:rsid w:val="005433F3"/>
    <w:rsid w:val="0054373B"/>
    <w:rsid w:val="005438FB"/>
    <w:rsid w:val="005446CD"/>
    <w:rsid w:val="00544881"/>
    <w:rsid w:val="005460E6"/>
    <w:rsid w:val="005462D0"/>
    <w:rsid w:val="0054653B"/>
    <w:rsid w:val="00547C19"/>
    <w:rsid w:val="00547E86"/>
    <w:rsid w:val="00551B95"/>
    <w:rsid w:val="00552EC8"/>
    <w:rsid w:val="00554C7F"/>
    <w:rsid w:val="00561F18"/>
    <w:rsid w:val="005624C4"/>
    <w:rsid w:val="005632EE"/>
    <w:rsid w:val="00564DBD"/>
    <w:rsid w:val="00565796"/>
    <w:rsid w:val="00565D3A"/>
    <w:rsid w:val="0056634D"/>
    <w:rsid w:val="00567299"/>
    <w:rsid w:val="00570578"/>
    <w:rsid w:val="00572EDE"/>
    <w:rsid w:val="0057339A"/>
    <w:rsid w:val="00574415"/>
    <w:rsid w:val="00574683"/>
    <w:rsid w:val="005749C2"/>
    <w:rsid w:val="00575049"/>
    <w:rsid w:val="005753E4"/>
    <w:rsid w:val="00577363"/>
    <w:rsid w:val="00580EBB"/>
    <w:rsid w:val="00580F73"/>
    <w:rsid w:val="00581D2E"/>
    <w:rsid w:val="005826E2"/>
    <w:rsid w:val="00583CF5"/>
    <w:rsid w:val="0058523B"/>
    <w:rsid w:val="00592245"/>
    <w:rsid w:val="00592A85"/>
    <w:rsid w:val="00592CE3"/>
    <w:rsid w:val="00594124"/>
    <w:rsid w:val="005948B8"/>
    <w:rsid w:val="00597F85"/>
    <w:rsid w:val="005A2B16"/>
    <w:rsid w:val="005A4E0B"/>
    <w:rsid w:val="005B073A"/>
    <w:rsid w:val="005B0A26"/>
    <w:rsid w:val="005B0ACF"/>
    <w:rsid w:val="005B1358"/>
    <w:rsid w:val="005B1DC8"/>
    <w:rsid w:val="005B4189"/>
    <w:rsid w:val="005B45CC"/>
    <w:rsid w:val="005B5AF9"/>
    <w:rsid w:val="005B5B72"/>
    <w:rsid w:val="005B6EBF"/>
    <w:rsid w:val="005B7B23"/>
    <w:rsid w:val="005B7EDA"/>
    <w:rsid w:val="005C1886"/>
    <w:rsid w:val="005C22C9"/>
    <w:rsid w:val="005C3304"/>
    <w:rsid w:val="005C78C9"/>
    <w:rsid w:val="005C7919"/>
    <w:rsid w:val="005D0A26"/>
    <w:rsid w:val="005D1F34"/>
    <w:rsid w:val="005D22E4"/>
    <w:rsid w:val="005D2312"/>
    <w:rsid w:val="005D24DF"/>
    <w:rsid w:val="005D3213"/>
    <w:rsid w:val="005D3B56"/>
    <w:rsid w:val="005D4BFC"/>
    <w:rsid w:val="005D50F5"/>
    <w:rsid w:val="005D609B"/>
    <w:rsid w:val="005D60F8"/>
    <w:rsid w:val="005D644E"/>
    <w:rsid w:val="005D68B6"/>
    <w:rsid w:val="005D6FF1"/>
    <w:rsid w:val="005E0121"/>
    <w:rsid w:val="005E0480"/>
    <w:rsid w:val="005E0A5C"/>
    <w:rsid w:val="005E1818"/>
    <w:rsid w:val="005E1FA4"/>
    <w:rsid w:val="005E37D6"/>
    <w:rsid w:val="005E39EB"/>
    <w:rsid w:val="005E4FD6"/>
    <w:rsid w:val="005E6473"/>
    <w:rsid w:val="005E7300"/>
    <w:rsid w:val="005E7B2A"/>
    <w:rsid w:val="005F027D"/>
    <w:rsid w:val="005F0371"/>
    <w:rsid w:val="005F23BC"/>
    <w:rsid w:val="005F3BBD"/>
    <w:rsid w:val="005F4839"/>
    <w:rsid w:val="005F4D12"/>
    <w:rsid w:val="005F5E50"/>
    <w:rsid w:val="005F62BD"/>
    <w:rsid w:val="005F675B"/>
    <w:rsid w:val="006001BB"/>
    <w:rsid w:val="006013E7"/>
    <w:rsid w:val="00601DD1"/>
    <w:rsid w:val="006051FF"/>
    <w:rsid w:val="00606CC7"/>
    <w:rsid w:val="0060778B"/>
    <w:rsid w:val="00607945"/>
    <w:rsid w:val="00610EBD"/>
    <w:rsid w:val="006112FF"/>
    <w:rsid w:val="00611954"/>
    <w:rsid w:val="00613756"/>
    <w:rsid w:val="00614302"/>
    <w:rsid w:val="00614EA2"/>
    <w:rsid w:val="00615817"/>
    <w:rsid w:val="0062010C"/>
    <w:rsid w:val="00621B7C"/>
    <w:rsid w:val="00624378"/>
    <w:rsid w:val="006244AC"/>
    <w:rsid w:val="00625783"/>
    <w:rsid w:val="00625BEF"/>
    <w:rsid w:val="00625C8C"/>
    <w:rsid w:val="00631102"/>
    <w:rsid w:val="006324A0"/>
    <w:rsid w:val="006324C8"/>
    <w:rsid w:val="00632994"/>
    <w:rsid w:val="00633E6D"/>
    <w:rsid w:val="00634F4E"/>
    <w:rsid w:val="00634F8D"/>
    <w:rsid w:val="006360A0"/>
    <w:rsid w:val="006375EB"/>
    <w:rsid w:val="00637642"/>
    <w:rsid w:val="006410D3"/>
    <w:rsid w:val="00641474"/>
    <w:rsid w:val="0064237E"/>
    <w:rsid w:val="0064407F"/>
    <w:rsid w:val="00644368"/>
    <w:rsid w:val="006443A7"/>
    <w:rsid w:val="00644FD9"/>
    <w:rsid w:val="00652E60"/>
    <w:rsid w:val="00654055"/>
    <w:rsid w:val="00654F3D"/>
    <w:rsid w:val="006550C2"/>
    <w:rsid w:val="00661A82"/>
    <w:rsid w:val="0066495C"/>
    <w:rsid w:val="00666E12"/>
    <w:rsid w:val="006672B5"/>
    <w:rsid w:val="00667A94"/>
    <w:rsid w:val="0067198D"/>
    <w:rsid w:val="00673282"/>
    <w:rsid w:val="00673B80"/>
    <w:rsid w:val="006743F4"/>
    <w:rsid w:val="0067465A"/>
    <w:rsid w:val="006752F4"/>
    <w:rsid w:val="006768C0"/>
    <w:rsid w:val="006778F4"/>
    <w:rsid w:val="00680C56"/>
    <w:rsid w:val="00682F81"/>
    <w:rsid w:val="00683CBE"/>
    <w:rsid w:val="006840CD"/>
    <w:rsid w:val="006848BF"/>
    <w:rsid w:val="0068715A"/>
    <w:rsid w:val="00687173"/>
    <w:rsid w:val="00687C64"/>
    <w:rsid w:val="006903BE"/>
    <w:rsid w:val="00690947"/>
    <w:rsid w:val="00690D4B"/>
    <w:rsid w:val="00690E6A"/>
    <w:rsid w:val="00691CCC"/>
    <w:rsid w:val="00691F7D"/>
    <w:rsid w:val="00694B5A"/>
    <w:rsid w:val="00697B3B"/>
    <w:rsid w:val="006A00FE"/>
    <w:rsid w:val="006A037B"/>
    <w:rsid w:val="006A06EF"/>
    <w:rsid w:val="006A26F0"/>
    <w:rsid w:val="006A2DA2"/>
    <w:rsid w:val="006A4463"/>
    <w:rsid w:val="006A4D64"/>
    <w:rsid w:val="006A4E8B"/>
    <w:rsid w:val="006A56B3"/>
    <w:rsid w:val="006B27B9"/>
    <w:rsid w:val="006B2881"/>
    <w:rsid w:val="006B3FFD"/>
    <w:rsid w:val="006B56E6"/>
    <w:rsid w:val="006B57C4"/>
    <w:rsid w:val="006B5D8B"/>
    <w:rsid w:val="006B65E3"/>
    <w:rsid w:val="006C2A37"/>
    <w:rsid w:val="006C2AAE"/>
    <w:rsid w:val="006C2C38"/>
    <w:rsid w:val="006C3074"/>
    <w:rsid w:val="006C30C0"/>
    <w:rsid w:val="006C32A5"/>
    <w:rsid w:val="006C34CE"/>
    <w:rsid w:val="006C3786"/>
    <w:rsid w:val="006C4D26"/>
    <w:rsid w:val="006C5B04"/>
    <w:rsid w:val="006C5CAA"/>
    <w:rsid w:val="006C69B1"/>
    <w:rsid w:val="006C7504"/>
    <w:rsid w:val="006C78F9"/>
    <w:rsid w:val="006D07CC"/>
    <w:rsid w:val="006D1BDF"/>
    <w:rsid w:val="006D2EAB"/>
    <w:rsid w:val="006D3F8B"/>
    <w:rsid w:val="006D4C56"/>
    <w:rsid w:val="006D50DF"/>
    <w:rsid w:val="006D7DDB"/>
    <w:rsid w:val="006E005D"/>
    <w:rsid w:val="006E1FE0"/>
    <w:rsid w:val="006E226B"/>
    <w:rsid w:val="006E230D"/>
    <w:rsid w:val="006E2B38"/>
    <w:rsid w:val="006E6AFC"/>
    <w:rsid w:val="006E6CF8"/>
    <w:rsid w:val="006E78E5"/>
    <w:rsid w:val="006F0CE7"/>
    <w:rsid w:val="006F155D"/>
    <w:rsid w:val="006F1B5D"/>
    <w:rsid w:val="006F1B6E"/>
    <w:rsid w:val="006F2557"/>
    <w:rsid w:val="006F2833"/>
    <w:rsid w:val="006F2E39"/>
    <w:rsid w:val="006F343C"/>
    <w:rsid w:val="006F54EA"/>
    <w:rsid w:val="006F5EA3"/>
    <w:rsid w:val="006F6183"/>
    <w:rsid w:val="006F7694"/>
    <w:rsid w:val="006F77DF"/>
    <w:rsid w:val="006F7D4D"/>
    <w:rsid w:val="006F7DE8"/>
    <w:rsid w:val="007004C1"/>
    <w:rsid w:val="007022A0"/>
    <w:rsid w:val="00703852"/>
    <w:rsid w:val="00707ACF"/>
    <w:rsid w:val="0071184C"/>
    <w:rsid w:val="00712F5E"/>
    <w:rsid w:val="0071396A"/>
    <w:rsid w:val="00713DB7"/>
    <w:rsid w:val="0071480E"/>
    <w:rsid w:val="00715884"/>
    <w:rsid w:val="00715914"/>
    <w:rsid w:val="007170DD"/>
    <w:rsid w:val="00720710"/>
    <w:rsid w:val="0072205E"/>
    <w:rsid w:val="0072240B"/>
    <w:rsid w:val="00723DEE"/>
    <w:rsid w:val="0072416C"/>
    <w:rsid w:val="007243A9"/>
    <w:rsid w:val="007244D9"/>
    <w:rsid w:val="00730F77"/>
    <w:rsid w:val="00732B85"/>
    <w:rsid w:val="00733105"/>
    <w:rsid w:val="007331C0"/>
    <w:rsid w:val="007351A8"/>
    <w:rsid w:val="00736DBE"/>
    <w:rsid w:val="00737352"/>
    <w:rsid w:val="007410A9"/>
    <w:rsid w:val="007411CF"/>
    <w:rsid w:val="00742B24"/>
    <w:rsid w:val="007435FA"/>
    <w:rsid w:val="00744332"/>
    <w:rsid w:val="007446B6"/>
    <w:rsid w:val="00745A40"/>
    <w:rsid w:val="0075048A"/>
    <w:rsid w:val="0075164C"/>
    <w:rsid w:val="007528C1"/>
    <w:rsid w:val="00753242"/>
    <w:rsid w:val="00753A6B"/>
    <w:rsid w:val="007578C1"/>
    <w:rsid w:val="0075796F"/>
    <w:rsid w:val="00760A96"/>
    <w:rsid w:val="0076190E"/>
    <w:rsid w:val="00762973"/>
    <w:rsid w:val="00763525"/>
    <w:rsid w:val="007669E8"/>
    <w:rsid w:val="00767ECC"/>
    <w:rsid w:val="007702DE"/>
    <w:rsid w:val="007702EC"/>
    <w:rsid w:val="0077482D"/>
    <w:rsid w:val="00774EA9"/>
    <w:rsid w:val="00775965"/>
    <w:rsid w:val="007762B7"/>
    <w:rsid w:val="00776ED3"/>
    <w:rsid w:val="007809F4"/>
    <w:rsid w:val="00780FD2"/>
    <w:rsid w:val="007813A4"/>
    <w:rsid w:val="007840DF"/>
    <w:rsid w:val="0078483A"/>
    <w:rsid w:val="0078558C"/>
    <w:rsid w:val="00787E46"/>
    <w:rsid w:val="007900FF"/>
    <w:rsid w:val="007906F9"/>
    <w:rsid w:val="00790F21"/>
    <w:rsid w:val="007917EA"/>
    <w:rsid w:val="00794279"/>
    <w:rsid w:val="00795D6D"/>
    <w:rsid w:val="00796A8D"/>
    <w:rsid w:val="0079707D"/>
    <w:rsid w:val="0079747D"/>
    <w:rsid w:val="007974E5"/>
    <w:rsid w:val="007A0D3C"/>
    <w:rsid w:val="007A10E8"/>
    <w:rsid w:val="007A1233"/>
    <w:rsid w:val="007A22F5"/>
    <w:rsid w:val="007A251B"/>
    <w:rsid w:val="007A359F"/>
    <w:rsid w:val="007A56F7"/>
    <w:rsid w:val="007A5758"/>
    <w:rsid w:val="007A7492"/>
    <w:rsid w:val="007A7578"/>
    <w:rsid w:val="007A7FC9"/>
    <w:rsid w:val="007B0257"/>
    <w:rsid w:val="007B0576"/>
    <w:rsid w:val="007B109B"/>
    <w:rsid w:val="007B3273"/>
    <w:rsid w:val="007B39EE"/>
    <w:rsid w:val="007B411B"/>
    <w:rsid w:val="007B4ABB"/>
    <w:rsid w:val="007B53A6"/>
    <w:rsid w:val="007C0501"/>
    <w:rsid w:val="007C0F0B"/>
    <w:rsid w:val="007C15B7"/>
    <w:rsid w:val="007C4519"/>
    <w:rsid w:val="007C557F"/>
    <w:rsid w:val="007C68E3"/>
    <w:rsid w:val="007C7490"/>
    <w:rsid w:val="007D0ED1"/>
    <w:rsid w:val="007D2086"/>
    <w:rsid w:val="007D21CE"/>
    <w:rsid w:val="007D31ED"/>
    <w:rsid w:val="007D37FD"/>
    <w:rsid w:val="007D3DBB"/>
    <w:rsid w:val="007D5FD5"/>
    <w:rsid w:val="007E0092"/>
    <w:rsid w:val="007E178B"/>
    <w:rsid w:val="007E229A"/>
    <w:rsid w:val="007E5293"/>
    <w:rsid w:val="007E52E1"/>
    <w:rsid w:val="007E596A"/>
    <w:rsid w:val="007E6620"/>
    <w:rsid w:val="007F0F06"/>
    <w:rsid w:val="007F30DE"/>
    <w:rsid w:val="007F393A"/>
    <w:rsid w:val="007F3F9D"/>
    <w:rsid w:val="007F4E99"/>
    <w:rsid w:val="007F5024"/>
    <w:rsid w:val="007F60F6"/>
    <w:rsid w:val="0080263E"/>
    <w:rsid w:val="00802D93"/>
    <w:rsid w:val="00802EFC"/>
    <w:rsid w:val="008032AB"/>
    <w:rsid w:val="00804F2B"/>
    <w:rsid w:val="008053D1"/>
    <w:rsid w:val="00805709"/>
    <w:rsid w:val="00805BD9"/>
    <w:rsid w:val="00806A9D"/>
    <w:rsid w:val="008076EA"/>
    <w:rsid w:val="008116AE"/>
    <w:rsid w:val="00812994"/>
    <w:rsid w:val="00812CBF"/>
    <w:rsid w:val="00814F86"/>
    <w:rsid w:val="00815B85"/>
    <w:rsid w:val="00817E8B"/>
    <w:rsid w:val="008202BE"/>
    <w:rsid w:val="00822E30"/>
    <w:rsid w:val="00822F3F"/>
    <w:rsid w:val="00823221"/>
    <w:rsid w:val="00823A3A"/>
    <w:rsid w:val="008241EB"/>
    <w:rsid w:val="00824AE1"/>
    <w:rsid w:val="00824FF7"/>
    <w:rsid w:val="00826FD7"/>
    <w:rsid w:val="0082707E"/>
    <w:rsid w:val="008279F4"/>
    <w:rsid w:val="00833970"/>
    <w:rsid w:val="00833B40"/>
    <w:rsid w:val="00834424"/>
    <w:rsid w:val="00835780"/>
    <w:rsid w:val="00835B21"/>
    <w:rsid w:val="00836220"/>
    <w:rsid w:val="008367D9"/>
    <w:rsid w:val="00837AB1"/>
    <w:rsid w:val="00837C01"/>
    <w:rsid w:val="00842E87"/>
    <w:rsid w:val="00844A24"/>
    <w:rsid w:val="00844E78"/>
    <w:rsid w:val="00845001"/>
    <w:rsid w:val="00845D31"/>
    <w:rsid w:val="008469E5"/>
    <w:rsid w:val="0084720C"/>
    <w:rsid w:val="0084788C"/>
    <w:rsid w:val="00850C9C"/>
    <w:rsid w:val="008528CE"/>
    <w:rsid w:val="00852D9E"/>
    <w:rsid w:val="008530AE"/>
    <w:rsid w:val="00855B4D"/>
    <w:rsid w:val="00856A3C"/>
    <w:rsid w:val="00856E36"/>
    <w:rsid w:val="008572DF"/>
    <w:rsid w:val="00857FCF"/>
    <w:rsid w:val="00863264"/>
    <w:rsid w:val="00863A88"/>
    <w:rsid w:val="0086413F"/>
    <w:rsid w:val="008647EA"/>
    <w:rsid w:val="00864DD5"/>
    <w:rsid w:val="00866D5D"/>
    <w:rsid w:val="008671F7"/>
    <w:rsid w:val="00867E40"/>
    <w:rsid w:val="0087138F"/>
    <w:rsid w:val="00871A88"/>
    <w:rsid w:val="00871B8C"/>
    <w:rsid w:val="00872B8F"/>
    <w:rsid w:val="00874882"/>
    <w:rsid w:val="00874F5F"/>
    <w:rsid w:val="008757B8"/>
    <w:rsid w:val="0087662E"/>
    <w:rsid w:val="00876C01"/>
    <w:rsid w:val="00877367"/>
    <w:rsid w:val="00880AF6"/>
    <w:rsid w:val="00880E38"/>
    <w:rsid w:val="00881331"/>
    <w:rsid w:val="008815F7"/>
    <w:rsid w:val="0088488E"/>
    <w:rsid w:val="00886C89"/>
    <w:rsid w:val="00886FD9"/>
    <w:rsid w:val="00890648"/>
    <w:rsid w:val="00890F98"/>
    <w:rsid w:val="00891A1C"/>
    <w:rsid w:val="00892942"/>
    <w:rsid w:val="00893203"/>
    <w:rsid w:val="00894C63"/>
    <w:rsid w:val="008958BC"/>
    <w:rsid w:val="0089670F"/>
    <w:rsid w:val="008A04C6"/>
    <w:rsid w:val="008A21FA"/>
    <w:rsid w:val="008A26BC"/>
    <w:rsid w:val="008A2F00"/>
    <w:rsid w:val="008A3031"/>
    <w:rsid w:val="008A71EA"/>
    <w:rsid w:val="008B0CB1"/>
    <w:rsid w:val="008B144E"/>
    <w:rsid w:val="008B31F9"/>
    <w:rsid w:val="008B3647"/>
    <w:rsid w:val="008B4732"/>
    <w:rsid w:val="008B4D40"/>
    <w:rsid w:val="008B61E6"/>
    <w:rsid w:val="008B7D6B"/>
    <w:rsid w:val="008C1608"/>
    <w:rsid w:val="008C2344"/>
    <w:rsid w:val="008C2D9E"/>
    <w:rsid w:val="008C6AEC"/>
    <w:rsid w:val="008C6E80"/>
    <w:rsid w:val="008D0665"/>
    <w:rsid w:val="008D15B4"/>
    <w:rsid w:val="008D364D"/>
    <w:rsid w:val="008D3669"/>
    <w:rsid w:val="008D3775"/>
    <w:rsid w:val="008D3D72"/>
    <w:rsid w:val="008D4084"/>
    <w:rsid w:val="008D6182"/>
    <w:rsid w:val="008D6E09"/>
    <w:rsid w:val="008D76A3"/>
    <w:rsid w:val="008E0809"/>
    <w:rsid w:val="008E3067"/>
    <w:rsid w:val="008E5C08"/>
    <w:rsid w:val="008E70D1"/>
    <w:rsid w:val="008E784A"/>
    <w:rsid w:val="008E7F93"/>
    <w:rsid w:val="008F10A6"/>
    <w:rsid w:val="008F18AE"/>
    <w:rsid w:val="008F1DC1"/>
    <w:rsid w:val="008F2C22"/>
    <w:rsid w:val="008F2F37"/>
    <w:rsid w:val="008F5119"/>
    <w:rsid w:val="008F6924"/>
    <w:rsid w:val="0090070B"/>
    <w:rsid w:val="00901DDB"/>
    <w:rsid w:val="00904173"/>
    <w:rsid w:val="00904A13"/>
    <w:rsid w:val="00905A99"/>
    <w:rsid w:val="00911A44"/>
    <w:rsid w:val="00913CC5"/>
    <w:rsid w:val="00914111"/>
    <w:rsid w:val="00920BD2"/>
    <w:rsid w:val="00920C41"/>
    <w:rsid w:val="00921CA8"/>
    <w:rsid w:val="009226BE"/>
    <w:rsid w:val="00923642"/>
    <w:rsid w:val="00924870"/>
    <w:rsid w:val="00925B4A"/>
    <w:rsid w:val="00927695"/>
    <w:rsid w:val="00930E61"/>
    <w:rsid w:val="00931EB7"/>
    <w:rsid w:val="009345C4"/>
    <w:rsid w:val="0093538E"/>
    <w:rsid w:val="00935699"/>
    <w:rsid w:val="00935D71"/>
    <w:rsid w:val="00935F6C"/>
    <w:rsid w:val="0093663D"/>
    <w:rsid w:val="00936788"/>
    <w:rsid w:val="009409E5"/>
    <w:rsid w:val="00942C02"/>
    <w:rsid w:val="00944285"/>
    <w:rsid w:val="0094790B"/>
    <w:rsid w:val="00947C0D"/>
    <w:rsid w:val="00951E5D"/>
    <w:rsid w:val="00952378"/>
    <w:rsid w:val="00954F1E"/>
    <w:rsid w:val="00955B17"/>
    <w:rsid w:val="00956AE3"/>
    <w:rsid w:val="00956B3D"/>
    <w:rsid w:val="009573E9"/>
    <w:rsid w:val="00957DF1"/>
    <w:rsid w:val="0096110F"/>
    <w:rsid w:val="00961F96"/>
    <w:rsid w:val="00964601"/>
    <w:rsid w:val="009655D9"/>
    <w:rsid w:val="0096653F"/>
    <w:rsid w:val="00966E70"/>
    <w:rsid w:val="00971285"/>
    <w:rsid w:val="00973358"/>
    <w:rsid w:val="009733D3"/>
    <w:rsid w:val="00973E47"/>
    <w:rsid w:val="00974F38"/>
    <w:rsid w:val="0097504C"/>
    <w:rsid w:val="009751DF"/>
    <w:rsid w:val="009772BB"/>
    <w:rsid w:val="00977E97"/>
    <w:rsid w:val="0098206A"/>
    <w:rsid w:val="00982B22"/>
    <w:rsid w:val="009839EC"/>
    <w:rsid w:val="009840CD"/>
    <w:rsid w:val="00984CD9"/>
    <w:rsid w:val="00984CFA"/>
    <w:rsid w:val="00984DF1"/>
    <w:rsid w:val="00985378"/>
    <w:rsid w:val="00985C51"/>
    <w:rsid w:val="009864A6"/>
    <w:rsid w:val="00987DC2"/>
    <w:rsid w:val="00987F3A"/>
    <w:rsid w:val="00990047"/>
    <w:rsid w:val="00990430"/>
    <w:rsid w:val="00990F84"/>
    <w:rsid w:val="00992F05"/>
    <w:rsid w:val="00994694"/>
    <w:rsid w:val="00994B9A"/>
    <w:rsid w:val="00994C62"/>
    <w:rsid w:val="00995069"/>
    <w:rsid w:val="00995364"/>
    <w:rsid w:val="00996BC0"/>
    <w:rsid w:val="0099763A"/>
    <w:rsid w:val="009A0E97"/>
    <w:rsid w:val="009A12B8"/>
    <w:rsid w:val="009A1A5D"/>
    <w:rsid w:val="009A209E"/>
    <w:rsid w:val="009A29A4"/>
    <w:rsid w:val="009A3E2C"/>
    <w:rsid w:val="009A621D"/>
    <w:rsid w:val="009A6EDF"/>
    <w:rsid w:val="009A76AD"/>
    <w:rsid w:val="009A772F"/>
    <w:rsid w:val="009B3469"/>
    <w:rsid w:val="009B61B7"/>
    <w:rsid w:val="009B6B77"/>
    <w:rsid w:val="009B7961"/>
    <w:rsid w:val="009B7A3B"/>
    <w:rsid w:val="009B7A9B"/>
    <w:rsid w:val="009C08F5"/>
    <w:rsid w:val="009C43C7"/>
    <w:rsid w:val="009C46C0"/>
    <w:rsid w:val="009C5355"/>
    <w:rsid w:val="009C6BF5"/>
    <w:rsid w:val="009C6F73"/>
    <w:rsid w:val="009C7681"/>
    <w:rsid w:val="009D04AB"/>
    <w:rsid w:val="009D0BB8"/>
    <w:rsid w:val="009D18C8"/>
    <w:rsid w:val="009D1C04"/>
    <w:rsid w:val="009D2494"/>
    <w:rsid w:val="009D4C6F"/>
    <w:rsid w:val="009D6812"/>
    <w:rsid w:val="009D7799"/>
    <w:rsid w:val="009E160B"/>
    <w:rsid w:val="009E2318"/>
    <w:rsid w:val="009E411F"/>
    <w:rsid w:val="009E4539"/>
    <w:rsid w:val="009E4EC0"/>
    <w:rsid w:val="009E5BB0"/>
    <w:rsid w:val="009E5FDB"/>
    <w:rsid w:val="009F0C30"/>
    <w:rsid w:val="009F3F06"/>
    <w:rsid w:val="009F6E63"/>
    <w:rsid w:val="00A00768"/>
    <w:rsid w:val="00A027E5"/>
    <w:rsid w:val="00A02BA4"/>
    <w:rsid w:val="00A02C8F"/>
    <w:rsid w:val="00A03674"/>
    <w:rsid w:val="00A05227"/>
    <w:rsid w:val="00A058F1"/>
    <w:rsid w:val="00A05A63"/>
    <w:rsid w:val="00A070F9"/>
    <w:rsid w:val="00A11B94"/>
    <w:rsid w:val="00A12B65"/>
    <w:rsid w:val="00A1556A"/>
    <w:rsid w:val="00A15D6B"/>
    <w:rsid w:val="00A16617"/>
    <w:rsid w:val="00A171AE"/>
    <w:rsid w:val="00A2070A"/>
    <w:rsid w:val="00A216F2"/>
    <w:rsid w:val="00A227D8"/>
    <w:rsid w:val="00A2351B"/>
    <w:rsid w:val="00A24BA1"/>
    <w:rsid w:val="00A25CDA"/>
    <w:rsid w:val="00A26BA0"/>
    <w:rsid w:val="00A27ED6"/>
    <w:rsid w:val="00A30475"/>
    <w:rsid w:val="00A3077E"/>
    <w:rsid w:val="00A30A97"/>
    <w:rsid w:val="00A3372E"/>
    <w:rsid w:val="00A34781"/>
    <w:rsid w:val="00A37EB3"/>
    <w:rsid w:val="00A403EC"/>
    <w:rsid w:val="00A4097D"/>
    <w:rsid w:val="00A428A5"/>
    <w:rsid w:val="00A43B12"/>
    <w:rsid w:val="00A446D6"/>
    <w:rsid w:val="00A462D6"/>
    <w:rsid w:val="00A46656"/>
    <w:rsid w:val="00A50BD1"/>
    <w:rsid w:val="00A5438F"/>
    <w:rsid w:val="00A54AD6"/>
    <w:rsid w:val="00A54C3C"/>
    <w:rsid w:val="00A54E64"/>
    <w:rsid w:val="00A55DDB"/>
    <w:rsid w:val="00A567CE"/>
    <w:rsid w:val="00A5700D"/>
    <w:rsid w:val="00A571E3"/>
    <w:rsid w:val="00A61BB1"/>
    <w:rsid w:val="00A6217E"/>
    <w:rsid w:val="00A63406"/>
    <w:rsid w:val="00A63B6B"/>
    <w:rsid w:val="00A653AB"/>
    <w:rsid w:val="00A67077"/>
    <w:rsid w:val="00A70D78"/>
    <w:rsid w:val="00A712E9"/>
    <w:rsid w:val="00A74C98"/>
    <w:rsid w:val="00A74CD9"/>
    <w:rsid w:val="00A74F33"/>
    <w:rsid w:val="00A77786"/>
    <w:rsid w:val="00A778FE"/>
    <w:rsid w:val="00A8099E"/>
    <w:rsid w:val="00A8169C"/>
    <w:rsid w:val="00A818B7"/>
    <w:rsid w:val="00A82DD7"/>
    <w:rsid w:val="00A83B5A"/>
    <w:rsid w:val="00A83F07"/>
    <w:rsid w:val="00A8416D"/>
    <w:rsid w:val="00A84E6D"/>
    <w:rsid w:val="00A85C7E"/>
    <w:rsid w:val="00A85DEC"/>
    <w:rsid w:val="00A909F1"/>
    <w:rsid w:val="00A9103F"/>
    <w:rsid w:val="00A926B7"/>
    <w:rsid w:val="00A95B6A"/>
    <w:rsid w:val="00A95D57"/>
    <w:rsid w:val="00A95E32"/>
    <w:rsid w:val="00A9651D"/>
    <w:rsid w:val="00A96D20"/>
    <w:rsid w:val="00AA0F97"/>
    <w:rsid w:val="00AA3395"/>
    <w:rsid w:val="00AA3BE7"/>
    <w:rsid w:val="00AA4653"/>
    <w:rsid w:val="00AA55B5"/>
    <w:rsid w:val="00AA56F6"/>
    <w:rsid w:val="00AA76A4"/>
    <w:rsid w:val="00AB0FEA"/>
    <w:rsid w:val="00AB1AF1"/>
    <w:rsid w:val="00AB1D72"/>
    <w:rsid w:val="00AB258B"/>
    <w:rsid w:val="00AB2A43"/>
    <w:rsid w:val="00AB2C6B"/>
    <w:rsid w:val="00AB3356"/>
    <w:rsid w:val="00AB4B0E"/>
    <w:rsid w:val="00AB4F6D"/>
    <w:rsid w:val="00AB68D9"/>
    <w:rsid w:val="00AC0453"/>
    <w:rsid w:val="00AC1A73"/>
    <w:rsid w:val="00AC1D74"/>
    <w:rsid w:val="00AC47E3"/>
    <w:rsid w:val="00AC4C3B"/>
    <w:rsid w:val="00AC4F4D"/>
    <w:rsid w:val="00AC5139"/>
    <w:rsid w:val="00AC611A"/>
    <w:rsid w:val="00AC7D95"/>
    <w:rsid w:val="00AD079F"/>
    <w:rsid w:val="00AD2A30"/>
    <w:rsid w:val="00AD2C75"/>
    <w:rsid w:val="00AD2F60"/>
    <w:rsid w:val="00AD31E8"/>
    <w:rsid w:val="00AD337D"/>
    <w:rsid w:val="00AD348D"/>
    <w:rsid w:val="00AD589B"/>
    <w:rsid w:val="00AD5FD5"/>
    <w:rsid w:val="00AD70DF"/>
    <w:rsid w:val="00AD79D1"/>
    <w:rsid w:val="00AE17BB"/>
    <w:rsid w:val="00AE2BA5"/>
    <w:rsid w:val="00AE4FFF"/>
    <w:rsid w:val="00AE5628"/>
    <w:rsid w:val="00AE708F"/>
    <w:rsid w:val="00AE7C65"/>
    <w:rsid w:val="00AF122F"/>
    <w:rsid w:val="00AF1BBB"/>
    <w:rsid w:val="00AF3401"/>
    <w:rsid w:val="00AF3E86"/>
    <w:rsid w:val="00AF4D1F"/>
    <w:rsid w:val="00AF5B51"/>
    <w:rsid w:val="00AF641E"/>
    <w:rsid w:val="00AF6AFA"/>
    <w:rsid w:val="00AF6E3B"/>
    <w:rsid w:val="00AF6EF9"/>
    <w:rsid w:val="00AF7972"/>
    <w:rsid w:val="00B00FE5"/>
    <w:rsid w:val="00B01A70"/>
    <w:rsid w:val="00B024A5"/>
    <w:rsid w:val="00B034DB"/>
    <w:rsid w:val="00B03900"/>
    <w:rsid w:val="00B03C0E"/>
    <w:rsid w:val="00B0437F"/>
    <w:rsid w:val="00B044D8"/>
    <w:rsid w:val="00B048AB"/>
    <w:rsid w:val="00B04C4B"/>
    <w:rsid w:val="00B0578B"/>
    <w:rsid w:val="00B06A41"/>
    <w:rsid w:val="00B10CFD"/>
    <w:rsid w:val="00B1241F"/>
    <w:rsid w:val="00B13DAE"/>
    <w:rsid w:val="00B1510F"/>
    <w:rsid w:val="00B177D0"/>
    <w:rsid w:val="00B21577"/>
    <w:rsid w:val="00B2281E"/>
    <w:rsid w:val="00B23CDC"/>
    <w:rsid w:val="00B24D09"/>
    <w:rsid w:val="00B25EB0"/>
    <w:rsid w:val="00B26EB4"/>
    <w:rsid w:val="00B27E4D"/>
    <w:rsid w:val="00B312D2"/>
    <w:rsid w:val="00B33058"/>
    <w:rsid w:val="00B4284F"/>
    <w:rsid w:val="00B440E0"/>
    <w:rsid w:val="00B44418"/>
    <w:rsid w:val="00B47B09"/>
    <w:rsid w:val="00B50E17"/>
    <w:rsid w:val="00B51CE1"/>
    <w:rsid w:val="00B52444"/>
    <w:rsid w:val="00B52542"/>
    <w:rsid w:val="00B52E3A"/>
    <w:rsid w:val="00B53E2F"/>
    <w:rsid w:val="00B54510"/>
    <w:rsid w:val="00B54BC1"/>
    <w:rsid w:val="00B56AB9"/>
    <w:rsid w:val="00B56BCE"/>
    <w:rsid w:val="00B5740D"/>
    <w:rsid w:val="00B574C5"/>
    <w:rsid w:val="00B5765E"/>
    <w:rsid w:val="00B576AB"/>
    <w:rsid w:val="00B60CD4"/>
    <w:rsid w:val="00B61B4F"/>
    <w:rsid w:val="00B62695"/>
    <w:rsid w:val="00B62711"/>
    <w:rsid w:val="00B63699"/>
    <w:rsid w:val="00B64252"/>
    <w:rsid w:val="00B64437"/>
    <w:rsid w:val="00B64D38"/>
    <w:rsid w:val="00B66450"/>
    <w:rsid w:val="00B67A7C"/>
    <w:rsid w:val="00B71807"/>
    <w:rsid w:val="00B72D8C"/>
    <w:rsid w:val="00B740BA"/>
    <w:rsid w:val="00B74D4E"/>
    <w:rsid w:val="00B756EC"/>
    <w:rsid w:val="00B75F3B"/>
    <w:rsid w:val="00B800DF"/>
    <w:rsid w:val="00B804A1"/>
    <w:rsid w:val="00B807CF"/>
    <w:rsid w:val="00B82ADA"/>
    <w:rsid w:val="00B8300F"/>
    <w:rsid w:val="00B84950"/>
    <w:rsid w:val="00B86992"/>
    <w:rsid w:val="00B9094D"/>
    <w:rsid w:val="00B91107"/>
    <w:rsid w:val="00B91343"/>
    <w:rsid w:val="00B919CA"/>
    <w:rsid w:val="00B91B4E"/>
    <w:rsid w:val="00B951F0"/>
    <w:rsid w:val="00B95902"/>
    <w:rsid w:val="00B9639A"/>
    <w:rsid w:val="00B9660E"/>
    <w:rsid w:val="00B969B9"/>
    <w:rsid w:val="00B97CC2"/>
    <w:rsid w:val="00BA024F"/>
    <w:rsid w:val="00BA1D19"/>
    <w:rsid w:val="00BA311D"/>
    <w:rsid w:val="00BA5624"/>
    <w:rsid w:val="00BA5995"/>
    <w:rsid w:val="00BA5CD3"/>
    <w:rsid w:val="00BA5E2B"/>
    <w:rsid w:val="00BA6C9A"/>
    <w:rsid w:val="00BA73E8"/>
    <w:rsid w:val="00BB3456"/>
    <w:rsid w:val="00BB391E"/>
    <w:rsid w:val="00BB435A"/>
    <w:rsid w:val="00BB455E"/>
    <w:rsid w:val="00BB4CB2"/>
    <w:rsid w:val="00BB6844"/>
    <w:rsid w:val="00BC0373"/>
    <w:rsid w:val="00BC2094"/>
    <w:rsid w:val="00BC2406"/>
    <w:rsid w:val="00BC619E"/>
    <w:rsid w:val="00BD045D"/>
    <w:rsid w:val="00BD0545"/>
    <w:rsid w:val="00BD41D4"/>
    <w:rsid w:val="00BD4D8A"/>
    <w:rsid w:val="00BD676B"/>
    <w:rsid w:val="00BD7286"/>
    <w:rsid w:val="00BD7890"/>
    <w:rsid w:val="00BE0BB5"/>
    <w:rsid w:val="00BE1D68"/>
    <w:rsid w:val="00BE2E09"/>
    <w:rsid w:val="00BE4D6C"/>
    <w:rsid w:val="00BE5881"/>
    <w:rsid w:val="00BE5B4C"/>
    <w:rsid w:val="00BE7E71"/>
    <w:rsid w:val="00BF1A3C"/>
    <w:rsid w:val="00BF2EBB"/>
    <w:rsid w:val="00BF43CE"/>
    <w:rsid w:val="00BF537C"/>
    <w:rsid w:val="00BF53A1"/>
    <w:rsid w:val="00BF5706"/>
    <w:rsid w:val="00BF5C9A"/>
    <w:rsid w:val="00C012D4"/>
    <w:rsid w:val="00C0482C"/>
    <w:rsid w:val="00C04830"/>
    <w:rsid w:val="00C05F1B"/>
    <w:rsid w:val="00C069AD"/>
    <w:rsid w:val="00C06F87"/>
    <w:rsid w:val="00C079CE"/>
    <w:rsid w:val="00C11486"/>
    <w:rsid w:val="00C127C9"/>
    <w:rsid w:val="00C144B5"/>
    <w:rsid w:val="00C14BEA"/>
    <w:rsid w:val="00C16415"/>
    <w:rsid w:val="00C20556"/>
    <w:rsid w:val="00C216A9"/>
    <w:rsid w:val="00C21AED"/>
    <w:rsid w:val="00C22386"/>
    <w:rsid w:val="00C236CA"/>
    <w:rsid w:val="00C24DCC"/>
    <w:rsid w:val="00C25AFF"/>
    <w:rsid w:val="00C25C9D"/>
    <w:rsid w:val="00C3019C"/>
    <w:rsid w:val="00C306BF"/>
    <w:rsid w:val="00C317D1"/>
    <w:rsid w:val="00C32562"/>
    <w:rsid w:val="00C33B4E"/>
    <w:rsid w:val="00C33BB2"/>
    <w:rsid w:val="00C33CBC"/>
    <w:rsid w:val="00C3738B"/>
    <w:rsid w:val="00C40356"/>
    <w:rsid w:val="00C42D4A"/>
    <w:rsid w:val="00C43A8E"/>
    <w:rsid w:val="00C4499A"/>
    <w:rsid w:val="00C46241"/>
    <w:rsid w:val="00C46405"/>
    <w:rsid w:val="00C466F9"/>
    <w:rsid w:val="00C47CCC"/>
    <w:rsid w:val="00C50355"/>
    <w:rsid w:val="00C503CE"/>
    <w:rsid w:val="00C51093"/>
    <w:rsid w:val="00C5193B"/>
    <w:rsid w:val="00C520C2"/>
    <w:rsid w:val="00C5221F"/>
    <w:rsid w:val="00C527A1"/>
    <w:rsid w:val="00C52AE5"/>
    <w:rsid w:val="00C53F72"/>
    <w:rsid w:val="00C55020"/>
    <w:rsid w:val="00C61855"/>
    <w:rsid w:val="00C626F7"/>
    <w:rsid w:val="00C64077"/>
    <w:rsid w:val="00C6430B"/>
    <w:rsid w:val="00C646EE"/>
    <w:rsid w:val="00C64C79"/>
    <w:rsid w:val="00C65155"/>
    <w:rsid w:val="00C66347"/>
    <w:rsid w:val="00C666FC"/>
    <w:rsid w:val="00C66763"/>
    <w:rsid w:val="00C66B8F"/>
    <w:rsid w:val="00C66CEC"/>
    <w:rsid w:val="00C75616"/>
    <w:rsid w:val="00C76ED6"/>
    <w:rsid w:val="00C802F0"/>
    <w:rsid w:val="00C82A99"/>
    <w:rsid w:val="00C8347A"/>
    <w:rsid w:val="00C83EDC"/>
    <w:rsid w:val="00C857E1"/>
    <w:rsid w:val="00C86803"/>
    <w:rsid w:val="00C87F6A"/>
    <w:rsid w:val="00C90D1A"/>
    <w:rsid w:val="00C920A7"/>
    <w:rsid w:val="00C92F7C"/>
    <w:rsid w:val="00C937B1"/>
    <w:rsid w:val="00CA0803"/>
    <w:rsid w:val="00CA34A9"/>
    <w:rsid w:val="00CA388E"/>
    <w:rsid w:val="00CA4F21"/>
    <w:rsid w:val="00CA6275"/>
    <w:rsid w:val="00CA7C31"/>
    <w:rsid w:val="00CA7C55"/>
    <w:rsid w:val="00CB0236"/>
    <w:rsid w:val="00CB0E61"/>
    <w:rsid w:val="00CB251C"/>
    <w:rsid w:val="00CB3121"/>
    <w:rsid w:val="00CB345F"/>
    <w:rsid w:val="00CB3739"/>
    <w:rsid w:val="00CB4A42"/>
    <w:rsid w:val="00CB74D1"/>
    <w:rsid w:val="00CC1B91"/>
    <w:rsid w:val="00CC1E03"/>
    <w:rsid w:val="00CC260D"/>
    <w:rsid w:val="00CC5DAE"/>
    <w:rsid w:val="00CC5E8D"/>
    <w:rsid w:val="00CC6086"/>
    <w:rsid w:val="00CD01AA"/>
    <w:rsid w:val="00CD18EC"/>
    <w:rsid w:val="00CD2340"/>
    <w:rsid w:val="00CD3984"/>
    <w:rsid w:val="00CD3EDA"/>
    <w:rsid w:val="00CD5663"/>
    <w:rsid w:val="00CD7C9E"/>
    <w:rsid w:val="00CE0C63"/>
    <w:rsid w:val="00CE1F96"/>
    <w:rsid w:val="00CE243B"/>
    <w:rsid w:val="00CE2A50"/>
    <w:rsid w:val="00CE3070"/>
    <w:rsid w:val="00CE43B4"/>
    <w:rsid w:val="00CE4A1F"/>
    <w:rsid w:val="00CE55DA"/>
    <w:rsid w:val="00CE5662"/>
    <w:rsid w:val="00CE6220"/>
    <w:rsid w:val="00CE72B9"/>
    <w:rsid w:val="00CF028D"/>
    <w:rsid w:val="00CF044A"/>
    <w:rsid w:val="00CF0474"/>
    <w:rsid w:val="00CF0E78"/>
    <w:rsid w:val="00CF3898"/>
    <w:rsid w:val="00CF75D3"/>
    <w:rsid w:val="00CF7F71"/>
    <w:rsid w:val="00D05759"/>
    <w:rsid w:val="00D07CFC"/>
    <w:rsid w:val="00D102EB"/>
    <w:rsid w:val="00D108EB"/>
    <w:rsid w:val="00D11744"/>
    <w:rsid w:val="00D1433B"/>
    <w:rsid w:val="00D14B7F"/>
    <w:rsid w:val="00D14E01"/>
    <w:rsid w:val="00D222EB"/>
    <w:rsid w:val="00D2374E"/>
    <w:rsid w:val="00D23A82"/>
    <w:rsid w:val="00D254BB"/>
    <w:rsid w:val="00D25E62"/>
    <w:rsid w:val="00D27372"/>
    <w:rsid w:val="00D3030E"/>
    <w:rsid w:val="00D30DB8"/>
    <w:rsid w:val="00D324C3"/>
    <w:rsid w:val="00D33908"/>
    <w:rsid w:val="00D35528"/>
    <w:rsid w:val="00D3554F"/>
    <w:rsid w:val="00D363B1"/>
    <w:rsid w:val="00D40CD5"/>
    <w:rsid w:val="00D42003"/>
    <w:rsid w:val="00D46093"/>
    <w:rsid w:val="00D462FD"/>
    <w:rsid w:val="00D47927"/>
    <w:rsid w:val="00D51320"/>
    <w:rsid w:val="00D51545"/>
    <w:rsid w:val="00D51B83"/>
    <w:rsid w:val="00D52C4F"/>
    <w:rsid w:val="00D530D5"/>
    <w:rsid w:val="00D54959"/>
    <w:rsid w:val="00D5534D"/>
    <w:rsid w:val="00D5768C"/>
    <w:rsid w:val="00D61079"/>
    <w:rsid w:val="00D62166"/>
    <w:rsid w:val="00D63143"/>
    <w:rsid w:val="00D63216"/>
    <w:rsid w:val="00D632C4"/>
    <w:rsid w:val="00D651B2"/>
    <w:rsid w:val="00D65F10"/>
    <w:rsid w:val="00D6636B"/>
    <w:rsid w:val="00D66882"/>
    <w:rsid w:val="00D66C77"/>
    <w:rsid w:val="00D6733D"/>
    <w:rsid w:val="00D678ED"/>
    <w:rsid w:val="00D7116B"/>
    <w:rsid w:val="00D711B5"/>
    <w:rsid w:val="00D72514"/>
    <w:rsid w:val="00D73565"/>
    <w:rsid w:val="00D75C64"/>
    <w:rsid w:val="00D75FFE"/>
    <w:rsid w:val="00D760F4"/>
    <w:rsid w:val="00D76A21"/>
    <w:rsid w:val="00D7790F"/>
    <w:rsid w:val="00D8067E"/>
    <w:rsid w:val="00D82AF7"/>
    <w:rsid w:val="00D82C39"/>
    <w:rsid w:val="00D832FB"/>
    <w:rsid w:val="00D85093"/>
    <w:rsid w:val="00D91C88"/>
    <w:rsid w:val="00D931AF"/>
    <w:rsid w:val="00D94D35"/>
    <w:rsid w:val="00D94E8E"/>
    <w:rsid w:val="00D96A1D"/>
    <w:rsid w:val="00D97575"/>
    <w:rsid w:val="00D97ED9"/>
    <w:rsid w:val="00DA0303"/>
    <w:rsid w:val="00DA03CE"/>
    <w:rsid w:val="00DA0440"/>
    <w:rsid w:val="00DA1FE0"/>
    <w:rsid w:val="00DA36E3"/>
    <w:rsid w:val="00DA3A3A"/>
    <w:rsid w:val="00DA466D"/>
    <w:rsid w:val="00DA5220"/>
    <w:rsid w:val="00DB1251"/>
    <w:rsid w:val="00DB1FAD"/>
    <w:rsid w:val="00DB4658"/>
    <w:rsid w:val="00DB6438"/>
    <w:rsid w:val="00DC1359"/>
    <w:rsid w:val="00DC2751"/>
    <w:rsid w:val="00DC28C0"/>
    <w:rsid w:val="00DC3E58"/>
    <w:rsid w:val="00DC4A06"/>
    <w:rsid w:val="00DC5CF3"/>
    <w:rsid w:val="00DC780D"/>
    <w:rsid w:val="00DD18A1"/>
    <w:rsid w:val="00DD2BAB"/>
    <w:rsid w:val="00DD44BC"/>
    <w:rsid w:val="00DD519E"/>
    <w:rsid w:val="00DD6D22"/>
    <w:rsid w:val="00DD76D7"/>
    <w:rsid w:val="00DE1407"/>
    <w:rsid w:val="00DE26F0"/>
    <w:rsid w:val="00DE443D"/>
    <w:rsid w:val="00DE4EEF"/>
    <w:rsid w:val="00DE4F12"/>
    <w:rsid w:val="00DE6103"/>
    <w:rsid w:val="00DE6653"/>
    <w:rsid w:val="00DE6F9D"/>
    <w:rsid w:val="00DE725C"/>
    <w:rsid w:val="00DF12DB"/>
    <w:rsid w:val="00DF259A"/>
    <w:rsid w:val="00DF2EA6"/>
    <w:rsid w:val="00DF5751"/>
    <w:rsid w:val="00DF5D83"/>
    <w:rsid w:val="00DF5E3A"/>
    <w:rsid w:val="00DF644F"/>
    <w:rsid w:val="00DF74BF"/>
    <w:rsid w:val="00DF75AD"/>
    <w:rsid w:val="00DF77C2"/>
    <w:rsid w:val="00E0123A"/>
    <w:rsid w:val="00E022B0"/>
    <w:rsid w:val="00E0254C"/>
    <w:rsid w:val="00E02D77"/>
    <w:rsid w:val="00E02E94"/>
    <w:rsid w:val="00E05516"/>
    <w:rsid w:val="00E06D2D"/>
    <w:rsid w:val="00E06EEA"/>
    <w:rsid w:val="00E100FD"/>
    <w:rsid w:val="00E1336B"/>
    <w:rsid w:val="00E139E1"/>
    <w:rsid w:val="00E141C0"/>
    <w:rsid w:val="00E151DA"/>
    <w:rsid w:val="00E1582C"/>
    <w:rsid w:val="00E1718F"/>
    <w:rsid w:val="00E1755E"/>
    <w:rsid w:val="00E2077A"/>
    <w:rsid w:val="00E229D0"/>
    <w:rsid w:val="00E22B0E"/>
    <w:rsid w:val="00E22F38"/>
    <w:rsid w:val="00E24553"/>
    <w:rsid w:val="00E31833"/>
    <w:rsid w:val="00E33467"/>
    <w:rsid w:val="00E35D01"/>
    <w:rsid w:val="00E360BF"/>
    <w:rsid w:val="00E37456"/>
    <w:rsid w:val="00E40727"/>
    <w:rsid w:val="00E40DE1"/>
    <w:rsid w:val="00E427EA"/>
    <w:rsid w:val="00E45AE7"/>
    <w:rsid w:val="00E45C08"/>
    <w:rsid w:val="00E503D8"/>
    <w:rsid w:val="00E517F1"/>
    <w:rsid w:val="00E527EC"/>
    <w:rsid w:val="00E53185"/>
    <w:rsid w:val="00E53599"/>
    <w:rsid w:val="00E535AB"/>
    <w:rsid w:val="00E53A1D"/>
    <w:rsid w:val="00E53D8A"/>
    <w:rsid w:val="00E54367"/>
    <w:rsid w:val="00E5454B"/>
    <w:rsid w:val="00E547E1"/>
    <w:rsid w:val="00E54842"/>
    <w:rsid w:val="00E56498"/>
    <w:rsid w:val="00E61282"/>
    <w:rsid w:val="00E62289"/>
    <w:rsid w:val="00E6344A"/>
    <w:rsid w:val="00E65522"/>
    <w:rsid w:val="00E66A74"/>
    <w:rsid w:val="00E67603"/>
    <w:rsid w:val="00E7065B"/>
    <w:rsid w:val="00E72334"/>
    <w:rsid w:val="00E731A8"/>
    <w:rsid w:val="00E76688"/>
    <w:rsid w:val="00E77CD7"/>
    <w:rsid w:val="00E80E93"/>
    <w:rsid w:val="00E8135A"/>
    <w:rsid w:val="00E81599"/>
    <w:rsid w:val="00E84927"/>
    <w:rsid w:val="00E8674B"/>
    <w:rsid w:val="00E86C31"/>
    <w:rsid w:val="00E8796D"/>
    <w:rsid w:val="00E87DF7"/>
    <w:rsid w:val="00E90715"/>
    <w:rsid w:val="00E9133F"/>
    <w:rsid w:val="00E92C09"/>
    <w:rsid w:val="00E932FB"/>
    <w:rsid w:val="00E94D9C"/>
    <w:rsid w:val="00E957F3"/>
    <w:rsid w:val="00E95E1F"/>
    <w:rsid w:val="00E9605A"/>
    <w:rsid w:val="00E9606A"/>
    <w:rsid w:val="00E97B4A"/>
    <w:rsid w:val="00E97F64"/>
    <w:rsid w:val="00EA0942"/>
    <w:rsid w:val="00EA0A2C"/>
    <w:rsid w:val="00EA0CD8"/>
    <w:rsid w:val="00EA2EFB"/>
    <w:rsid w:val="00EA369F"/>
    <w:rsid w:val="00EA44CF"/>
    <w:rsid w:val="00EA7858"/>
    <w:rsid w:val="00EB07EC"/>
    <w:rsid w:val="00EB0CD3"/>
    <w:rsid w:val="00EB16D2"/>
    <w:rsid w:val="00EB410B"/>
    <w:rsid w:val="00EB4D9D"/>
    <w:rsid w:val="00EB57BD"/>
    <w:rsid w:val="00EB7EE6"/>
    <w:rsid w:val="00EC0072"/>
    <w:rsid w:val="00EC0F6C"/>
    <w:rsid w:val="00EC4F16"/>
    <w:rsid w:val="00EC64A0"/>
    <w:rsid w:val="00EC6E2A"/>
    <w:rsid w:val="00ED0B4E"/>
    <w:rsid w:val="00ED0BED"/>
    <w:rsid w:val="00ED10BB"/>
    <w:rsid w:val="00ED4985"/>
    <w:rsid w:val="00ED4AD9"/>
    <w:rsid w:val="00ED5C1C"/>
    <w:rsid w:val="00ED7181"/>
    <w:rsid w:val="00EE0580"/>
    <w:rsid w:val="00EE13BD"/>
    <w:rsid w:val="00EE2299"/>
    <w:rsid w:val="00EE2633"/>
    <w:rsid w:val="00EE2656"/>
    <w:rsid w:val="00EE29A9"/>
    <w:rsid w:val="00EE3361"/>
    <w:rsid w:val="00EE3660"/>
    <w:rsid w:val="00EE3FA3"/>
    <w:rsid w:val="00EE49B8"/>
    <w:rsid w:val="00EE608B"/>
    <w:rsid w:val="00EE6FE8"/>
    <w:rsid w:val="00EE79E8"/>
    <w:rsid w:val="00EF057A"/>
    <w:rsid w:val="00EF0C12"/>
    <w:rsid w:val="00EF3701"/>
    <w:rsid w:val="00EF3804"/>
    <w:rsid w:val="00EF3B3B"/>
    <w:rsid w:val="00EF4A89"/>
    <w:rsid w:val="00EF61F5"/>
    <w:rsid w:val="00EF723F"/>
    <w:rsid w:val="00F0000C"/>
    <w:rsid w:val="00F01067"/>
    <w:rsid w:val="00F0149D"/>
    <w:rsid w:val="00F01530"/>
    <w:rsid w:val="00F01627"/>
    <w:rsid w:val="00F02756"/>
    <w:rsid w:val="00F02C8A"/>
    <w:rsid w:val="00F04725"/>
    <w:rsid w:val="00F0548B"/>
    <w:rsid w:val="00F06B3E"/>
    <w:rsid w:val="00F06E59"/>
    <w:rsid w:val="00F078B2"/>
    <w:rsid w:val="00F07D0A"/>
    <w:rsid w:val="00F144CA"/>
    <w:rsid w:val="00F14FFB"/>
    <w:rsid w:val="00F164E7"/>
    <w:rsid w:val="00F17162"/>
    <w:rsid w:val="00F206C4"/>
    <w:rsid w:val="00F246A0"/>
    <w:rsid w:val="00F26330"/>
    <w:rsid w:val="00F3054D"/>
    <w:rsid w:val="00F312BB"/>
    <w:rsid w:val="00F315AC"/>
    <w:rsid w:val="00F316CE"/>
    <w:rsid w:val="00F336FB"/>
    <w:rsid w:val="00F35CEC"/>
    <w:rsid w:val="00F37055"/>
    <w:rsid w:val="00F372FA"/>
    <w:rsid w:val="00F37372"/>
    <w:rsid w:val="00F375CF"/>
    <w:rsid w:val="00F37ABC"/>
    <w:rsid w:val="00F418AD"/>
    <w:rsid w:val="00F441F5"/>
    <w:rsid w:val="00F44367"/>
    <w:rsid w:val="00F44661"/>
    <w:rsid w:val="00F4780E"/>
    <w:rsid w:val="00F502C7"/>
    <w:rsid w:val="00F517C1"/>
    <w:rsid w:val="00F51E0D"/>
    <w:rsid w:val="00F52B6F"/>
    <w:rsid w:val="00F55054"/>
    <w:rsid w:val="00F556A8"/>
    <w:rsid w:val="00F55BB3"/>
    <w:rsid w:val="00F55C34"/>
    <w:rsid w:val="00F56597"/>
    <w:rsid w:val="00F56EA8"/>
    <w:rsid w:val="00F57536"/>
    <w:rsid w:val="00F57C4E"/>
    <w:rsid w:val="00F61906"/>
    <w:rsid w:val="00F62697"/>
    <w:rsid w:val="00F64B5F"/>
    <w:rsid w:val="00F64EA5"/>
    <w:rsid w:val="00F6559D"/>
    <w:rsid w:val="00F65E54"/>
    <w:rsid w:val="00F6661E"/>
    <w:rsid w:val="00F672EB"/>
    <w:rsid w:val="00F67948"/>
    <w:rsid w:val="00F70C05"/>
    <w:rsid w:val="00F71A39"/>
    <w:rsid w:val="00F71E8C"/>
    <w:rsid w:val="00F73621"/>
    <w:rsid w:val="00F73CB9"/>
    <w:rsid w:val="00F756E5"/>
    <w:rsid w:val="00F75DD3"/>
    <w:rsid w:val="00F763FA"/>
    <w:rsid w:val="00F80148"/>
    <w:rsid w:val="00F8068C"/>
    <w:rsid w:val="00F81F83"/>
    <w:rsid w:val="00F825FE"/>
    <w:rsid w:val="00F826FE"/>
    <w:rsid w:val="00F84B70"/>
    <w:rsid w:val="00F85006"/>
    <w:rsid w:val="00F867AA"/>
    <w:rsid w:val="00F8782C"/>
    <w:rsid w:val="00F90087"/>
    <w:rsid w:val="00F9092E"/>
    <w:rsid w:val="00F909CD"/>
    <w:rsid w:val="00F91565"/>
    <w:rsid w:val="00F94D1B"/>
    <w:rsid w:val="00F94E77"/>
    <w:rsid w:val="00F94F4E"/>
    <w:rsid w:val="00F95346"/>
    <w:rsid w:val="00F95F6D"/>
    <w:rsid w:val="00FA1333"/>
    <w:rsid w:val="00FA2A4A"/>
    <w:rsid w:val="00FA435B"/>
    <w:rsid w:val="00FA4DAE"/>
    <w:rsid w:val="00FA5533"/>
    <w:rsid w:val="00FA557E"/>
    <w:rsid w:val="00FA75B9"/>
    <w:rsid w:val="00FA78DD"/>
    <w:rsid w:val="00FA7963"/>
    <w:rsid w:val="00FB2780"/>
    <w:rsid w:val="00FB3376"/>
    <w:rsid w:val="00FB3472"/>
    <w:rsid w:val="00FB3749"/>
    <w:rsid w:val="00FB3FC5"/>
    <w:rsid w:val="00FB4CB1"/>
    <w:rsid w:val="00FB5290"/>
    <w:rsid w:val="00FB5D39"/>
    <w:rsid w:val="00FB6264"/>
    <w:rsid w:val="00FB7DC0"/>
    <w:rsid w:val="00FC230A"/>
    <w:rsid w:val="00FC2868"/>
    <w:rsid w:val="00FC37BC"/>
    <w:rsid w:val="00FC37F9"/>
    <w:rsid w:val="00FC5021"/>
    <w:rsid w:val="00FD0729"/>
    <w:rsid w:val="00FD434A"/>
    <w:rsid w:val="00FD649B"/>
    <w:rsid w:val="00FD6A3B"/>
    <w:rsid w:val="00FD6A3D"/>
    <w:rsid w:val="00FD6DB8"/>
    <w:rsid w:val="00FE09BC"/>
    <w:rsid w:val="00FE22D6"/>
    <w:rsid w:val="00FE2C24"/>
    <w:rsid w:val="00FE6644"/>
    <w:rsid w:val="00FE7424"/>
    <w:rsid w:val="00FE76C6"/>
    <w:rsid w:val="00FE7ECD"/>
    <w:rsid w:val="00FF0C1C"/>
    <w:rsid w:val="00FF0C6E"/>
    <w:rsid w:val="00FF1354"/>
    <w:rsid w:val="00FF5356"/>
    <w:rsid w:val="00FF58D8"/>
    <w:rsid w:val="00FF77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D7964"/>
  <w15:chartTrackingRefBased/>
  <w15:docId w15:val="{26676079-7170-4C91-9786-213E8B91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w:uiPriority="99"/>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E3A"/>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1"/>
    <w:basedOn w:val="Normal"/>
    <w:next w:val="Heading2"/>
    <w:link w:val="Heading1Char"/>
    <w:uiPriority w:val="99"/>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U"/>
    <w:basedOn w:val="Normal"/>
    <w:link w:val="Heading2Char"/>
    <w:qFormat/>
    <w:rsid w:val="00F0548B"/>
    <w:pPr>
      <w:numPr>
        <w:ilvl w:val="1"/>
        <w:numId w:val="2"/>
      </w:numPr>
      <w:tabs>
        <w:tab w:val="clear" w:pos="5671"/>
      </w:tabs>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pPr>
      <w:numPr>
        <w:ilvl w:val="2"/>
        <w:numId w:val="2"/>
      </w:numPr>
      <w:spacing w:after="240"/>
      <w:outlineLvl w:val="2"/>
    </w:p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qFormat/>
    <w:pPr>
      <w:numPr>
        <w:ilvl w:val="3"/>
        <w:numId w:val="2"/>
      </w:numPr>
      <w:spacing w:after="240"/>
      <w:outlineLvl w:val="3"/>
    </w:pPr>
  </w:style>
  <w:style w:type="paragraph" w:styleId="Heading5">
    <w:name w:val="heading 5"/>
    <w:aliases w:val="Block Label,H5,Sub4Para,Heading 5 StGeorge,Appendix,Level 3 - i,Level 5,L5,l5,Para5,h5,5,(A),heading 5,A,h51,h52,l5+toc5,s,ASAPHeading 5,Body Text (R),Appendix A to X,Heading 5   Appendix A to X,Appendix A to X1,Heading 5   Appendix A to X1"/>
    <w:basedOn w:val="Normal"/>
    <w:link w:val="Heading5Char"/>
    <w:qFormat/>
    <w:pPr>
      <w:numPr>
        <w:ilvl w:val="4"/>
        <w:numId w:val="2"/>
      </w:numPr>
      <w:spacing w:after="240"/>
      <w:outlineLvl w:val="4"/>
    </w:pPr>
  </w:style>
  <w:style w:type="paragraph" w:styleId="Heading6">
    <w:name w:val="heading 6"/>
    <w:aliases w:val="Sub5Para,L1 PIP,a,b,H6,Legal Level 1.,Level 6,(I),I"/>
    <w:basedOn w:val="Normal"/>
    <w:qFormat/>
    <w:pPr>
      <w:numPr>
        <w:ilvl w:val="5"/>
        <w:numId w:val="2"/>
      </w:numPr>
      <w:spacing w:after="240"/>
      <w:outlineLvl w:val="5"/>
    </w:pPr>
  </w:style>
  <w:style w:type="paragraph" w:styleId="Heading7">
    <w:name w:val="heading 7"/>
    <w:aliases w:val="L2 PIP,H7,Legal Level 1.1."/>
    <w:basedOn w:val="Normal"/>
    <w:qFormat/>
    <w:pPr>
      <w:spacing w:after="240"/>
      <w:ind w:left="737"/>
      <w:outlineLvl w:val="6"/>
    </w:pPr>
    <w:rPr>
      <w:rFonts w:ascii="Arial" w:hAnsi="Arial" w:cs="Arial"/>
      <w:sz w:val="18"/>
    </w:rPr>
  </w:style>
  <w:style w:type="paragraph" w:styleId="Heading8">
    <w:name w:val="heading 8"/>
    <w:aliases w:val="L3 PIP,H8,Legal Level 1.1.1.,Bullet 1"/>
    <w:basedOn w:val="Normal"/>
    <w:qFormat/>
    <w:pPr>
      <w:numPr>
        <w:ilvl w:val="7"/>
        <w:numId w:val="2"/>
      </w:numPr>
      <w:spacing w:after="240"/>
      <w:outlineLvl w:val="7"/>
    </w:pPr>
  </w:style>
  <w:style w:type="paragraph" w:styleId="Heading9">
    <w:name w:val="heading 9"/>
    <w:aliases w:val="H9,Legal Level 1.1.1.1.,number"/>
    <w:basedOn w:val="Normal"/>
    <w:qFormat/>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rsid w:val="00577363"/>
    <w:pPr>
      <w:tabs>
        <w:tab w:val="right" w:pos="8505"/>
      </w:tabs>
      <w:ind w:left="1474"/>
    </w:pPr>
    <w:rPr>
      <w:rFonts w:ascii="Arial" w:hAnsi="Arial"/>
      <w:noProof/>
      <w:sz w:val="21"/>
    </w:rPr>
  </w:style>
  <w:style w:type="paragraph" w:styleId="TOC1">
    <w:name w:val="toc 1"/>
    <w:basedOn w:val="Normal"/>
    <w:next w:val="Normal"/>
    <w:uiPriority w:val="39"/>
    <w:rsid w:val="00577363"/>
    <w:pPr>
      <w:keepNext/>
      <w:tabs>
        <w:tab w:val="right" w:pos="8505"/>
      </w:tabs>
      <w:spacing w:before="120"/>
      <w:ind w:left="1474" w:hanging="737"/>
    </w:pPr>
    <w:rPr>
      <w:rFonts w:ascii="Arial" w:hAnsi="Arial"/>
      <w:b/>
      <w:noProof/>
      <w:sz w:val="21"/>
    </w:rPr>
  </w:style>
  <w:style w:type="paragraph" w:styleId="TOC3">
    <w:name w:val="toc 3"/>
    <w:basedOn w:val="Normal"/>
    <w:next w:val="Normal"/>
    <w:uiPriority w:val="39"/>
    <w:rsid w:val="00577363"/>
    <w:pPr>
      <w:tabs>
        <w:tab w:val="right" w:pos="8505"/>
      </w:tabs>
      <w:spacing w:before="120"/>
      <w:ind w:left="737" w:right="1701"/>
    </w:pPr>
    <w:rPr>
      <w:rFonts w:ascii="Arial" w:hAnsi="Arial"/>
      <w:b/>
      <w:noProof/>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link w:val="HeaderChar"/>
    <w:uiPriority w:val="99"/>
    <w:rPr>
      <w:rFonts w:ascii="Arial" w:hAnsi="Arial"/>
      <w:b/>
      <w:sz w:val="36"/>
    </w:rPr>
  </w:style>
  <w:style w:type="paragraph" w:styleId="Footer">
    <w:name w:val="footer"/>
    <w:basedOn w:val="Normal"/>
    <w:link w:val="FooterChar"/>
    <w:uiPriority w:val="99"/>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link w:val="BalloonTextChar"/>
    <w:uiPriority w:val="99"/>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Body-Highlight">
    <w:name w:val="Body-Highlight"/>
    <w:basedOn w:val="Normal"/>
    <w:pPr>
      <w:spacing w:before="120" w:after="120"/>
    </w:pPr>
    <w:rPr>
      <w:sz w:val="20"/>
    </w:rPr>
  </w:style>
  <w:style w:type="paragraph" w:customStyle="1" w:styleId="Mick1">
    <w:name w:val="Mick 1"/>
    <w:basedOn w:val="Normal"/>
    <w:pPr>
      <w:spacing w:before="120" w:after="120"/>
    </w:pPr>
    <w:rPr>
      <w:b/>
      <w:sz w:val="20"/>
    </w:rPr>
  </w:style>
  <w:style w:type="paragraph" w:customStyle="1" w:styleId="S">
    <w:name w:val="S"/>
    <w:basedOn w:val="Normal"/>
    <w:pPr>
      <w:spacing w:before="120" w:after="120"/>
    </w:pPr>
    <w:rPr>
      <w:sz w:val="20"/>
    </w:rPr>
  </w:style>
  <w:style w:type="paragraph" w:customStyle="1" w:styleId="I3">
    <w:name w:val="I3"/>
    <w:pPr>
      <w:ind w:left="1077" w:hanging="340"/>
    </w:pPr>
    <w:rPr>
      <w:rFonts w:ascii="Times New Roman" w:hAnsi="Times New Roman"/>
      <w:sz w:val="22"/>
      <w:lang w:val="en-GB" w:eastAsia="en-US"/>
    </w:rPr>
  </w:style>
  <w:style w:type="paragraph" w:customStyle="1" w:styleId="textend">
    <w:name w:val="textend"/>
    <w:basedOn w:val="Normal"/>
    <w:pPr>
      <w:spacing w:after="300"/>
      <w:ind w:left="1418"/>
    </w:pPr>
    <w:rPr>
      <w:sz w:val="24"/>
    </w:rPr>
  </w:style>
  <w:style w:type="paragraph" w:customStyle="1" w:styleId="ArialN16">
    <w:name w:val="ArialN16"/>
    <w:basedOn w:val="Normal"/>
    <w:pPr>
      <w:spacing w:before="120" w:after="120"/>
    </w:pPr>
    <w:rPr>
      <w:rFonts w:ascii="Arial Narrow" w:hAnsi="Arial Narrow"/>
      <w:b/>
      <w:sz w:val="32"/>
    </w:rPr>
  </w:style>
  <w:style w:type="paragraph" w:customStyle="1" w:styleId="n3a">
    <w:name w:val="n3a"/>
    <w:basedOn w:val="Normal"/>
    <w:pPr>
      <w:tabs>
        <w:tab w:val="left" w:pos="2160"/>
        <w:tab w:val="decimal" w:pos="8107"/>
      </w:tabs>
      <w:spacing w:before="120" w:after="120"/>
      <w:ind w:left="2160" w:hanging="533"/>
      <w:jc w:val="both"/>
    </w:pPr>
    <w:rPr>
      <w:sz w:val="20"/>
    </w:rPr>
  </w:style>
  <w:style w:type="paragraph" w:customStyle="1" w:styleId="3aindtab">
    <w:name w:val="3aindtab"/>
    <w:basedOn w:val="Normal"/>
    <w:pPr>
      <w:tabs>
        <w:tab w:val="left" w:pos="3600"/>
        <w:tab w:val="left" w:pos="5040"/>
      </w:tabs>
      <w:spacing w:before="120" w:after="120"/>
      <w:ind w:left="2160" w:right="2160" w:hanging="533"/>
      <w:jc w:val="both"/>
    </w:pPr>
    <w:rPr>
      <w:sz w:val="20"/>
    </w:rPr>
  </w:style>
  <w:style w:type="paragraph" w:customStyle="1" w:styleId="4coltab">
    <w:name w:val="4coltab"/>
    <w:basedOn w:val="Normal"/>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10">
    <w:name w:val="Normal1"/>
    <w:basedOn w:val="Normal"/>
    <w:pPr>
      <w:spacing w:before="120" w:after="120"/>
    </w:pPr>
    <w:rPr>
      <w:b/>
      <w:sz w:val="22"/>
    </w:rPr>
  </w:style>
  <w:style w:type="paragraph" w:customStyle="1" w:styleId="Bullet1">
    <w:name w:val="Bullet1"/>
    <w:basedOn w:val="Normal"/>
    <w:next w:val="Normal"/>
    <w:pPr>
      <w:tabs>
        <w:tab w:val="left" w:pos="851"/>
      </w:tabs>
      <w:spacing w:before="120" w:after="120" w:line="360" w:lineRule="auto"/>
      <w:ind w:left="851" w:hanging="425"/>
    </w:pPr>
    <w:rPr>
      <w:sz w:val="26"/>
    </w:rPr>
  </w:style>
  <w:style w:type="paragraph" w:customStyle="1" w:styleId="MAINTITLES">
    <w:name w:val="MAIN TITLES"/>
    <w:pPr>
      <w:spacing w:line="-240" w:lineRule="auto"/>
      <w:jc w:val="center"/>
    </w:pPr>
    <w:rPr>
      <w:rFonts w:ascii="CG Times (W1)" w:hAnsi="CG Times (W1)"/>
      <w:b/>
      <w:sz w:val="28"/>
      <w:lang w:eastAsia="en-US"/>
    </w:rPr>
  </w:style>
  <w:style w:type="paragraph" w:customStyle="1" w:styleId="definitions">
    <w:name w:val="definitions"/>
    <w:basedOn w:val="Normal"/>
    <w:pPr>
      <w:tabs>
        <w:tab w:val="left" w:pos="3690"/>
      </w:tabs>
      <w:ind w:left="3690" w:hanging="3690"/>
    </w:pPr>
    <w:rPr>
      <w:sz w:val="22"/>
      <w:lang w:val="en-US"/>
    </w:rPr>
  </w:style>
  <w:style w:type="paragraph" w:customStyle="1" w:styleId="bulletstart">
    <w:name w:val="bulletstart"/>
    <w:basedOn w:val="text"/>
    <w:next w:val="bullet"/>
    <w:pPr>
      <w:tabs>
        <w:tab w:val="clear" w:pos="709"/>
      </w:tabs>
      <w:spacing w:before="0" w:after="120"/>
    </w:pPr>
    <w:rPr>
      <w:rFonts w:ascii="Times New Roman" w:hAnsi="Times New Roman"/>
    </w:rPr>
  </w:style>
  <w:style w:type="paragraph" w:customStyle="1" w:styleId="bulletsub">
    <w:name w:val="bulletsub"/>
    <w:basedOn w:val="Normal"/>
    <w:pPr>
      <w:spacing w:before="120" w:after="60"/>
      <w:ind w:left="2144" w:hanging="357"/>
    </w:pPr>
    <w:rPr>
      <w:sz w:val="24"/>
    </w:rPr>
  </w:style>
  <w:style w:type="paragraph" w:customStyle="1" w:styleId="define">
    <w:name w:val="define"/>
    <w:basedOn w:val="Normal"/>
    <w:pPr>
      <w:spacing w:before="120" w:after="180"/>
    </w:pPr>
    <w:rPr>
      <w:sz w:val="24"/>
    </w:rPr>
  </w:style>
  <w:style w:type="paragraph" w:customStyle="1" w:styleId="bulletend">
    <w:name w:val="bulletend"/>
    <w:basedOn w:val="bullet"/>
    <w:next w:val="text"/>
    <w:pPr>
      <w:spacing w:after="180"/>
    </w:pPr>
  </w:style>
  <w:style w:type="paragraph" w:customStyle="1" w:styleId="Mick2">
    <w:name w:val="Mick 2"/>
    <w:basedOn w:val="Normal"/>
    <w:pPr>
      <w:spacing w:before="120" w:after="120"/>
    </w:pPr>
    <w:rPr>
      <w:b/>
      <w:sz w:val="20"/>
    </w:rPr>
  </w:style>
  <w:style w:type="paragraph" w:customStyle="1" w:styleId="ppptext">
    <w:name w:val="ppptext"/>
    <w:basedOn w:val="Normal"/>
    <w:pPr>
      <w:spacing w:before="120" w:after="120"/>
      <w:ind w:left="720"/>
    </w:pPr>
    <w:rPr>
      <w:sz w:val="20"/>
    </w:rPr>
  </w:style>
  <w:style w:type="paragraph" w:customStyle="1" w:styleId="Heading2Text">
    <w:name w:val="Heading 2 Text"/>
    <w:basedOn w:val="Normal"/>
    <w:pPr>
      <w:spacing w:before="120" w:after="240"/>
      <w:ind w:left="720"/>
      <w:jc w:val="both"/>
    </w:pPr>
    <w:rPr>
      <w:sz w:val="22"/>
      <w:lang w:val="en-US"/>
    </w:rPr>
  </w:style>
  <w:style w:type="paragraph" w:customStyle="1" w:styleId="Head3">
    <w:name w:val="Head3"/>
    <w:basedOn w:val="Heading3"/>
    <w:pPr>
      <w:keepNext/>
      <w:widowControl w:val="0"/>
      <w:numPr>
        <w:ilvl w:val="0"/>
        <w:numId w:val="0"/>
      </w:numPr>
      <w:pBdr>
        <w:bottom w:val="single" w:sz="6" w:space="1" w:color="auto"/>
      </w:pBdr>
      <w:tabs>
        <w:tab w:val="left" w:pos="1304"/>
        <w:tab w:val="left" w:pos="2722"/>
        <w:tab w:val="left" w:pos="4196"/>
        <w:tab w:val="left" w:pos="4933"/>
      </w:tabs>
      <w:spacing w:before="20" w:after="20"/>
      <w:jc w:val="both"/>
    </w:pPr>
    <w:rPr>
      <w:rFonts w:ascii="Arial" w:hAnsi="Arial"/>
      <w:b/>
      <w:caps/>
      <w:sz w:val="18"/>
    </w:rPr>
  </w:style>
  <w:style w:type="paragraph" w:customStyle="1" w:styleId="Heading0">
    <w:name w:val="Heading 0"/>
    <w:basedOn w:val="Normal"/>
    <w:next w:val="Normal"/>
    <w:pPr>
      <w:tabs>
        <w:tab w:val="left" w:pos="567"/>
      </w:tabs>
      <w:spacing w:before="120" w:after="120"/>
    </w:pPr>
    <w:rPr>
      <w:rFonts w:ascii="Century" w:hAnsi="Century"/>
      <w:b/>
      <w:sz w:val="20"/>
      <w:lang w:val="en-GB"/>
    </w:rPr>
  </w:style>
  <w:style w:type="paragraph" w:customStyle="1" w:styleId="Body-NextToHeading2">
    <w:name w:val="Body-NextToHeading2"/>
    <w:pPr>
      <w:keepLines/>
      <w:spacing w:before="300" w:line="300" w:lineRule="atLeast"/>
    </w:pPr>
    <w:rPr>
      <w:rFonts w:ascii="Times New Roman" w:hAnsi="Times New Roman"/>
      <w:sz w:val="23"/>
      <w:lang w:eastAsia="en-US"/>
    </w:rPr>
  </w:style>
  <w:style w:type="paragraph" w:customStyle="1" w:styleId="Indent10">
    <w:name w:val="Indent1"/>
    <w:basedOn w:val="Normal"/>
    <w:next w:val="Normal"/>
    <w:pPr>
      <w:spacing w:before="120" w:after="120"/>
      <w:ind w:left="737"/>
    </w:pPr>
    <w:rPr>
      <w:sz w:val="20"/>
      <w:lang w:val="en-US"/>
    </w:rPr>
  </w:style>
  <w:style w:type="paragraph" w:customStyle="1" w:styleId="ContentsTitle">
    <w:name w:val="ContentsTitle"/>
    <w:basedOn w:val="Normal"/>
    <w:next w:val="Normal"/>
    <w:pPr>
      <w:pBdr>
        <w:bottom w:val="single" w:sz="18" w:space="2" w:color="auto"/>
      </w:pBdr>
      <w:tabs>
        <w:tab w:val="left" w:pos="2722"/>
      </w:tabs>
      <w:spacing w:before="120" w:after="40"/>
      <w:ind w:left="2722" w:hanging="2722"/>
    </w:pPr>
    <w:rPr>
      <w:rFonts w:ascii="Arial Narrow" w:hAnsi="Arial Narrow"/>
      <w:b/>
      <w:sz w:val="32"/>
    </w:rPr>
  </w:style>
  <w:style w:type="paragraph" w:customStyle="1" w:styleId="DocTitle">
    <w:name w:val="DocTitle"/>
    <w:basedOn w:val="Normal"/>
    <w:next w:val="Normal"/>
    <w:pPr>
      <w:tabs>
        <w:tab w:val="left" w:pos="2722"/>
      </w:tabs>
      <w:spacing w:before="120" w:after="120"/>
      <w:ind w:left="2722"/>
    </w:pPr>
    <w:rPr>
      <w:rFonts w:ascii="Arial Narrow" w:hAnsi="Arial Narrow"/>
      <w:b/>
      <w:sz w:val="34"/>
    </w:rPr>
  </w:style>
  <w:style w:type="paragraph" w:customStyle="1" w:styleId="Title1">
    <w:name w:val="Title1"/>
    <w:basedOn w:val="Normal"/>
    <w:pPr>
      <w:spacing w:before="120" w:after="120"/>
      <w:jc w:val="center"/>
    </w:pPr>
    <w:rPr>
      <w:rFonts w:ascii="Arial Narrow" w:hAnsi="Arial Narrow"/>
      <w:b/>
      <w:sz w:val="32"/>
    </w:rPr>
  </w:style>
  <w:style w:type="paragraph" w:customStyle="1" w:styleId="TOC91">
    <w:name w:val="TOC 91"/>
    <w:basedOn w:val="Normal"/>
    <w:next w:val="Normal"/>
    <w:pPr>
      <w:tabs>
        <w:tab w:val="right" w:pos="9070"/>
      </w:tabs>
      <w:spacing w:before="120" w:after="120"/>
      <w:ind w:left="1840"/>
    </w:pPr>
    <w:rPr>
      <w:sz w:val="20"/>
    </w:rPr>
  </w:style>
  <w:style w:type="paragraph" w:customStyle="1" w:styleId="NormalIndent2">
    <w:name w:val="Normal Indent2"/>
    <w:basedOn w:val="Normal"/>
    <w:next w:val="NormalIndent"/>
    <w:pPr>
      <w:spacing w:before="120" w:after="120"/>
      <w:ind w:left="1474"/>
    </w:pPr>
    <w:rPr>
      <w:sz w:val="20"/>
    </w:rPr>
  </w:style>
  <w:style w:type="paragraph" w:customStyle="1" w:styleId="Indent20">
    <w:name w:val="Indent2"/>
    <w:basedOn w:val="Normal"/>
    <w:next w:val="Normal"/>
    <w:pPr>
      <w:spacing w:before="120" w:after="120"/>
      <w:ind w:left="1474"/>
    </w:pPr>
    <w:rPr>
      <w:sz w:val="20"/>
    </w:rPr>
  </w:style>
  <w:style w:type="paragraph" w:customStyle="1" w:styleId="Indent30">
    <w:name w:val="Indent3"/>
    <w:basedOn w:val="Normal"/>
    <w:next w:val="Normal"/>
    <w:pPr>
      <w:spacing w:before="120" w:after="120"/>
      <w:ind w:left="2211"/>
    </w:pPr>
    <w:rPr>
      <w:sz w:val="20"/>
    </w:rPr>
  </w:style>
  <w:style w:type="paragraph" w:customStyle="1" w:styleId="NormalIndent3">
    <w:name w:val="Normal Indent 3"/>
    <w:basedOn w:val="Normal"/>
    <w:next w:val="Normal"/>
    <w:pPr>
      <w:spacing w:before="120" w:after="120"/>
      <w:ind w:left="2211"/>
    </w:pPr>
    <w:rPr>
      <w:sz w:val="20"/>
    </w:rPr>
  </w:style>
  <w:style w:type="paragraph" w:customStyle="1" w:styleId="NormalIndent4">
    <w:name w:val="Normal Indent 4"/>
    <w:basedOn w:val="Normal"/>
    <w:pPr>
      <w:spacing w:before="120" w:after="120"/>
      <w:ind w:left="2948"/>
    </w:pPr>
    <w:rPr>
      <w:sz w:val="20"/>
    </w:rPr>
  </w:style>
  <w:style w:type="paragraph" w:customStyle="1" w:styleId="Indent40">
    <w:name w:val="Indent4"/>
    <w:basedOn w:val="Normal"/>
    <w:next w:val="Normal"/>
    <w:pPr>
      <w:spacing w:before="120" w:after="120"/>
      <w:ind w:left="2948"/>
    </w:pPr>
    <w:rPr>
      <w:sz w:val="20"/>
    </w:rPr>
  </w:style>
  <w:style w:type="paragraph" w:customStyle="1" w:styleId="Head14BHelv">
    <w:name w:val="Head14BHelv"/>
    <w:basedOn w:val="Normal"/>
    <w:next w:val="Normal"/>
    <w:pPr>
      <w:spacing w:before="120" w:after="120"/>
      <w:jc w:val="both"/>
    </w:pPr>
    <w:rPr>
      <w:rFonts w:ascii="Helvetica" w:hAnsi="Helvetica"/>
      <w:b/>
      <w:sz w:val="28"/>
    </w:rPr>
  </w:style>
  <w:style w:type="paragraph" w:customStyle="1" w:styleId="Head12BHelv">
    <w:name w:val="Head12BHelv"/>
    <w:basedOn w:val="Head14BHelv"/>
    <w:next w:val="Normal"/>
    <w:rPr>
      <w:sz w:val="24"/>
    </w:rPr>
  </w:style>
  <w:style w:type="paragraph" w:customStyle="1" w:styleId="Head4txt">
    <w:name w:val="Head4txt"/>
    <w:basedOn w:val="Heading4"/>
    <w:pPr>
      <w:keepNext/>
      <w:keepLines/>
      <w:numPr>
        <w:ilvl w:val="0"/>
        <w:numId w:val="0"/>
      </w:numPr>
      <w:spacing w:before="360" w:after="0"/>
      <w:ind w:left="1985"/>
      <w:jc w:val="both"/>
      <w:outlineLvl w:val="9"/>
    </w:pPr>
    <w:rPr>
      <w:rFonts w:ascii="CG Times (E1)" w:hAnsi="CG Times (E1)"/>
      <w:sz w:val="20"/>
      <w:lang w:val="en-GB"/>
    </w:rPr>
  </w:style>
  <w:style w:type="paragraph" w:customStyle="1" w:styleId="toc10">
    <w:name w:val="toc1"/>
    <w:pPr>
      <w:tabs>
        <w:tab w:val="left" w:pos="720"/>
        <w:tab w:val="right" w:leader="dot" w:pos="7920"/>
      </w:tabs>
      <w:spacing w:before="120"/>
      <w:ind w:left="360"/>
    </w:pPr>
    <w:rPr>
      <w:rFonts w:ascii="Times New Roman" w:hAnsi="Times New Roman"/>
      <w:lang w:val="en-GB" w:eastAsia="en-US"/>
    </w:rPr>
  </w:style>
  <w:style w:type="paragraph" w:customStyle="1" w:styleId="toc20">
    <w:name w:val="toc2"/>
    <w:pPr>
      <w:tabs>
        <w:tab w:val="left" w:pos="1267"/>
        <w:tab w:val="right" w:leader="dot" w:pos="7920"/>
      </w:tabs>
      <w:spacing w:before="120"/>
      <w:ind w:left="720"/>
    </w:pPr>
    <w:rPr>
      <w:rFonts w:ascii="Times New Roman" w:hAnsi="Times New Roman"/>
      <w:lang w:val="en-GB" w:eastAsia="en-US"/>
    </w:rPr>
  </w:style>
  <w:style w:type="paragraph" w:customStyle="1" w:styleId="indhead">
    <w:name w:val="indhead"/>
    <w:basedOn w:val="Normal"/>
    <w:pPr>
      <w:tabs>
        <w:tab w:val="left" w:pos="5040"/>
      </w:tabs>
      <w:spacing w:before="120" w:after="120"/>
      <w:ind w:left="1440"/>
    </w:pPr>
    <w:rPr>
      <w:b/>
      <w:smallCaps/>
      <w:sz w:val="20"/>
      <w:lang w:val="en-GB"/>
    </w:rPr>
  </w:style>
  <w:style w:type="paragraph" w:customStyle="1" w:styleId="indent21">
    <w:name w:val="indent 2"/>
    <w:basedOn w:val="Normal"/>
    <w:pPr>
      <w:spacing w:before="120" w:after="240"/>
      <w:ind w:left="1134" w:hanging="567"/>
    </w:pPr>
    <w:rPr>
      <w:i/>
      <w:sz w:val="24"/>
      <w:lang w:val="en-GB"/>
    </w:rPr>
  </w:style>
  <w:style w:type="paragraph" w:customStyle="1" w:styleId="indent31">
    <w:name w:val="indent 3"/>
    <w:basedOn w:val="Normal"/>
    <w:pPr>
      <w:spacing w:before="120" w:after="120"/>
      <w:ind w:left="1702" w:hanging="568"/>
    </w:pPr>
    <w:rPr>
      <w:sz w:val="24"/>
      <w:lang w:val="en-GB"/>
    </w:rPr>
  </w:style>
  <w:style w:type="paragraph" w:customStyle="1" w:styleId="indent50">
    <w:name w:val="indent 5"/>
    <w:basedOn w:val="indent21"/>
    <w:rPr>
      <w:sz w:val="16"/>
    </w:rPr>
  </w:style>
  <w:style w:type="paragraph" w:customStyle="1" w:styleId="indent41">
    <w:name w:val="indent 4"/>
    <w:basedOn w:val="Indent10"/>
    <w:pPr>
      <w:ind w:left="567"/>
    </w:pPr>
    <w:rPr>
      <w:sz w:val="16"/>
    </w:rPr>
  </w:style>
  <w:style w:type="paragraph" w:customStyle="1" w:styleId="indent60">
    <w:name w:val="indent 6"/>
    <w:basedOn w:val="indent31"/>
    <w:rPr>
      <w:sz w:val="16"/>
    </w:rPr>
  </w:style>
  <w:style w:type="paragraph" w:customStyle="1" w:styleId="indent7">
    <w:name w:val="indent 7"/>
    <w:basedOn w:val="indent41"/>
    <w:rPr>
      <w:sz w:val="20"/>
    </w:rPr>
  </w:style>
  <w:style w:type="paragraph" w:customStyle="1" w:styleId="indent8">
    <w:name w:val="indent 8"/>
    <w:basedOn w:val="indent50"/>
    <w:pPr>
      <w:ind w:left="1138" w:hanging="1138"/>
    </w:pPr>
    <w:rPr>
      <w:sz w:val="20"/>
    </w:rPr>
  </w:style>
  <w:style w:type="paragraph" w:customStyle="1" w:styleId="indent9">
    <w:name w:val="indent 9"/>
    <w:basedOn w:val="indent60"/>
    <w:pPr>
      <w:ind w:left="1699" w:hanging="1699"/>
    </w:pPr>
    <w:rPr>
      <w:sz w:val="20"/>
    </w:rPr>
  </w:style>
  <w:style w:type="paragraph" w:customStyle="1" w:styleId="indent11">
    <w:name w:val="indent 11"/>
    <w:basedOn w:val="indent9"/>
    <w:pPr>
      <w:tabs>
        <w:tab w:val="left" w:pos="2552"/>
        <w:tab w:val="decimal" w:pos="6804"/>
      </w:tabs>
      <w:ind w:left="1985" w:hanging="851"/>
    </w:pPr>
  </w:style>
  <w:style w:type="paragraph" w:customStyle="1" w:styleId="indent12">
    <w:name w:val="indent 12"/>
    <w:basedOn w:val="indent9"/>
    <w:pPr>
      <w:tabs>
        <w:tab w:val="left" w:pos="2552"/>
        <w:tab w:val="decimal" w:pos="6804"/>
      </w:tabs>
      <w:ind w:left="2552" w:hanging="567"/>
    </w:pPr>
  </w:style>
  <w:style w:type="paragraph" w:customStyle="1" w:styleId="SummaryTitle">
    <w:name w:val="SummaryTitle"/>
    <w:basedOn w:val="Normal"/>
    <w:pPr>
      <w:pBdr>
        <w:top w:val="single" w:sz="6" w:space="1" w:color="auto"/>
        <w:left w:val="single" w:sz="6" w:space="1" w:color="auto"/>
        <w:bottom w:val="single" w:sz="6" w:space="1" w:color="auto"/>
        <w:right w:val="single" w:sz="6" w:space="1" w:color="auto"/>
      </w:pBdr>
      <w:spacing w:before="120" w:after="120"/>
      <w:jc w:val="center"/>
    </w:pPr>
    <w:rPr>
      <w:b/>
      <w:sz w:val="24"/>
      <w:lang w:val="en-GB"/>
    </w:rPr>
  </w:style>
  <w:style w:type="paragraph" w:customStyle="1" w:styleId="SummaryBody">
    <w:name w:val="SummaryBody"/>
    <w:basedOn w:val="Normal"/>
    <w:pPr>
      <w:pBdr>
        <w:top w:val="single" w:sz="6" w:space="1" w:color="auto"/>
        <w:left w:val="single" w:sz="6" w:space="1" w:color="auto"/>
        <w:bottom w:val="single" w:sz="6" w:space="1" w:color="auto"/>
        <w:right w:val="single" w:sz="6" w:space="1" w:color="auto"/>
      </w:pBdr>
      <w:spacing w:before="120" w:after="120"/>
    </w:pPr>
    <w:rPr>
      <w:sz w:val="24"/>
      <w:lang w:val="en-GB"/>
    </w:rPr>
  </w:style>
  <w:style w:type="paragraph" w:customStyle="1" w:styleId="NormalIndent5">
    <w:name w:val="Normal Indent 5"/>
    <w:basedOn w:val="NormalIndent4"/>
    <w:pPr>
      <w:ind w:left="2835"/>
    </w:pPr>
  </w:style>
  <w:style w:type="paragraph" w:customStyle="1" w:styleId="NormalIndent7">
    <w:name w:val="Normal Indent 7"/>
    <w:basedOn w:val="NormalIndent"/>
    <w:pPr>
      <w:spacing w:before="120" w:after="120"/>
      <w:ind w:left="1440"/>
    </w:pPr>
    <w:rPr>
      <w:lang w:val="en-GB"/>
    </w:rPr>
  </w:style>
  <w:style w:type="paragraph" w:customStyle="1" w:styleId="figurenormal">
    <w:name w:val="figurenormal"/>
    <w:basedOn w:val="Normal"/>
    <w:pPr>
      <w:spacing w:before="120" w:after="120"/>
      <w:jc w:val="center"/>
    </w:pPr>
    <w:rPr>
      <w:b/>
      <w:sz w:val="24"/>
    </w:rPr>
  </w:style>
  <w:style w:type="paragraph" w:customStyle="1" w:styleId="figuretext">
    <w:name w:val="figuretext"/>
    <w:basedOn w:val="text"/>
    <w:pPr>
      <w:tabs>
        <w:tab w:val="clear" w:pos="709"/>
      </w:tabs>
      <w:spacing w:before="0" w:after="300"/>
      <w:jc w:val="center"/>
    </w:pPr>
    <w:rPr>
      <w:rFonts w:ascii="Times New Roman" w:hAnsi="Times New Roman"/>
      <w:b/>
    </w:rPr>
  </w:style>
  <w:style w:type="paragraph" w:customStyle="1" w:styleId="Glossary">
    <w:name w:val="Glossary"/>
    <w:basedOn w:val="Normal"/>
    <w:next w:val="Normal"/>
    <w:pPr>
      <w:spacing w:before="120" w:after="120"/>
      <w:ind w:left="1418"/>
    </w:pPr>
    <w:rPr>
      <w:rFonts w:ascii="Arial" w:hAnsi="Arial"/>
      <w:sz w:val="20"/>
    </w:rPr>
  </w:style>
  <w:style w:type="paragraph" w:customStyle="1" w:styleId="headingtext">
    <w:name w:val="heading text"/>
    <w:basedOn w:val="Normal"/>
    <w:pPr>
      <w:spacing w:before="120" w:after="120" w:line="240" w:lineRule="atLeast"/>
    </w:pPr>
    <w:rPr>
      <w:rFonts w:ascii="Univers (WN)" w:hAnsi="Univers (WN)"/>
      <w:sz w:val="24"/>
      <w:lang w:val="en-GB"/>
    </w:rPr>
  </w:style>
  <w:style w:type="paragraph" w:customStyle="1" w:styleId="ListIndent">
    <w:name w:val="List Indent"/>
    <w:basedOn w:val="NormalIndent"/>
    <w:next w:val="Normal"/>
    <w:pPr>
      <w:spacing w:before="120" w:after="120" w:line="240" w:lineRule="atLeast"/>
      <w:ind w:left="737" w:hanging="567"/>
      <w:jc w:val="both"/>
    </w:pPr>
    <w:rPr>
      <w:rFonts w:ascii="CG Times (WN)" w:hAnsi="CG Times (WN)"/>
      <w:sz w:val="24"/>
      <w:lang w:val="en-GB"/>
    </w:rPr>
  </w:style>
  <w:style w:type="paragraph" w:customStyle="1" w:styleId="XXX">
    <w:name w:val="XXX"/>
    <w:basedOn w:val="Normal"/>
    <w:pPr>
      <w:pBdr>
        <w:left w:val="single" w:sz="6" w:space="8" w:color="auto"/>
      </w:pBdr>
      <w:spacing w:before="120" w:after="120"/>
      <w:jc w:val="both"/>
    </w:pPr>
    <w:rPr>
      <w:b/>
      <w:sz w:val="24"/>
      <w:lang w:val="en-GB"/>
    </w:rPr>
  </w:style>
  <w:style w:type="paragraph" w:customStyle="1" w:styleId="Index-Level2">
    <w:name w:val="Index-Level 2"/>
    <w:pPr>
      <w:keepLines/>
      <w:tabs>
        <w:tab w:val="right" w:pos="4560"/>
      </w:tabs>
      <w:spacing w:before="40" w:line="280" w:lineRule="atLeast"/>
      <w:ind w:left="240"/>
    </w:pPr>
    <w:rPr>
      <w:rFonts w:ascii="Times New Roman" w:hAnsi="Times New Roman"/>
      <w:sz w:val="22"/>
      <w:lang w:eastAsia="en-US"/>
    </w:rPr>
  </w:style>
  <w:style w:type="paragraph" w:customStyle="1" w:styleId="Index-Level1">
    <w:name w:val="Index-Level 1"/>
    <w:pPr>
      <w:tabs>
        <w:tab w:val="left" w:pos="240"/>
        <w:tab w:val="right" w:pos="4560"/>
      </w:tabs>
      <w:spacing w:before="240" w:line="300" w:lineRule="atLeast"/>
      <w:ind w:left="240" w:hanging="240"/>
    </w:pPr>
    <w:rPr>
      <w:rFonts w:ascii="Times New Roman" w:hAnsi="Times New Roman"/>
      <w:b/>
      <w:sz w:val="22"/>
      <w:lang w:eastAsia="en-US"/>
    </w:rPr>
  </w:style>
  <w:style w:type="paragraph" w:customStyle="1" w:styleId="Body-Normal">
    <w:name w:val="Body-Normal"/>
    <w:pPr>
      <w:keepLines/>
      <w:spacing w:before="160" w:line="300" w:lineRule="atLeast"/>
    </w:pPr>
    <w:rPr>
      <w:rFonts w:ascii="Times New Roman" w:hAnsi="Times New Roman"/>
      <w:sz w:val="23"/>
      <w:lang w:eastAsia="en-US"/>
    </w:rPr>
  </w:style>
  <w:style w:type="paragraph" w:customStyle="1" w:styleId="Indent-First0">
    <w:name w:val="Indent-First"/>
    <w:pPr>
      <w:keepLines/>
      <w:tabs>
        <w:tab w:val="left" w:pos="220"/>
      </w:tabs>
      <w:spacing w:before="160" w:line="300" w:lineRule="atLeast"/>
      <w:ind w:left="220" w:hanging="220"/>
    </w:pPr>
    <w:rPr>
      <w:rFonts w:ascii="Times New Roman" w:hAnsi="Times New Roman"/>
      <w:sz w:val="23"/>
      <w:lang w:eastAsia="en-US"/>
    </w:rPr>
  </w:style>
  <w:style w:type="paragraph" w:customStyle="1" w:styleId="Indents-Following">
    <w:name w:val="Indents-Following"/>
    <w:pPr>
      <w:keepLines/>
      <w:tabs>
        <w:tab w:val="left" w:pos="220"/>
      </w:tabs>
      <w:spacing w:before="100" w:line="300" w:lineRule="atLeast"/>
      <w:ind w:left="220" w:hanging="220"/>
    </w:pPr>
    <w:rPr>
      <w:rFonts w:ascii="Times New Roman" w:hAnsi="Times New Roman"/>
      <w:sz w:val="23"/>
      <w:lang w:eastAsia="en-US"/>
    </w:rPr>
  </w:style>
  <w:style w:type="paragraph" w:customStyle="1" w:styleId="Heading-Level3">
    <w:name w:val="Heading-Level 3"/>
    <w:pPr>
      <w:spacing w:before="260" w:line="300" w:lineRule="atLeast"/>
    </w:pPr>
    <w:rPr>
      <w:rFonts w:ascii="Times New Roman" w:hAnsi="Times New Roman"/>
      <w:sz w:val="22"/>
      <w:lang w:eastAsia="en-US"/>
    </w:rPr>
  </w:style>
  <w:style w:type="paragraph" w:customStyle="1" w:styleId="Heading-Level1">
    <w:name w:val="Heading-Level 1"/>
    <w:pPr>
      <w:tabs>
        <w:tab w:val="left" w:pos="240"/>
      </w:tabs>
    </w:pPr>
    <w:rPr>
      <w:rFonts w:ascii="Helvetica-Narrow" w:hAnsi="Helvetica-Narrow"/>
      <w:b/>
      <w:sz w:val="26"/>
      <w:lang w:eastAsia="en-US"/>
    </w:rPr>
  </w:style>
  <w:style w:type="paragraph" w:customStyle="1" w:styleId="Body-Highlight0">
    <w:name w:val="Body-Highlight"/>
    <w:basedOn w:val="Heading-Level1"/>
    <w:pPr>
      <w:keepLines/>
      <w:tabs>
        <w:tab w:val="clear" w:pos="240"/>
      </w:tabs>
      <w:spacing w:before="160" w:line="300" w:lineRule="atLeast"/>
    </w:pPr>
    <w:rPr>
      <w:sz w:val="20"/>
    </w:rPr>
  </w:style>
  <w:style w:type="paragraph" w:customStyle="1" w:styleId="Note">
    <w:name w:val="Note"/>
    <w:basedOn w:val="Normal"/>
    <w:pPr>
      <w:spacing w:before="120" w:after="120"/>
      <w:ind w:left="504" w:hanging="504"/>
    </w:pPr>
    <w:rPr>
      <w:rFonts w:ascii="Arial" w:hAnsi="Arial"/>
      <w:b/>
      <w:sz w:val="20"/>
    </w:rPr>
  </w:style>
  <w:style w:type="paragraph" w:customStyle="1" w:styleId="Headings">
    <w:name w:val="Headings"/>
    <w:basedOn w:val="Normal"/>
    <w:pPr>
      <w:spacing w:before="120" w:after="120"/>
    </w:pPr>
    <w:rPr>
      <w:rFonts w:ascii="Helvetica-Narrow" w:hAnsi="Helvetica-Narrow"/>
      <w:b/>
      <w:color w:val="000000"/>
      <w:sz w:val="20"/>
      <w:lang w:val="en-US"/>
    </w:rPr>
  </w:style>
  <w:style w:type="paragraph" w:customStyle="1" w:styleId="hangingindent">
    <w:name w:val="hanging indent"/>
    <w:basedOn w:val="Normal"/>
    <w:pPr>
      <w:spacing w:before="60" w:after="120" w:line="280" w:lineRule="atLeast"/>
      <w:ind w:left="562" w:hanging="562"/>
      <w:jc w:val="both"/>
    </w:pPr>
    <w:rPr>
      <w:color w:val="000000"/>
      <w:sz w:val="22"/>
      <w:lang w:val="en-US"/>
    </w:rPr>
  </w:style>
  <w:style w:type="paragraph" w:customStyle="1" w:styleId="DotText">
    <w:name w:val="DotText"/>
    <w:basedOn w:val="Normal"/>
    <w:pPr>
      <w:spacing w:before="60" w:after="120"/>
      <w:ind w:left="1134" w:hanging="425"/>
    </w:pPr>
    <w:rPr>
      <w:sz w:val="20"/>
    </w:rPr>
  </w:style>
  <w:style w:type="paragraph" w:customStyle="1" w:styleId="Indent00">
    <w:name w:val="Indent0"/>
    <w:basedOn w:val="Normal"/>
    <w:next w:val="Indent0"/>
    <w:pPr>
      <w:spacing w:before="120" w:after="120"/>
    </w:pPr>
    <w:rPr>
      <w:sz w:val="20"/>
      <w:lang w:val="en-US"/>
    </w:rPr>
  </w:style>
  <w:style w:type="paragraph" w:customStyle="1" w:styleId="xl24">
    <w:name w:val="xl24"/>
    <w:basedOn w:val="Normal"/>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5">
    <w:name w:val="xl25"/>
    <w:basedOn w:val="Normal"/>
    <w:pPr>
      <w:pBdr>
        <w:top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6">
    <w:name w:val="xl26"/>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7">
    <w:name w:val="xl27"/>
    <w:basedOn w:val="Normal"/>
    <w:pPr>
      <w:pBdr>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8">
    <w:name w:val="xl28"/>
    <w:basedOn w:val="Normal"/>
    <w:pPr>
      <w:pBdr>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9">
    <w:name w:val="xl29"/>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sz w:val="18"/>
      <w:szCs w:val="18"/>
    </w:rPr>
  </w:style>
  <w:style w:type="paragraph" w:customStyle="1" w:styleId="xl30">
    <w:name w:val="xl30"/>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1">
    <w:name w:val="xl31"/>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2">
    <w:name w:val="xl32"/>
    <w:basedOn w:val="Normal"/>
    <w:pPr>
      <w:pBdr>
        <w:right w:val="single" w:sz="4" w:space="0" w:color="000000"/>
      </w:pBdr>
      <w:spacing w:before="100" w:beforeAutospacing="1" w:after="100" w:afterAutospacing="1"/>
      <w:textAlignment w:val="top"/>
    </w:pPr>
    <w:rPr>
      <w:rFonts w:eastAsia="Arial Unicode MS"/>
      <w:sz w:val="24"/>
      <w:szCs w:val="24"/>
    </w:rPr>
  </w:style>
  <w:style w:type="paragraph" w:customStyle="1" w:styleId="xl33">
    <w:name w:val="xl33"/>
    <w:basedOn w:val="Normal"/>
    <w:pPr>
      <w:pBdr>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4">
    <w:name w:val="xl34"/>
    <w:basedOn w:val="Normal"/>
    <w:pPr>
      <w:pBdr>
        <w:right w:val="single" w:sz="4" w:space="0" w:color="auto"/>
      </w:pBdr>
      <w:spacing w:before="100" w:beforeAutospacing="1" w:after="100" w:afterAutospacing="1"/>
      <w:textAlignment w:val="top"/>
    </w:pPr>
    <w:rPr>
      <w:rFonts w:eastAsia="Arial Unicode MS"/>
      <w:sz w:val="24"/>
      <w:szCs w:val="24"/>
    </w:rPr>
  </w:style>
  <w:style w:type="paragraph" w:customStyle="1" w:styleId="xl35">
    <w:name w:val="xl35"/>
    <w:basedOn w:val="Normal"/>
    <w:pPr>
      <w:pBdr>
        <w:bottom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6">
    <w:name w:val="xl36"/>
    <w:basedOn w:val="Normal"/>
    <w:pPr>
      <w:pBdr>
        <w:left w:val="single" w:sz="4" w:space="0" w:color="auto"/>
        <w:bottom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7">
    <w:name w:val="xl37"/>
    <w:basedOn w:val="Normal"/>
    <w:pPr>
      <w:pBdr>
        <w:bottom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xl38">
    <w:name w:val="xl38"/>
    <w:basedOn w:val="Normal"/>
    <w:pPr>
      <w:pBdr>
        <w:left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9">
    <w:name w:val="xl39"/>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0">
    <w:name w:val="xl40"/>
    <w:basedOn w:val="Normal"/>
    <w:pPr>
      <w:pBdr>
        <w:left w:val="single" w:sz="4" w:space="0" w:color="000000"/>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1">
    <w:name w:val="xl41"/>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42">
    <w:name w:val="xl42"/>
    <w:basedOn w:val="Normal"/>
    <w:pPr>
      <w:pBdr>
        <w:left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NormalIndent20">
    <w:name w:val="Normal Indent 2"/>
    <w:basedOn w:val="NormalIndent"/>
    <w:pPr>
      <w:spacing w:before="120" w:after="120"/>
      <w:ind w:left="1474"/>
    </w:pPr>
  </w:style>
  <w:style w:type="paragraph" w:customStyle="1" w:styleId="NormalinTable">
    <w:name w:val="Normal (in Table)"/>
    <w:basedOn w:val="Normal"/>
    <w:pPr>
      <w:keepNext/>
      <w:keepLines/>
      <w:spacing w:before="120" w:after="120"/>
      <w:ind w:right="29"/>
      <w:jc w:val="both"/>
    </w:pPr>
    <w:rPr>
      <w:sz w:val="20"/>
    </w:rPr>
  </w:style>
  <w:style w:type="paragraph" w:customStyle="1" w:styleId="Indent">
    <w:name w:val="Indent"/>
    <w:basedOn w:val="Normal"/>
    <w:pPr>
      <w:spacing w:before="240" w:after="120"/>
      <w:ind w:left="1701" w:hanging="567"/>
      <w:jc w:val="both"/>
    </w:pPr>
    <w:rPr>
      <w:sz w:val="20"/>
    </w:rPr>
  </w:style>
  <w:style w:type="paragraph" w:styleId="BodyText2">
    <w:name w:val="Body Text 2"/>
    <w:basedOn w:val="Normal"/>
    <w:pPr>
      <w:jc w:val="center"/>
    </w:pPr>
    <w:rPr>
      <w:rFonts w:ascii="Arial" w:hAnsi="Arial" w:cs="Arial"/>
      <w:b/>
      <w:iCs/>
      <w:sz w:val="16"/>
    </w:rPr>
  </w:style>
  <w:style w:type="table" w:styleId="TableGrid">
    <w:name w:val="Table Grid"/>
    <w:basedOn w:val="TableNormal"/>
    <w:uiPriority w:val="59"/>
    <w:rsid w:val="0079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1307C7"/>
    <w:rPr>
      <w:sz w:val="16"/>
      <w:szCs w:val="16"/>
    </w:rPr>
  </w:style>
  <w:style w:type="paragraph" w:styleId="CommentText">
    <w:name w:val="annotation text"/>
    <w:basedOn w:val="Normal"/>
    <w:link w:val="CommentTextChar"/>
    <w:uiPriority w:val="99"/>
    <w:rsid w:val="001307C7"/>
    <w:rPr>
      <w:sz w:val="20"/>
      <w:lang w:val="x-none"/>
    </w:rPr>
  </w:style>
  <w:style w:type="paragraph" w:styleId="CommentSubject">
    <w:name w:val="annotation subject"/>
    <w:basedOn w:val="CommentText"/>
    <w:next w:val="CommentText"/>
    <w:link w:val="CommentSubjectChar"/>
    <w:uiPriority w:val="99"/>
    <w:semiHidden/>
    <w:rsid w:val="001307C7"/>
    <w:rPr>
      <w:b/>
      <w:bCs/>
    </w:rPr>
  </w:style>
  <w:style w:type="paragraph" w:styleId="ListParagraph">
    <w:name w:val="List Paragraph"/>
    <w:basedOn w:val="Normal"/>
    <w:link w:val="ListParagraphChar"/>
    <w:uiPriority w:val="34"/>
    <w:qFormat/>
    <w:rsid w:val="00025E42"/>
    <w:pPr>
      <w:spacing w:after="200" w:line="276" w:lineRule="auto"/>
      <w:ind w:left="720"/>
      <w:contextualSpacing/>
    </w:pPr>
    <w:rPr>
      <w:rFonts w:ascii="Calibri" w:eastAsia="Calibri" w:hAnsi="Calibri"/>
      <w:sz w:val="22"/>
      <w:szCs w:val="22"/>
    </w:rPr>
  </w:style>
  <w:style w:type="paragraph" w:customStyle="1" w:styleId="TableText">
    <w:name w:val="Table Text"/>
    <w:basedOn w:val="BodyText"/>
    <w:link w:val="TableTextChar"/>
    <w:qFormat/>
    <w:rsid w:val="000953E8"/>
    <w:pPr>
      <w:widowControl w:val="0"/>
      <w:tabs>
        <w:tab w:val="left" w:pos="2268"/>
        <w:tab w:val="left" w:pos="5669"/>
      </w:tabs>
      <w:suppressAutoHyphens/>
      <w:autoSpaceDE w:val="0"/>
      <w:autoSpaceDN w:val="0"/>
      <w:adjustRightInd w:val="0"/>
      <w:spacing w:before="30" w:after="30"/>
    </w:pPr>
    <w:rPr>
      <w:rFonts w:ascii="Arial" w:eastAsia="Cambria" w:hAnsi="Arial" w:cs="Calibri"/>
      <w:color w:val="000000"/>
      <w:spacing w:val="-2"/>
      <w:sz w:val="18"/>
      <w:szCs w:val="19"/>
    </w:rPr>
  </w:style>
  <w:style w:type="paragraph" w:customStyle="1" w:styleId="TableHeading">
    <w:name w:val="Table Heading"/>
    <w:basedOn w:val="Normal"/>
    <w:qFormat/>
    <w:rsid w:val="000953E8"/>
    <w:pPr>
      <w:widowControl w:val="0"/>
      <w:tabs>
        <w:tab w:val="left" w:pos="2268"/>
        <w:tab w:val="left" w:pos="5669"/>
      </w:tabs>
      <w:suppressAutoHyphens/>
      <w:autoSpaceDE w:val="0"/>
      <w:autoSpaceDN w:val="0"/>
      <w:adjustRightInd w:val="0"/>
    </w:pPr>
    <w:rPr>
      <w:rFonts w:ascii="Arial" w:eastAsia="Cambria" w:hAnsi="Arial" w:cs="Calibri"/>
      <w:color w:val="FFFFFF"/>
      <w:spacing w:val="10"/>
      <w:sz w:val="20"/>
      <w:szCs w:val="19"/>
    </w:rPr>
  </w:style>
  <w:style w:type="table" w:styleId="ColorfulList-Accent3">
    <w:name w:val="Colorful List Accent 3"/>
    <w:basedOn w:val="TableNormal"/>
    <w:uiPriority w:val="72"/>
    <w:rsid w:val="000953E8"/>
    <w:rPr>
      <w:rFonts w:ascii="Cambria" w:eastAsia="Cambria" w:hAnsi="Cambria"/>
      <w:color w:val="001E82"/>
      <w:lang w:eastAsia="zh-CN"/>
    </w:rPr>
    <w:tblPr>
      <w:tblStyleRowBandSize w:val="1"/>
      <w:tblStyleColBandSize w:val="1"/>
      <w:tblInd w:w="0" w:type="nil"/>
    </w:tblPr>
    <w:tcPr>
      <w:shd w:val="clear" w:color="auto" w:fill="E6F7FF"/>
    </w:tcPr>
    <w:tblStylePr w:type="firstRow">
      <w:rPr>
        <w:b/>
        <w:bCs/>
        <w:color w:val="FFFFFF"/>
      </w:rPr>
      <w:tblPr/>
      <w:tcPr>
        <w:tcBorders>
          <w:bottom w:val="single" w:sz="12" w:space="0" w:color="FFFFFF"/>
        </w:tcBorders>
        <w:shd w:val="clear" w:color="auto" w:fill="2EB2EF"/>
      </w:tcPr>
    </w:tblStylePr>
    <w:tblStylePr w:type="lastRow">
      <w:rPr>
        <w:b/>
        <w:bCs/>
        <w:color w:val="2EB2EF"/>
      </w:rPr>
      <w:tblPr/>
      <w:tcPr>
        <w:tcBorders>
          <w:top w:val="single" w:sz="12" w:space="0" w:color="001E82"/>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CFF"/>
      </w:tcPr>
    </w:tblStylePr>
    <w:tblStylePr w:type="band1Horz">
      <w:tblPr/>
      <w:tcPr>
        <w:shd w:val="clear" w:color="auto" w:fill="CCF0FF"/>
      </w:tcPr>
    </w:tblStylePr>
  </w:style>
  <w:style w:type="table" w:styleId="ColorfulList-Accent4">
    <w:name w:val="Colorful List Accent 4"/>
    <w:basedOn w:val="TableNormal"/>
    <w:uiPriority w:val="72"/>
    <w:rsid w:val="000953E8"/>
    <w:rPr>
      <w:rFonts w:ascii="Cambria" w:eastAsia="Cambria" w:hAnsi="Cambria"/>
      <w:color w:val="001E82"/>
      <w:lang w:eastAsia="zh-CN"/>
    </w:rPr>
    <w:tblPr>
      <w:tblStyleRowBandSize w:val="1"/>
      <w:tblStyleColBandSize w:val="1"/>
      <w:tblInd w:w="0" w:type="nil"/>
    </w:tblPr>
    <w:tcPr>
      <w:shd w:val="clear" w:color="auto" w:fill="F1F9FE"/>
    </w:tcPr>
    <w:tblStylePr w:type="firstRow">
      <w:rPr>
        <w:b/>
        <w:bCs/>
        <w:color w:val="FFFFFF"/>
      </w:rPr>
      <w:tblPr/>
      <w:tcPr>
        <w:tcBorders>
          <w:bottom w:val="single" w:sz="12" w:space="0" w:color="FFFFFF"/>
        </w:tcBorders>
        <w:shd w:val="clear" w:color="auto" w:fill="0090CC"/>
      </w:tcPr>
    </w:tblStylePr>
    <w:tblStylePr w:type="lastRow">
      <w:rPr>
        <w:b/>
        <w:bCs/>
        <w:color w:val="0090CC"/>
      </w:rPr>
      <w:tblPr/>
      <w:tcPr>
        <w:tcBorders>
          <w:top w:val="single" w:sz="12" w:space="0" w:color="001E82"/>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2FC"/>
      </w:tcPr>
    </w:tblStylePr>
    <w:tblStylePr w:type="band1Horz">
      <w:tblPr/>
      <w:tcPr>
        <w:shd w:val="clear" w:color="auto" w:fill="E2F4FC"/>
      </w:tcPr>
    </w:tblStylePr>
  </w:style>
  <w:style w:type="paragraph" w:customStyle="1" w:styleId="Appendix-Heading2">
    <w:name w:val="Appendix - Heading 2"/>
    <w:basedOn w:val="Heading2"/>
    <w:qFormat/>
    <w:rsid w:val="000953E8"/>
    <w:pPr>
      <w:widowControl w:val="0"/>
      <w:numPr>
        <w:ilvl w:val="0"/>
        <w:numId w:val="0"/>
      </w:numPr>
      <w:suppressAutoHyphens/>
      <w:autoSpaceDE w:val="0"/>
      <w:autoSpaceDN w:val="0"/>
      <w:adjustRightInd w:val="0"/>
      <w:spacing w:before="240" w:after="120" w:line="240" w:lineRule="atLeast"/>
    </w:pPr>
    <w:rPr>
      <w:rFonts w:ascii="Arial" w:eastAsia="Cambria" w:hAnsi="Arial" w:cs="Calibri"/>
      <w:b/>
      <w:bCs w:val="0"/>
      <w:color w:val="0064D2"/>
      <w:spacing w:val="-2"/>
      <w:sz w:val="20"/>
      <w:szCs w:val="21"/>
    </w:rPr>
  </w:style>
  <w:style w:type="character" w:customStyle="1" w:styleId="CommentTextChar">
    <w:name w:val="Comment Text Char"/>
    <w:link w:val="CommentText"/>
    <w:uiPriority w:val="99"/>
    <w:rsid w:val="00682F81"/>
    <w:rPr>
      <w:rFonts w:ascii="Times New Roman" w:hAnsi="Times New Roman"/>
      <w:lang w:eastAsia="en-US"/>
    </w:rPr>
  </w:style>
  <w:style w:type="paragraph" w:customStyle="1" w:styleId="Default">
    <w:name w:val="Default"/>
    <w:rsid w:val="00F246A0"/>
    <w:pPr>
      <w:autoSpaceDE w:val="0"/>
      <w:autoSpaceDN w:val="0"/>
      <w:adjustRightInd w:val="0"/>
    </w:pPr>
    <w:rPr>
      <w:rFonts w:ascii="Arial" w:hAnsi="Arial" w:cs="Arial"/>
      <w:color w:val="000000"/>
      <w:sz w:val="24"/>
      <w:szCs w:val="24"/>
      <w:lang w:val="en-US" w:eastAsia="zh-CN"/>
    </w:rPr>
  </w:style>
  <w:style w:type="paragraph" w:customStyle="1" w:styleId="SectionHeading">
    <w:name w:val="SectionHeading"/>
    <w:basedOn w:val="Normal"/>
    <w:next w:val="Heading1"/>
    <w:rsid w:val="005E6473"/>
    <w:pPr>
      <w:keepNext/>
      <w:numPr>
        <w:numId w:val="4"/>
      </w:numPr>
      <w:spacing w:before="400"/>
      <w:ind w:left="360"/>
    </w:pPr>
    <w:rPr>
      <w:b/>
      <w:sz w:val="44"/>
      <w:szCs w:val="44"/>
    </w:rPr>
  </w:style>
  <w:style w:type="paragraph" w:customStyle="1" w:styleId="Schedule">
    <w:name w:val="Schedule"/>
    <w:basedOn w:val="Normal"/>
    <w:next w:val="Heading1"/>
    <w:rsid w:val="00EF4A89"/>
    <w:pPr>
      <w:pageBreakBefore/>
      <w:tabs>
        <w:tab w:val="num" w:pos="0"/>
      </w:tabs>
      <w:spacing w:after="240"/>
    </w:pPr>
    <w:rPr>
      <w:rFonts w:ascii="Arial" w:hAnsi="Arial" w:cs="Arial"/>
      <w:b/>
      <w:caps/>
      <w:sz w:val="36"/>
      <w:szCs w:val="36"/>
      <w:lang w:eastAsia="en-AU"/>
    </w:rPr>
  </w:style>
  <w:style w:type="paragraph" w:customStyle="1" w:styleId="ScheduleHeading2">
    <w:name w:val="Schedule Heading 2"/>
    <w:basedOn w:val="Normal"/>
    <w:link w:val="ScheduleHeading2Char"/>
    <w:uiPriority w:val="99"/>
    <w:rsid w:val="00EF4A89"/>
    <w:pPr>
      <w:tabs>
        <w:tab w:val="num" w:pos="737"/>
      </w:tabs>
      <w:spacing w:after="240"/>
      <w:ind w:left="737" w:hanging="737"/>
    </w:pPr>
    <w:rPr>
      <w:rFonts w:ascii="Arial" w:hAnsi="Arial" w:cs="Arial"/>
      <w:sz w:val="20"/>
      <w:lang w:eastAsia="en-AU"/>
    </w:rPr>
  </w:style>
  <w:style w:type="character" w:customStyle="1" w:styleId="ScheduleHeading2Char">
    <w:name w:val="Schedule Heading 2 Char"/>
    <w:link w:val="ScheduleHeading2"/>
    <w:uiPriority w:val="99"/>
    <w:locked/>
    <w:rsid w:val="00EF4A89"/>
    <w:rPr>
      <w:rFonts w:ascii="Arial" w:hAnsi="Arial" w:cs="Arial"/>
    </w:rPr>
  </w:style>
  <w:style w:type="paragraph" w:customStyle="1" w:styleId="ScheduleHeading3">
    <w:name w:val="Schedule Heading 3"/>
    <w:basedOn w:val="Normal"/>
    <w:rsid w:val="00EF4A89"/>
    <w:pPr>
      <w:tabs>
        <w:tab w:val="num" w:pos="1474"/>
      </w:tabs>
      <w:spacing w:after="240"/>
      <w:ind w:left="1474" w:hanging="737"/>
    </w:pPr>
    <w:rPr>
      <w:rFonts w:ascii="Arial" w:hAnsi="Arial" w:cs="Arial"/>
      <w:sz w:val="20"/>
      <w:lang w:eastAsia="en-AU"/>
    </w:rPr>
  </w:style>
  <w:style w:type="paragraph" w:customStyle="1" w:styleId="ScheduleHeading4">
    <w:name w:val="Schedule Heading 4"/>
    <w:basedOn w:val="Normal"/>
    <w:rsid w:val="00EF4A89"/>
    <w:pPr>
      <w:tabs>
        <w:tab w:val="num" w:pos="2211"/>
      </w:tabs>
      <w:spacing w:after="240"/>
      <w:ind w:left="2211" w:hanging="737"/>
    </w:pPr>
    <w:rPr>
      <w:rFonts w:ascii="Arial" w:hAnsi="Arial" w:cs="Arial"/>
      <w:sz w:val="20"/>
      <w:lang w:eastAsia="en-AU"/>
    </w:rPr>
  </w:style>
  <w:style w:type="paragraph" w:customStyle="1" w:styleId="AttachmentHeading2">
    <w:name w:val="Attachment Heading 2"/>
    <w:basedOn w:val="Normal"/>
    <w:qFormat/>
    <w:rsid w:val="00EF4A89"/>
    <w:pPr>
      <w:tabs>
        <w:tab w:val="num" w:pos="737"/>
      </w:tabs>
      <w:spacing w:after="240"/>
      <w:ind w:left="737" w:hanging="737"/>
    </w:pPr>
    <w:rPr>
      <w:rFonts w:ascii="Arial" w:hAnsi="Arial" w:cs="Arial"/>
      <w:sz w:val="20"/>
      <w:lang w:eastAsia="en-AU"/>
    </w:rPr>
  </w:style>
  <w:style w:type="paragraph" w:customStyle="1" w:styleId="AttachmentHeading1">
    <w:name w:val="Attachment Heading 1"/>
    <w:basedOn w:val="Normal"/>
    <w:next w:val="AttachmentHeading2"/>
    <w:qFormat/>
    <w:rsid w:val="00EF4A89"/>
    <w:pPr>
      <w:keepNext/>
      <w:pBdr>
        <w:bottom w:val="single" w:sz="4" w:space="1" w:color="auto"/>
      </w:pBdr>
      <w:tabs>
        <w:tab w:val="num" w:pos="737"/>
      </w:tabs>
      <w:spacing w:after="240"/>
      <w:ind w:left="737" w:hanging="737"/>
    </w:pPr>
    <w:rPr>
      <w:rFonts w:ascii="Arial" w:hAnsi="Arial" w:cs="Arial"/>
      <w:b/>
      <w:caps/>
      <w:sz w:val="20"/>
      <w:lang w:eastAsia="en-AU"/>
    </w:rPr>
  </w:style>
  <w:style w:type="paragraph" w:customStyle="1" w:styleId="ScheduleSubHead">
    <w:name w:val="Schedule SubHead"/>
    <w:basedOn w:val="Normal"/>
    <w:next w:val="ScheduleHeading2"/>
    <w:uiPriority w:val="99"/>
    <w:rsid w:val="00EF4A89"/>
    <w:pPr>
      <w:keepNext/>
      <w:spacing w:after="240"/>
    </w:pPr>
    <w:rPr>
      <w:rFonts w:ascii="Arial" w:hAnsi="Arial" w:cs="Arial"/>
      <w:b/>
      <w:caps/>
      <w:sz w:val="18"/>
      <w:szCs w:val="18"/>
      <w:lang w:eastAsia="en-AU"/>
    </w:rPr>
  </w:style>
  <w:style w:type="paragraph" w:customStyle="1" w:styleId="AttachmenttoSchedule">
    <w:name w:val="Attachment to Schedule"/>
    <w:basedOn w:val="Normal"/>
    <w:next w:val="AttachmentHeading1"/>
    <w:rsid w:val="00EF4A89"/>
    <w:pPr>
      <w:pageBreakBefore/>
      <w:tabs>
        <w:tab w:val="num" w:pos="0"/>
      </w:tabs>
      <w:spacing w:after="240"/>
    </w:pPr>
    <w:rPr>
      <w:rFonts w:ascii="Arial" w:hAnsi="Arial" w:cs="Arial"/>
      <w:b/>
      <w:sz w:val="32"/>
      <w:szCs w:val="32"/>
      <w:lang w:eastAsia="en-AU"/>
    </w:rPr>
  </w:style>
  <w:style w:type="paragraph" w:customStyle="1" w:styleId="AttachmentHeading3">
    <w:name w:val="Attachment Heading 3"/>
    <w:basedOn w:val="Normal"/>
    <w:qFormat/>
    <w:rsid w:val="00EF4A89"/>
    <w:pPr>
      <w:tabs>
        <w:tab w:val="num" w:pos="1474"/>
      </w:tabs>
      <w:spacing w:after="240"/>
      <w:ind w:left="1474" w:hanging="737"/>
    </w:pPr>
    <w:rPr>
      <w:rFonts w:ascii="Arial" w:hAnsi="Arial" w:cs="Arial"/>
      <w:sz w:val="20"/>
      <w:lang w:eastAsia="en-AU"/>
    </w:rPr>
  </w:style>
  <w:style w:type="table" w:customStyle="1" w:styleId="PlainTable11">
    <w:name w:val="Plain Table 11"/>
    <w:basedOn w:val="TableNormal"/>
    <w:uiPriority w:val="41"/>
    <w:rsid w:val="00EF4A89"/>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Spacing">
    <w:name w:val="No Spacing"/>
    <w:uiPriority w:val="1"/>
    <w:qFormat/>
    <w:rsid w:val="00E76688"/>
    <w:rPr>
      <w:rFonts w:ascii="Times New Roman" w:hAnsi="Times New Roman"/>
      <w:sz w:val="23"/>
      <w:lang w:eastAsia="en-US"/>
    </w:rPr>
  </w:style>
  <w:style w:type="paragraph" w:customStyle="1" w:styleId="Attachment">
    <w:name w:val="Attachment"/>
    <w:basedOn w:val="Normal"/>
    <w:next w:val="AttachmentHeading1"/>
    <w:rsid w:val="00120B8F"/>
    <w:pPr>
      <w:pageBreakBefore/>
      <w:widowControl w:val="0"/>
      <w:numPr>
        <w:numId w:val="5"/>
      </w:numPr>
      <w:spacing w:after="240"/>
    </w:pPr>
    <w:rPr>
      <w:rFonts w:ascii="Arial" w:hAnsi="Arial" w:cs="Arial"/>
      <w:b/>
      <w:bCs/>
      <w:sz w:val="32"/>
      <w:szCs w:val="36"/>
    </w:rPr>
  </w:style>
  <w:style w:type="character" w:customStyle="1" w:styleId="ListParagraphChar">
    <w:name w:val="List Paragraph Char"/>
    <w:basedOn w:val="DefaultParagraphFont"/>
    <w:link w:val="ListParagraph"/>
    <w:uiPriority w:val="34"/>
    <w:rsid w:val="009C5355"/>
    <w:rPr>
      <w:rFonts w:ascii="Calibri" w:eastAsia="Calibri" w:hAnsi="Calibri"/>
      <w:sz w:val="22"/>
      <w:szCs w:val="22"/>
      <w:lang w:eastAsia="en-US"/>
    </w:rPr>
  </w:style>
  <w:style w:type="paragraph" w:customStyle="1" w:styleId="OCBodyParagraph">
    <w:name w:val="_OC Body Paragraph"/>
    <w:basedOn w:val="Normal"/>
    <w:link w:val="OCBodyParagraphChar"/>
    <w:uiPriority w:val="99"/>
    <w:qFormat/>
    <w:rsid w:val="00B177D0"/>
    <w:pPr>
      <w:spacing w:before="120" w:after="240"/>
    </w:pPr>
    <w:rPr>
      <w:rFonts w:ascii="Arial" w:eastAsia="Calibri" w:hAnsi="Arial"/>
      <w:color w:val="000000" w:themeColor="text1"/>
      <w:sz w:val="20"/>
      <w:lang w:val="en-GB"/>
    </w:rPr>
  </w:style>
  <w:style w:type="character" w:customStyle="1" w:styleId="OCBodyParagraphChar">
    <w:name w:val="_OC Body Paragraph Char"/>
    <w:basedOn w:val="DefaultParagraphFont"/>
    <w:link w:val="OCBodyParagraph"/>
    <w:uiPriority w:val="99"/>
    <w:rsid w:val="00B177D0"/>
    <w:rPr>
      <w:rFonts w:ascii="Arial" w:eastAsia="Calibri" w:hAnsi="Arial"/>
      <w:color w:val="000000" w:themeColor="text1"/>
      <w:lang w:val="en-GB" w:eastAsia="en-US"/>
    </w:rPr>
  </w:style>
  <w:style w:type="paragraph" w:styleId="Revision">
    <w:name w:val="Revision"/>
    <w:hidden/>
    <w:uiPriority w:val="99"/>
    <w:semiHidden/>
    <w:rsid w:val="00514463"/>
    <w:rPr>
      <w:rFonts w:ascii="Times New Roman" w:hAnsi="Times New Roman"/>
      <w:sz w:val="23"/>
      <w:lang w:eastAsia="en-US"/>
    </w:rPr>
  </w:style>
  <w:style w:type="character" w:customStyle="1" w:styleId="DefinedTerm">
    <w:name w:val="Defined Term"/>
    <w:uiPriority w:val="99"/>
    <w:qFormat/>
    <w:rsid w:val="00333348"/>
    <w:rPr>
      <w:rFonts w:ascii="Arial" w:hAnsi="Arial"/>
      <w:b/>
      <w:bCs/>
    </w:rPr>
  </w:style>
  <w:style w:type="character" w:customStyle="1" w:styleId="Bold">
    <w:name w:val="Bold"/>
    <w:rsid w:val="00C47CCC"/>
    <w:rPr>
      <w:b/>
      <w:bCs/>
      <w:color w:val="auto"/>
    </w:rPr>
  </w:style>
  <w:style w:type="paragraph" w:customStyle="1" w:styleId="table1">
    <w:name w:val="table1"/>
    <w:basedOn w:val="Normal"/>
    <w:rsid w:val="001758D7"/>
    <w:pPr>
      <w:spacing w:after="120"/>
    </w:pPr>
    <w:rPr>
      <w:rFonts w:ascii="Arial" w:hAnsi="Arial" w:cs="Arial"/>
      <w:b/>
      <w:bCs/>
      <w:sz w:val="20"/>
      <w:szCs w:val="19"/>
    </w:rPr>
  </w:style>
  <w:style w:type="paragraph" w:styleId="Title">
    <w:name w:val="Title"/>
    <w:basedOn w:val="Normal"/>
    <w:link w:val="TitleChar"/>
    <w:uiPriority w:val="99"/>
    <w:qFormat/>
    <w:rsid w:val="001758D7"/>
    <w:pPr>
      <w:spacing w:after="240"/>
      <w:outlineLvl w:val="0"/>
    </w:pPr>
    <w:rPr>
      <w:rFonts w:ascii="Arial" w:hAnsi="Arial" w:cs="Arial"/>
      <w:b/>
      <w:bCs/>
      <w:caps/>
      <w:kern w:val="28"/>
      <w:sz w:val="20"/>
      <w:szCs w:val="40"/>
    </w:rPr>
  </w:style>
  <w:style w:type="character" w:customStyle="1" w:styleId="TitleChar">
    <w:name w:val="Title Char"/>
    <w:basedOn w:val="DefaultParagraphFont"/>
    <w:link w:val="Title"/>
    <w:uiPriority w:val="99"/>
    <w:rsid w:val="001758D7"/>
    <w:rPr>
      <w:rFonts w:ascii="Arial" w:hAnsi="Arial" w:cs="Arial"/>
      <w:b/>
      <w:bCs/>
      <w:caps/>
      <w:kern w:val="28"/>
      <w:szCs w:val="40"/>
      <w:lang w:eastAsia="en-US"/>
    </w:rPr>
  </w:style>
  <w:style w:type="paragraph" w:customStyle="1" w:styleId="table2">
    <w:name w:val="table2"/>
    <w:basedOn w:val="table1"/>
    <w:rsid w:val="001758D7"/>
    <w:pPr>
      <w:widowControl w:val="0"/>
    </w:pPr>
    <w:rPr>
      <w:b w:val="0"/>
      <w:bCs w:val="0"/>
    </w:rPr>
  </w:style>
  <w:style w:type="character" w:customStyle="1" w:styleId="BodyTextChar">
    <w:name w:val="Body Text Char"/>
    <w:basedOn w:val="DefaultParagraphFont"/>
    <w:link w:val="BodyText"/>
    <w:rsid w:val="001758D7"/>
    <w:rPr>
      <w:rFonts w:ascii="Times New Roman" w:hAnsi="Times New Roman"/>
      <w:sz w:val="23"/>
      <w:lang w:eastAsia="en-US"/>
    </w:rPr>
  </w:style>
  <w:style w:type="character" w:customStyle="1" w:styleId="FooterChar">
    <w:name w:val="Footer Char"/>
    <w:basedOn w:val="DefaultParagraphFont"/>
    <w:link w:val="Footer"/>
    <w:uiPriority w:val="99"/>
    <w:rsid w:val="001758D7"/>
    <w:rPr>
      <w:rFonts w:ascii="Arial" w:hAnsi="Arial"/>
      <w:sz w:val="16"/>
      <w:lang w:eastAsia="en-US"/>
    </w:rPr>
  </w:style>
  <w:style w:type="paragraph" w:customStyle="1" w:styleId="DocName">
    <w:name w:val="Doc Name"/>
    <w:basedOn w:val="Normal"/>
    <w:rsid w:val="001758D7"/>
    <w:pPr>
      <w:widowControl w:val="0"/>
      <w:spacing w:before="120" w:after="120"/>
    </w:pPr>
    <w:rPr>
      <w:rFonts w:ascii="Arial" w:hAnsi="Arial" w:cs="Arial"/>
      <w:sz w:val="12"/>
      <w:szCs w:val="14"/>
    </w:rPr>
  </w:style>
  <w:style w:type="paragraph" w:customStyle="1" w:styleId="TableRowHeading">
    <w:name w:val="Table Row Heading"/>
    <w:basedOn w:val="table1"/>
    <w:rsid w:val="001758D7"/>
    <w:pPr>
      <w:jc w:val="center"/>
    </w:pPr>
    <w:rPr>
      <w:caps/>
    </w:rPr>
  </w:style>
  <w:style w:type="paragraph" w:customStyle="1" w:styleId="table2center">
    <w:name w:val="table 2 center"/>
    <w:basedOn w:val="table2"/>
    <w:rsid w:val="001758D7"/>
    <w:pPr>
      <w:jc w:val="center"/>
    </w:pPr>
  </w:style>
  <w:style w:type="paragraph" w:customStyle="1" w:styleId="ScheduleSubTitle">
    <w:name w:val="Schedule SubTitle"/>
    <w:basedOn w:val="Normal"/>
    <w:next w:val="Heading1"/>
    <w:uiPriority w:val="99"/>
    <w:rsid w:val="001758D7"/>
    <w:pPr>
      <w:keepNext/>
      <w:spacing w:after="240"/>
    </w:pPr>
    <w:rPr>
      <w:rFonts w:ascii="Arial" w:hAnsi="Arial" w:cs="Arial"/>
      <w:caps/>
      <w:sz w:val="32"/>
      <w:szCs w:val="36"/>
    </w:rPr>
  </w:style>
  <w:style w:type="paragraph" w:customStyle="1" w:styleId="PageNumberparastyle">
    <w:name w:val="Page Number (para style)"/>
    <w:basedOn w:val="Normal"/>
    <w:rsid w:val="001758D7"/>
    <w:pPr>
      <w:spacing w:before="120"/>
      <w:jc w:val="right"/>
    </w:pPr>
    <w:rPr>
      <w:rFonts w:ascii="Arial" w:hAnsi="Arial" w:cs="Arial"/>
      <w:caps/>
      <w:sz w:val="16"/>
      <w:szCs w:val="19"/>
    </w:rPr>
  </w:style>
  <w:style w:type="paragraph" w:customStyle="1" w:styleId="AttachmentSubHead">
    <w:name w:val="Attachment SubHead"/>
    <w:basedOn w:val="ScheduleSubHead"/>
    <w:next w:val="AttachmentHeading2"/>
    <w:qFormat/>
    <w:rsid w:val="001758D7"/>
    <w:rPr>
      <w:bCs/>
      <w:szCs w:val="19"/>
      <w:lang w:eastAsia="en-US"/>
    </w:rPr>
  </w:style>
  <w:style w:type="paragraph" w:styleId="ListBullet4">
    <w:name w:val="List Bullet 4"/>
    <w:basedOn w:val="Normal"/>
    <w:rsid w:val="001758D7"/>
    <w:pPr>
      <w:numPr>
        <w:numId w:val="6"/>
      </w:numPr>
      <w:spacing w:after="240"/>
      <w:contextualSpacing/>
    </w:pPr>
    <w:rPr>
      <w:rFonts w:ascii="Arial" w:hAnsi="Arial" w:cs="Arial"/>
      <w:sz w:val="20"/>
      <w:szCs w:val="19"/>
    </w:rPr>
  </w:style>
  <w:style w:type="character" w:customStyle="1" w:styleId="BalloonTextChar">
    <w:name w:val="Balloon Text Char"/>
    <w:basedOn w:val="DefaultParagraphFont"/>
    <w:link w:val="BalloonText"/>
    <w:uiPriority w:val="99"/>
    <w:semiHidden/>
    <w:rsid w:val="001758D7"/>
    <w:rPr>
      <w:rFonts w:ascii="Tahoma" w:hAnsi="Tahoma" w:cs="Tahoma"/>
      <w:sz w:val="16"/>
      <w:szCs w:val="16"/>
      <w:lang w:eastAsia="en-US"/>
    </w:rPr>
  </w:style>
  <w:style w:type="character" w:customStyle="1" w:styleId="CommentSubjectChar">
    <w:name w:val="Comment Subject Char"/>
    <w:basedOn w:val="CommentTextChar"/>
    <w:link w:val="CommentSubject"/>
    <w:uiPriority w:val="99"/>
    <w:semiHidden/>
    <w:rsid w:val="001758D7"/>
    <w:rPr>
      <w:rFonts w:ascii="Times New Roman" w:hAnsi="Times New Roman"/>
      <w:b/>
      <w:bCs/>
      <w:lang w:val="x-none" w:eastAsia="en-US"/>
    </w:rPr>
  </w:style>
  <w:style w:type="character" w:customStyle="1" w:styleId="Heading1Char">
    <w:name w:val="Heading 1 Char"/>
    <w:aliases w:val="Part Char,A MAJOR/BOLD Char,Para Char,No numbers Char,h1 Char,1 Char,H1 Char,Heading a Char,* Char,Schedheading Char,h1 chapter heading Char,Heading 1(Report Only) Char,RFP Heading 1 Char,Schedule Heading 1 Char,Chapter Char,Heading1 Char"/>
    <w:basedOn w:val="DefaultParagraphFont"/>
    <w:link w:val="Heading1"/>
    <w:uiPriority w:val="99"/>
    <w:rsid w:val="001758D7"/>
    <w:rPr>
      <w:rFonts w:ascii="Arial" w:hAnsi="Arial"/>
      <w:b/>
      <w:sz w:val="28"/>
      <w:szCs w:val="32"/>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basedOn w:val="DefaultParagraphFont"/>
    <w:link w:val="Heading2"/>
    <w:rsid w:val="00F0548B"/>
    <w:rPr>
      <w:rFonts w:ascii="Times New Roman" w:hAnsi="Times New Roman"/>
      <w:bCs/>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basedOn w:val="DefaultParagraphFont"/>
    <w:link w:val="Heading3"/>
    <w:rsid w:val="001758D7"/>
    <w:rPr>
      <w:rFonts w:ascii="Times New Roman" w:hAnsi="Times New Roman"/>
      <w:sz w:val="23"/>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1758D7"/>
    <w:rPr>
      <w:rFonts w:ascii="Times New Roman" w:hAnsi="Times New Roman"/>
      <w:sz w:val="23"/>
      <w:lang w:eastAsia="en-US"/>
    </w:rPr>
  </w:style>
  <w:style w:type="character" w:customStyle="1" w:styleId="Heading5Char">
    <w:name w:val="Heading 5 Char"/>
    <w:aliases w:val="Block Label Char,H5 Char,Sub4Para Char,Heading 5 StGeorge Char,Appendix Char,Level 3 - i Char,Level 5 Char,L5 Char,l5 Char,Para5 Char,h5 Char,5 Char,(A) Char,heading 5 Char,A Char,h51 Char,h52 Char,l5+toc5 Char,s Char,ASAPHeading 5 Char"/>
    <w:basedOn w:val="DefaultParagraphFont"/>
    <w:link w:val="Heading5"/>
    <w:rsid w:val="001758D7"/>
    <w:rPr>
      <w:rFonts w:ascii="Times New Roman" w:hAnsi="Times New Roman"/>
      <w:sz w:val="23"/>
      <w:lang w:eastAsia="en-US"/>
    </w:rPr>
  </w:style>
  <w:style w:type="paragraph" w:customStyle="1" w:styleId="ScheduleHeading5">
    <w:name w:val="Schedule Heading 5"/>
    <w:basedOn w:val="Normal"/>
    <w:rsid w:val="001758D7"/>
    <w:pPr>
      <w:tabs>
        <w:tab w:val="num" w:pos="2948"/>
      </w:tabs>
      <w:spacing w:after="240"/>
      <w:ind w:left="2948" w:hanging="737"/>
    </w:pPr>
    <w:rPr>
      <w:rFonts w:ascii="Verdana" w:hAnsi="Verdana" w:cs="Arial"/>
      <w:sz w:val="20"/>
      <w:szCs w:val="19"/>
    </w:rPr>
  </w:style>
  <w:style w:type="paragraph" w:customStyle="1" w:styleId="ScheduleHeading6">
    <w:name w:val="Schedule Heading 6"/>
    <w:basedOn w:val="Normal"/>
    <w:rsid w:val="001758D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1758D7"/>
    <w:pPr>
      <w:tabs>
        <w:tab w:val="num" w:pos="4423"/>
      </w:tabs>
      <w:spacing w:after="240"/>
      <w:ind w:left="4423" w:hanging="737"/>
    </w:pPr>
    <w:rPr>
      <w:rFonts w:ascii="Verdana" w:hAnsi="Verdana" w:cs="Arial"/>
      <w:sz w:val="20"/>
      <w:szCs w:val="19"/>
    </w:rPr>
  </w:style>
  <w:style w:type="paragraph" w:styleId="ListBullet">
    <w:name w:val="List Bullet"/>
    <w:basedOn w:val="Normal"/>
    <w:unhideWhenUsed/>
    <w:rsid w:val="001758D7"/>
    <w:pPr>
      <w:numPr>
        <w:numId w:val="7"/>
      </w:numPr>
      <w:spacing w:after="240"/>
      <w:contextualSpacing/>
    </w:pPr>
    <w:rPr>
      <w:rFonts w:ascii="Arial" w:hAnsi="Arial" w:cs="Arial"/>
      <w:sz w:val="20"/>
      <w:szCs w:val="19"/>
    </w:rPr>
  </w:style>
  <w:style w:type="paragraph" w:styleId="ListNumber">
    <w:name w:val="List Number"/>
    <w:basedOn w:val="Normal"/>
    <w:uiPriority w:val="99"/>
    <w:rsid w:val="001758D7"/>
    <w:pPr>
      <w:numPr>
        <w:numId w:val="8"/>
      </w:numPr>
      <w:spacing w:after="120"/>
    </w:pPr>
    <w:rPr>
      <w:rFonts w:ascii="Arial" w:hAnsi="Arial" w:cs="Arial"/>
      <w:sz w:val="20"/>
      <w:szCs w:val="19"/>
    </w:rPr>
  </w:style>
  <w:style w:type="character" w:customStyle="1" w:styleId="HeaderChar">
    <w:name w:val="Header Char"/>
    <w:basedOn w:val="DefaultParagraphFont"/>
    <w:link w:val="Header"/>
    <w:uiPriority w:val="99"/>
    <w:rsid w:val="001758D7"/>
    <w:rPr>
      <w:rFonts w:ascii="Arial" w:hAnsi="Arial"/>
      <w:b/>
      <w:sz w:val="36"/>
      <w:lang w:eastAsia="en-US"/>
    </w:rPr>
  </w:style>
  <w:style w:type="paragraph" w:customStyle="1" w:styleId="OCPointsBulletsLevel1">
    <w:name w:val="_OC Points Bullets Level 1"/>
    <w:basedOn w:val="Normal"/>
    <w:qFormat/>
    <w:rsid w:val="001758D7"/>
    <w:pPr>
      <w:numPr>
        <w:numId w:val="9"/>
      </w:numPr>
      <w:tabs>
        <w:tab w:val="left" w:pos="567"/>
        <w:tab w:val="left" w:pos="1134"/>
        <w:tab w:val="left" w:pos="1701"/>
      </w:tabs>
      <w:spacing w:after="120" w:line="240" w:lineRule="atLeast"/>
    </w:pPr>
    <w:rPr>
      <w:rFonts w:ascii="Arial" w:eastAsia="Calibri" w:hAnsi="Arial"/>
      <w:color w:val="1C1C1C"/>
      <w:sz w:val="20"/>
      <w:lang w:val="en-GB"/>
    </w:rPr>
  </w:style>
  <w:style w:type="paragraph" w:customStyle="1" w:styleId="OCHeadingLevel1">
    <w:name w:val="_OC Heading Level 1"/>
    <w:basedOn w:val="Heading1"/>
    <w:qFormat/>
    <w:rsid w:val="001758D7"/>
    <w:pPr>
      <w:numPr>
        <w:numId w:val="10"/>
      </w:numPr>
      <w:pBdr>
        <w:top w:val="none" w:sz="0" w:space="0" w:color="auto"/>
      </w:pBdr>
      <w:tabs>
        <w:tab w:val="left" w:pos="1134"/>
        <w:tab w:val="left" w:pos="1701"/>
      </w:tabs>
      <w:spacing w:before="360" w:after="120" w:line="240" w:lineRule="atLeast"/>
    </w:pPr>
    <w:rPr>
      <w:rFonts w:cs="Arial"/>
      <w:b w:val="0"/>
      <w:color w:val="005DAA"/>
      <w:sz w:val="36"/>
      <w:szCs w:val="36"/>
      <w:lang w:val="en-GB"/>
    </w:rPr>
  </w:style>
  <w:style w:type="paragraph" w:customStyle="1" w:styleId="OCHeadingLevel2">
    <w:name w:val="_OC Heading Level 2"/>
    <w:basedOn w:val="Heading2"/>
    <w:next w:val="Normal"/>
    <w:qFormat/>
    <w:rsid w:val="001758D7"/>
    <w:pPr>
      <w:keepNext/>
      <w:numPr>
        <w:numId w:val="10"/>
      </w:numPr>
      <w:tabs>
        <w:tab w:val="left" w:pos="1134"/>
        <w:tab w:val="left" w:pos="1701"/>
      </w:tabs>
      <w:spacing w:before="360" w:after="120" w:line="240" w:lineRule="atLeast"/>
    </w:pPr>
    <w:rPr>
      <w:rFonts w:ascii="Arial" w:hAnsi="Arial" w:cs="Arial"/>
      <w:bCs w:val="0"/>
      <w:color w:val="0096D7"/>
      <w:sz w:val="32"/>
      <w:szCs w:val="32"/>
      <w:lang w:val="en-GB"/>
    </w:rPr>
  </w:style>
  <w:style w:type="paragraph" w:customStyle="1" w:styleId="OCTableHeadings">
    <w:name w:val="_OC Table Headings"/>
    <w:basedOn w:val="Normal"/>
    <w:autoRedefine/>
    <w:qFormat/>
    <w:rsid w:val="001758D7"/>
    <w:pPr>
      <w:keepNext/>
      <w:spacing w:before="60" w:after="60"/>
    </w:pPr>
    <w:rPr>
      <w:rFonts w:ascii="Arial" w:eastAsia="Calibri" w:hAnsi="Arial"/>
      <w:color w:val="FFFFFF" w:themeColor="background1"/>
      <w:sz w:val="20"/>
      <w:szCs w:val="18"/>
      <w:lang w:val="en-GB"/>
    </w:rPr>
  </w:style>
  <w:style w:type="paragraph" w:customStyle="1" w:styleId="OCTableText">
    <w:name w:val="_OC Table Text"/>
    <w:basedOn w:val="Normal"/>
    <w:link w:val="OCTableTextChar"/>
    <w:qFormat/>
    <w:rsid w:val="001758D7"/>
    <w:pPr>
      <w:spacing w:before="60" w:after="60"/>
    </w:pPr>
    <w:rPr>
      <w:rFonts w:ascii="Arial" w:eastAsia="Calibri" w:hAnsi="Arial"/>
      <w:color w:val="1C1C1C"/>
      <w:sz w:val="20"/>
      <w:lang w:val="en-GB"/>
    </w:rPr>
  </w:style>
  <w:style w:type="character" w:customStyle="1" w:styleId="OCTableTextChar">
    <w:name w:val="_OC Table Text Char"/>
    <w:basedOn w:val="DefaultParagraphFont"/>
    <w:link w:val="OCTableText"/>
    <w:rsid w:val="001758D7"/>
    <w:rPr>
      <w:rFonts w:ascii="Arial" w:eastAsia="Calibri" w:hAnsi="Arial"/>
      <w:color w:val="1C1C1C"/>
      <w:lang w:val="en-GB" w:eastAsia="en-US"/>
    </w:rPr>
  </w:style>
  <w:style w:type="paragraph" w:customStyle="1" w:styleId="TableBulletslevel1">
    <w:name w:val="Table Bullets level 1"/>
    <w:basedOn w:val="Normal"/>
    <w:link w:val="TableBulletslevel1Char"/>
    <w:rsid w:val="001758D7"/>
    <w:pPr>
      <w:tabs>
        <w:tab w:val="left" w:pos="567"/>
        <w:tab w:val="left" w:pos="1134"/>
        <w:tab w:val="left" w:pos="1701"/>
      </w:tabs>
      <w:spacing w:after="120" w:line="240" w:lineRule="atLeast"/>
      <w:ind w:left="568" w:hanging="284"/>
    </w:pPr>
    <w:rPr>
      <w:rFonts w:ascii="Arial" w:eastAsiaTheme="minorHAnsi" w:hAnsi="Arial" w:cs="Arial"/>
      <w:color w:val="1C1C1C"/>
      <w:sz w:val="20"/>
      <w:lang w:val="en-GB"/>
    </w:rPr>
  </w:style>
  <w:style w:type="paragraph" w:customStyle="1" w:styleId="TableBullets">
    <w:name w:val="Table Bullets"/>
    <w:basedOn w:val="TableBulletslevel1"/>
    <w:link w:val="TableBulletsChar"/>
    <w:qFormat/>
    <w:rsid w:val="001758D7"/>
    <w:pPr>
      <w:spacing w:line="240" w:lineRule="auto"/>
      <w:ind w:left="227" w:hanging="142"/>
    </w:pPr>
  </w:style>
  <w:style w:type="character" w:customStyle="1" w:styleId="TableBulletslevel1Char">
    <w:name w:val="Table Bullets level 1 Char"/>
    <w:basedOn w:val="DefaultParagraphFont"/>
    <w:link w:val="TableBulletslevel1"/>
    <w:rsid w:val="001758D7"/>
    <w:rPr>
      <w:rFonts w:ascii="Arial" w:eastAsiaTheme="minorHAnsi" w:hAnsi="Arial" w:cs="Arial"/>
      <w:color w:val="1C1C1C"/>
      <w:lang w:val="en-GB" w:eastAsia="en-US"/>
    </w:rPr>
  </w:style>
  <w:style w:type="character" w:customStyle="1" w:styleId="TableBulletsChar">
    <w:name w:val="Table Bullets Char"/>
    <w:basedOn w:val="TableBulletslevel1Char"/>
    <w:link w:val="TableBullets"/>
    <w:rsid w:val="001758D7"/>
    <w:rPr>
      <w:rFonts w:ascii="Arial" w:eastAsiaTheme="minorHAnsi" w:hAnsi="Arial" w:cs="Arial"/>
      <w:color w:val="1C1C1C"/>
      <w:lang w:val="en-GB" w:eastAsia="en-US"/>
    </w:rPr>
  </w:style>
  <w:style w:type="character" w:customStyle="1" w:styleId="TableTextChar">
    <w:name w:val="Table Text Char"/>
    <w:basedOn w:val="DefaultParagraphFont"/>
    <w:link w:val="TableText"/>
    <w:locked/>
    <w:rsid w:val="001758D7"/>
    <w:rPr>
      <w:rFonts w:ascii="Arial" w:eastAsia="Cambria" w:hAnsi="Arial" w:cs="Calibri"/>
      <w:color w:val="000000"/>
      <w:spacing w:val="-2"/>
      <w:sz w:val="18"/>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680">
      <w:bodyDiv w:val="1"/>
      <w:marLeft w:val="0"/>
      <w:marRight w:val="0"/>
      <w:marTop w:val="0"/>
      <w:marBottom w:val="0"/>
      <w:divBdr>
        <w:top w:val="none" w:sz="0" w:space="0" w:color="auto"/>
        <w:left w:val="none" w:sz="0" w:space="0" w:color="auto"/>
        <w:bottom w:val="none" w:sz="0" w:space="0" w:color="auto"/>
        <w:right w:val="none" w:sz="0" w:space="0" w:color="auto"/>
      </w:divBdr>
    </w:div>
    <w:div w:id="103765982">
      <w:bodyDiv w:val="1"/>
      <w:marLeft w:val="0"/>
      <w:marRight w:val="0"/>
      <w:marTop w:val="0"/>
      <w:marBottom w:val="0"/>
      <w:divBdr>
        <w:top w:val="none" w:sz="0" w:space="0" w:color="auto"/>
        <w:left w:val="none" w:sz="0" w:space="0" w:color="auto"/>
        <w:bottom w:val="none" w:sz="0" w:space="0" w:color="auto"/>
        <w:right w:val="none" w:sz="0" w:space="0" w:color="auto"/>
      </w:divBdr>
    </w:div>
    <w:div w:id="164321813">
      <w:bodyDiv w:val="1"/>
      <w:marLeft w:val="0"/>
      <w:marRight w:val="0"/>
      <w:marTop w:val="0"/>
      <w:marBottom w:val="0"/>
      <w:divBdr>
        <w:top w:val="none" w:sz="0" w:space="0" w:color="auto"/>
        <w:left w:val="none" w:sz="0" w:space="0" w:color="auto"/>
        <w:bottom w:val="none" w:sz="0" w:space="0" w:color="auto"/>
        <w:right w:val="none" w:sz="0" w:space="0" w:color="auto"/>
      </w:divBdr>
    </w:div>
    <w:div w:id="172690841">
      <w:bodyDiv w:val="1"/>
      <w:marLeft w:val="0"/>
      <w:marRight w:val="0"/>
      <w:marTop w:val="0"/>
      <w:marBottom w:val="0"/>
      <w:divBdr>
        <w:top w:val="none" w:sz="0" w:space="0" w:color="auto"/>
        <w:left w:val="none" w:sz="0" w:space="0" w:color="auto"/>
        <w:bottom w:val="none" w:sz="0" w:space="0" w:color="auto"/>
        <w:right w:val="none" w:sz="0" w:space="0" w:color="auto"/>
      </w:divBdr>
    </w:div>
    <w:div w:id="193465908">
      <w:bodyDiv w:val="1"/>
      <w:marLeft w:val="0"/>
      <w:marRight w:val="0"/>
      <w:marTop w:val="0"/>
      <w:marBottom w:val="0"/>
      <w:divBdr>
        <w:top w:val="none" w:sz="0" w:space="0" w:color="auto"/>
        <w:left w:val="none" w:sz="0" w:space="0" w:color="auto"/>
        <w:bottom w:val="none" w:sz="0" w:space="0" w:color="auto"/>
        <w:right w:val="none" w:sz="0" w:space="0" w:color="auto"/>
      </w:divBdr>
    </w:div>
    <w:div w:id="232283036">
      <w:bodyDiv w:val="1"/>
      <w:marLeft w:val="0"/>
      <w:marRight w:val="0"/>
      <w:marTop w:val="0"/>
      <w:marBottom w:val="0"/>
      <w:divBdr>
        <w:top w:val="none" w:sz="0" w:space="0" w:color="auto"/>
        <w:left w:val="none" w:sz="0" w:space="0" w:color="auto"/>
        <w:bottom w:val="none" w:sz="0" w:space="0" w:color="auto"/>
        <w:right w:val="none" w:sz="0" w:space="0" w:color="auto"/>
      </w:divBdr>
    </w:div>
    <w:div w:id="248855825">
      <w:bodyDiv w:val="1"/>
      <w:marLeft w:val="0"/>
      <w:marRight w:val="0"/>
      <w:marTop w:val="0"/>
      <w:marBottom w:val="0"/>
      <w:divBdr>
        <w:top w:val="none" w:sz="0" w:space="0" w:color="auto"/>
        <w:left w:val="none" w:sz="0" w:space="0" w:color="auto"/>
        <w:bottom w:val="none" w:sz="0" w:space="0" w:color="auto"/>
        <w:right w:val="none" w:sz="0" w:space="0" w:color="auto"/>
      </w:divBdr>
    </w:div>
    <w:div w:id="262418439">
      <w:bodyDiv w:val="1"/>
      <w:marLeft w:val="0"/>
      <w:marRight w:val="0"/>
      <w:marTop w:val="0"/>
      <w:marBottom w:val="0"/>
      <w:divBdr>
        <w:top w:val="none" w:sz="0" w:space="0" w:color="auto"/>
        <w:left w:val="none" w:sz="0" w:space="0" w:color="auto"/>
        <w:bottom w:val="none" w:sz="0" w:space="0" w:color="auto"/>
        <w:right w:val="none" w:sz="0" w:space="0" w:color="auto"/>
      </w:divBdr>
    </w:div>
    <w:div w:id="346909646">
      <w:bodyDiv w:val="1"/>
      <w:marLeft w:val="0"/>
      <w:marRight w:val="0"/>
      <w:marTop w:val="0"/>
      <w:marBottom w:val="0"/>
      <w:divBdr>
        <w:top w:val="none" w:sz="0" w:space="0" w:color="auto"/>
        <w:left w:val="none" w:sz="0" w:space="0" w:color="auto"/>
        <w:bottom w:val="none" w:sz="0" w:space="0" w:color="auto"/>
        <w:right w:val="none" w:sz="0" w:space="0" w:color="auto"/>
      </w:divBdr>
    </w:div>
    <w:div w:id="388842869">
      <w:bodyDiv w:val="1"/>
      <w:marLeft w:val="0"/>
      <w:marRight w:val="0"/>
      <w:marTop w:val="0"/>
      <w:marBottom w:val="0"/>
      <w:divBdr>
        <w:top w:val="none" w:sz="0" w:space="0" w:color="auto"/>
        <w:left w:val="none" w:sz="0" w:space="0" w:color="auto"/>
        <w:bottom w:val="none" w:sz="0" w:space="0" w:color="auto"/>
        <w:right w:val="none" w:sz="0" w:space="0" w:color="auto"/>
      </w:divBdr>
    </w:div>
    <w:div w:id="476650400">
      <w:bodyDiv w:val="1"/>
      <w:marLeft w:val="0"/>
      <w:marRight w:val="0"/>
      <w:marTop w:val="0"/>
      <w:marBottom w:val="0"/>
      <w:divBdr>
        <w:top w:val="none" w:sz="0" w:space="0" w:color="auto"/>
        <w:left w:val="none" w:sz="0" w:space="0" w:color="auto"/>
        <w:bottom w:val="none" w:sz="0" w:space="0" w:color="auto"/>
        <w:right w:val="none" w:sz="0" w:space="0" w:color="auto"/>
      </w:divBdr>
    </w:div>
    <w:div w:id="497231652">
      <w:bodyDiv w:val="1"/>
      <w:marLeft w:val="0"/>
      <w:marRight w:val="0"/>
      <w:marTop w:val="0"/>
      <w:marBottom w:val="0"/>
      <w:divBdr>
        <w:top w:val="none" w:sz="0" w:space="0" w:color="auto"/>
        <w:left w:val="none" w:sz="0" w:space="0" w:color="auto"/>
        <w:bottom w:val="none" w:sz="0" w:space="0" w:color="auto"/>
        <w:right w:val="none" w:sz="0" w:space="0" w:color="auto"/>
      </w:divBdr>
    </w:div>
    <w:div w:id="525409712">
      <w:bodyDiv w:val="1"/>
      <w:marLeft w:val="0"/>
      <w:marRight w:val="0"/>
      <w:marTop w:val="0"/>
      <w:marBottom w:val="0"/>
      <w:divBdr>
        <w:top w:val="none" w:sz="0" w:space="0" w:color="auto"/>
        <w:left w:val="none" w:sz="0" w:space="0" w:color="auto"/>
        <w:bottom w:val="none" w:sz="0" w:space="0" w:color="auto"/>
        <w:right w:val="none" w:sz="0" w:space="0" w:color="auto"/>
      </w:divBdr>
    </w:div>
    <w:div w:id="751664894">
      <w:bodyDiv w:val="1"/>
      <w:marLeft w:val="0"/>
      <w:marRight w:val="0"/>
      <w:marTop w:val="0"/>
      <w:marBottom w:val="0"/>
      <w:divBdr>
        <w:top w:val="none" w:sz="0" w:space="0" w:color="auto"/>
        <w:left w:val="none" w:sz="0" w:space="0" w:color="auto"/>
        <w:bottom w:val="none" w:sz="0" w:space="0" w:color="auto"/>
        <w:right w:val="none" w:sz="0" w:space="0" w:color="auto"/>
      </w:divBdr>
    </w:div>
    <w:div w:id="780537429">
      <w:bodyDiv w:val="1"/>
      <w:marLeft w:val="0"/>
      <w:marRight w:val="0"/>
      <w:marTop w:val="0"/>
      <w:marBottom w:val="0"/>
      <w:divBdr>
        <w:top w:val="none" w:sz="0" w:space="0" w:color="auto"/>
        <w:left w:val="none" w:sz="0" w:space="0" w:color="auto"/>
        <w:bottom w:val="none" w:sz="0" w:space="0" w:color="auto"/>
        <w:right w:val="none" w:sz="0" w:space="0" w:color="auto"/>
      </w:divBdr>
    </w:div>
    <w:div w:id="822156910">
      <w:bodyDiv w:val="1"/>
      <w:marLeft w:val="0"/>
      <w:marRight w:val="0"/>
      <w:marTop w:val="0"/>
      <w:marBottom w:val="0"/>
      <w:divBdr>
        <w:top w:val="none" w:sz="0" w:space="0" w:color="auto"/>
        <w:left w:val="none" w:sz="0" w:space="0" w:color="auto"/>
        <w:bottom w:val="none" w:sz="0" w:space="0" w:color="auto"/>
        <w:right w:val="none" w:sz="0" w:space="0" w:color="auto"/>
      </w:divBdr>
    </w:div>
    <w:div w:id="830020109">
      <w:bodyDiv w:val="1"/>
      <w:marLeft w:val="0"/>
      <w:marRight w:val="0"/>
      <w:marTop w:val="0"/>
      <w:marBottom w:val="0"/>
      <w:divBdr>
        <w:top w:val="none" w:sz="0" w:space="0" w:color="auto"/>
        <w:left w:val="none" w:sz="0" w:space="0" w:color="auto"/>
        <w:bottom w:val="none" w:sz="0" w:space="0" w:color="auto"/>
        <w:right w:val="none" w:sz="0" w:space="0" w:color="auto"/>
      </w:divBdr>
    </w:div>
    <w:div w:id="837505879">
      <w:bodyDiv w:val="1"/>
      <w:marLeft w:val="0"/>
      <w:marRight w:val="0"/>
      <w:marTop w:val="0"/>
      <w:marBottom w:val="0"/>
      <w:divBdr>
        <w:top w:val="none" w:sz="0" w:space="0" w:color="auto"/>
        <w:left w:val="none" w:sz="0" w:space="0" w:color="auto"/>
        <w:bottom w:val="none" w:sz="0" w:space="0" w:color="auto"/>
        <w:right w:val="none" w:sz="0" w:space="0" w:color="auto"/>
      </w:divBdr>
    </w:div>
    <w:div w:id="881015710">
      <w:bodyDiv w:val="1"/>
      <w:marLeft w:val="0"/>
      <w:marRight w:val="0"/>
      <w:marTop w:val="0"/>
      <w:marBottom w:val="0"/>
      <w:divBdr>
        <w:top w:val="none" w:sz="0" w:space="0" w:color="auto"/>
        <w:left w:val="none" w:sz="0" w:space="0" w:color="auto"/>
        <w:bottom w:val="none" w:sz="0" w:space="0" w:color="auto"/>
        <w:right w:val="none" w:sz="0" w:space="0" w:color="auto"/>
      </w:divBdr>
    </w:div>
    <w:div w:id="959730109">
      <w:bodyDiv w:val="1"/>
      <w:marLeft w:val="0"/>
      <w:marRight w:val="0"/>
      <w:marTop w:val="0"/>
      <w:marBottom w:val="0"/>
      <w:divBdr>
        <w:top w:val="none" w:sz="0" w:space="0" w:color="auto"/>
        <w:left w:val="none" w:sz="0" w:space="0" w:color="auto"/>
        <w:bottom w:val="none" w:sz="0" w:space="0" w:color="auto"/>
        <w:right w:val="none" w:sz="0" w:space="0" w:color="auto"/>
      </w:divBdr>
    </w:div>
    <w:div w:id="961615060">
      <w:bodyDiv w:val="1"/>
      <w:marLeft w:val="0"/>
      <w:marRight w:val="0"/>
      <w:marTop w:val="0"/>
      <w:marBottom w:val="0"/>
      <w:divBdr>
        <w:top w:val="none" w:sz="0" w:space="0" w:color="auto"/>
        <w:left w:val="none" w:sz="0" w:space="0" w:color="auto"/>
        <w:bottom w:val="none" w:sz="0" w:space="0" w:color="auto"/>
        <w:right w:val="none" w:sz="0" w:space="0" w:color="auto"/>
      </w:divBdr>
    </w:div>
    <w:div w:id="977956881">
      <w:bodyDiv w:val="1"/>
      <w:marLeft w:val="0"/>
      <w:marRight w:val="0"/>
      <w:marTop w:val="0"/>
      <w:marBottom w:val="0"/>
      <w:divBdr>
        <w:top w:val="none" w:sz="0" w:space="0" w:color="auto"/>
        <w:left w:val="none" w:sz="0" w:space="0" w:color="auto"/>
        <w:bottom w:val="none" w:sz="0" w:space="0" w:color="auto"/>
        <w:right w:val="none" w:sz="0" w:space="0" w:color="auto"/>
      </w:divBdr>
    </w:div>
    <w:div w:id="1033186303">
      <w:bodyDiv w:val="1"/>
      <w:marLeft w:val="0"/>
      <w:marRight w:val="0"/>
      <w:marTop w:val="0"/>
      <w:marBottom w:val="0"/>
      <w:divBdr>
        <w:top w:val="none" w:sz="0" w:space="0" w:color="auto"/>
        <w:left w:val="none" w:sz="0" w:space="0" w:color="auto"/>
        <w:bottom w:val="none" w:sz="0" w:space="0" w:color="auto"/>
        <w:right w:val="none" w:sz="0" w:space="0" w:color="auto"/>
      </w:divBdr>
    </w:div>
    <w:div w:id="1081214533">
      <w:bodyDiv w:val="1"/>
      <w:marLeft w:val="0"/>
      <w:marRight w:val="0"/>
      <w:marTop w:val="0"/>
      <w:marBottom w:val="0"/>
      <w:divBdr>
        <w:top w:val="none" w:sz="0" w:space="0" w:color="auto"/>
        <w:left w:val="none" w:sz="0" w:space="0" w:color="auto"/>
        <w:bottom w:val="none" w:sz="0" w:space="0" w:color="auto"/>
        <w:right w:val="none" w:sz="0" w:space="0" w:color="auto"/>
      </w:divBdr>
    </w:div>
    <w:div w:id="1120303401">
      <w:bodyDiv w:val="1"/>
      <w:marLeft w:val="0"/>
      <w:marRight w:val="0"/>
      <w:marTop w:val="0"/>
      <w:marBottom w:val="0"/>
      <w:divBdr>
        <w:top w:val="none" w:sz="0" w:space="0" w:color="auto"/>
        <w:left w:val="none" w:sz="0" w:space="0" w:color="auto"/>
        <w:bottom w:val="none" w:sz="0" w:space="0" w:color="auto"/>
        <w:right w:val="none" w:sz="0" w:space="0" w:color="auto"/>
      </w:divBdr>
    </w:div>
    <w:div w:id="1128206241">
      <w:bodyDiv w:val="1"/>
      <w:marLeft w:val="0"/>
      <w:marRight w:val="0"/>
      <w:marTop w:val="0"/>
      <w:marBottom w:val="0"/>
      <w:divBdr>
        <w:top w:val="none" w:sz="0" w:space="0" w:color="auto"/>
        <w:left w:val="none" w:sz="0" w:space="0" w:color="auto"/>
        <w:bottom w:val="none" w:sz="0" w:space="0" w:color="auto"/>
        <w:right w:val="none" w:sz="0" w:space="0" w:color="auto"/>
      </w:divBdr>
    </w:div>
    <w:div w:id="1193297760">
      <w:bodyDiv w:val="1"/>
      <w:marLeft w:val="0"/>
      <w:marRight w:val="0"/>
      <w:marTop w:val="0"/>
      <w:marBottom w:val="0"/>
      <w:divBdr>
        <w:top w:val="none" w:sz="0" w:space="0" w:color="auto"/>
        <w:left w:val="none" w:sz="0" w:space="0" w:color="auto"/>
        <w:bottom w:val="none" w:sz="0" w:space="0" w:color="auto"/>
        <w:right w:val="none" w:sz="0" w:space="0" w:color="auto"/>
      </w:divBdr>
    </w:div>
    <w:div w:id="1234001215">
      <w:bodyDiv w:val="1"/>
      <w:marLeft w:val="0"/>
      <w:marRight w:val="0"/>
      <w:marTop w:val="0"/>
      <w:marBottom w:val="0"/>
      <w:divBdr>
        <w:top w:val="none" w:sz="0" w:space="0" w:color="auto"/>
        <w:left w:val="none" w:sz="0" w:space="0" w:color="auto"/>
        <w:bottom w:val="none" w:sz="0" w:space="0" w:color="auto"/>
        <w:right w:val="none" w:sz="0" w:space="0" w:color="auto"/>
      </w:divBdr>
    </w:div>
    <w:div w:id="1308315095">
      <w:bodyDiv w:val="1"/>
      <w:marLeft w:val="0"/>
      <w:marRight w:val="0"/>
      <w:marTop w:val="0"/>
      <w:marBottom w:val="0"/>
      <w:divBdr>
        <w:top w:val="none" w:sz="0" w:space="0" w:color="auto"/>
        <w:left w:val="none" w:sz="0" w:space="0" w:color="auto"/>
        <w:bottom w:val="none" w:sz="0" w:space="0" w:color="auto"/>
        <w:right w:val="none" w:sz="0" w:space="0" w:color="auto"/>
      </w:divBdr>
    </w:div>
    <w:div w:id="1392341873">
      <w:bodyDiv w:val="1"/>
      <w:marLeft w:val="0"/>
      <w:marRight w:val="0"/>
      <w:marTop w:val="0"/>
      <w:marBottom w:val="0"/>
      <w:divBdr>
        <w:top w:val="none" w:sz="0" w:space="0" w:color="auto"/>
        <w:left w:val="none" w:sz="0" w:space="0" w:color="auto"/>
        <w:bottom w:val="none" w:sz="0" w:space="0" w:color="auto"/>
        <w:right w:val="none" w:sz="0" w:space="0" w:color="auto"/>
      </w:divBdr>
    </w:div>
    <w:div w:id="1420323971">
      <w:bodyDiv w:val="1"/>
      <w:marLeft w:val="0"/>
      <w:marRight w:val="0"/>
      <w:marTop w:val="0"/>
      <w:marBottom w:val="0"/>
      <w:divBdr>
        <w:top w:val="none" w:sz="0" w:space="0" w:color="auto"/>
        <w:left w:val="none" w:sz="0" w:space="0" w:color="auto"/>
        <w:bottom w:val="none" w:sz="0" w:space="0" w:color="auto"/>
        <w:right w:val="none" w:sz="0" w:space="0" w:color="auto"/>
      </w:divBdr>
    </w:div>
    <w:div w:id="1446386750">
      <w:bodyDiv w:val="1"/>
      <w:marLeft w:val="0"/>
      <w:marRight w:val="0"/>
      <w:marTop w:val="0"/>
      <w:marBottom w:val="0"/>
      <w:divBdr>
        <w:top w:val="none" w:sz="0" w:space="0" w:color="auto"/>
        <w:left w:val="none" w:sz="0" w:space="0" w:color="auto"/>
        <w:bottom w:val="none" w:sz="0" w:space="0" w:color="auto"/>
        <w:right w:val="none" w:sz="0" w:space="0" w:color="auto"/>
      </w:divBdr>
    </w:div>
    <w:div w:id="1535535032">
      <w:bodyDiv w:val="1"/>
      <w:marLeft w:val="0"/>
      <w:marRight w:val="0"/>
      <w:marTop w:val="0"/>
      <w:marBottom w:val="0"/>
      <w:divBdr>
        <w:top w:val="none" w:sz="0" w:space="0" w:color="auto"/>
        <w:left w:val="none" w:sz="0" w:space="0" w:color="auto"/>
        <w:bottom w:val="none" w:sz="0" w:space="0" w:color="auto"/>
        <w:right w:val="none" w:sz="0" w:space="0" w:color="auto"/>
      </w:divBdr>
    </w:div>
    <w:div w:id="1545169893">
      <w:bodyDiv w:val="1"/>
      <w:marLeft w:val="0"/>
      <w:marRight w:val="0"/>
      <w:marTop w:val="0"/>
      <w:marBottom w:val="0"/>
      <w:divBdr>
        <w:top w:val="none" w:sz="0" w:space="0" w:color="auto"/>
        <w:left w:val="none" w:sz="0" w:space="0" w:color="auto"/>
        <w:bottom w:val="none" w:sz="0" w:space="0" w:color="auto"/>
        <w:right w:val="none" w:sz="0" w:space="0" w:color="auto"/>
      </w:divBdr>
    </w:div>
    <w:div w:id="1549687777">
      <w:bodyDiv w:val="1"/>
      <w:marLeft w:val="0"/>
      <w:marRight w:val="0"/>
      <w:marTop w:val="0"/>
      <w:marBottom w:val="0"/>
      <w:divBdr>
        <w:top w:val="none" w:sz="0" w:space="0" w:color="auto"/>
        <w:left w:val="none" w:sz="0" w:space="0" w:color="auto"/>
        <w:bottom w:val="none" w:sz="0" w:space="0" w:color="auto"/>
        <w:right w:val="none" w:sz="0" w:space="0" w:color="auto"/>
      </w:divBdr>
    </w:div>
    <w:div w:id="1807895687">
      <w:bodyDiv w:val="1"/>
      <w:marLeft w:val="0"/>
      <w:marRight w:val="0"/>
      <w:marTop w:val="0"/>
      <w:marBottom w:val="0"/>
      <w:divBdr>
        <w:top w:val="none" w:sz="0" w:space="0" w:color="auto"/>
        <w:left w:val="none" w:sz="0" w:space="0" w:color="auto"/>
        <w:bottom w:val="none" w:sz="0" w:space="0" w:color="auto"/>
        <w:right w:val="none" w:sz="0" w:space="0" w:color="auto"/>
      </w:divBdr>
    </w:div>
    <w:div w:id="2005933912">
      <w:bodyDiv w:val="1"/>
      <w:marLeft w:val="0"/>
      <w:marRight w:val="0"/>
      <w:marTop w:val="0"/>
      <w:marBottom w:val="0"/>
      <w:divBdr>
        <w:top w:val="none" w:sz="0" w:space="0" w:color="auto"/>
        <w:left w:val="none" w:sz="0" w:space="0" w:color="auto"/>
        <w:bottom w:val="none" w:sz="0" w:space="0" w:color="auto"/>
        <w:right w:val="none" w:sz="0" w:space="0" w:color="auto"/>
      </w:divBdr>
    </w:div>
    <w:div w:id="2016416961">
      <w:bodyDiv w:val="1"/>
      <w:marLeft w:val="0"/>
      <w:marRight w:val="0"/>
      <w:marTop w:val="0"/>
      <w:marBottom w:val="0"/>
      <w:divBdr>
        <w:top w:val="none" w:sz="0" w:space="0" w:color="auto"/>
        <w:left w:val="none" w:sz="0" w:space="0" w:color="auto"/>
        <w:bottom w:val="none" w:sz="0" w:space="0" w:color="auto"/>
        <w:right w:val="none" w:sz="0" w:space="0" w:color="auto"/>
      </w:divBdr>
    </w:div>
    <w:div w:id="2032415595">
      <w:bodyDiv w:val="1"/>
      <w:marLeft w:val="0"/>
      <w:marRight w:val="0"/>
      <w:marTop w:val="0"/>
      <w:marBottom w:val="0"/>
      <w:divBdr>
        <w:top w:val="none" w:sz="0" w:space="0" w:color="auto"/>
        <w:left w:val="none" w:sz="0" w:space="0" w:color="auto"/>
        <w:bottom w:val="none" w:sz="0" w:space="0" w:color="auto"/>
        <w:right w:val="none" w:sz="0" w:space="0" w:color="auto"/>
      </w:divBdr>
    </w:div>
    <w:div w:id="2042827668">
      <w:bodyDiv w:val="1"/>
      <w:marLeft w:val="0"/>
      <w:marRight w:val="0"/>
      <w:marTop w:val="0"/>
      <w:marBottom w:val="0"/>
      <w:divBdr>
        <w:top w:val="none" w:sz="0" w:space="0" w:color="auto"/>
        <w:left w:val="none" w:sz="0" w:space="0" w:color="auto"/>
        <w:bottom w:val="none" w:sz="0" w:space="0" w:color="auto"/>
        <w:right w:val="none" w:sz="0" w:space="0" w:color="auto"/>
      </w:divBdr>
    </w:div>
    <w:div w:id="205442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elstra.com.au/customerterms/bus_government.htm"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 W o r k i n g ! 7 1 5 9 3 6 0 8 . 4 < / d o c u m e n t i d >  
     < s e n d e r i d > J P E R I E R < / s e n d e r i d >  
     < s e n d e r e m a i l > J P E R I E R @ M C C U L L O U G H . C O M . A U < / s e n d e r e m a i l >  
     < l a s t m o d i f i e d > 2 0 2 3 - 1 0 - 2 4 T 1 7 : 5 1 : 0 0 . 0 0 0 0 0 0 0 + 1 1 : 0 0 < / l a s t m o d i f i e d >  
     < d a t a b a s e > W o r k i n g < / 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C572D-303B-4FCD-AF66-0BB2E0B2E687}">
  <ds:schemaRefs>
    <ds:schemaRef ds:uri="http://www.imanage.com/work/xmlschema"/>
  </ds:schemaRefs>
</ds:datastoreItem>
</file>

<file path=customXml/itemProps2.xml><?xml version="1.0" encoding="utf-8"?>
<ds:datastoreItem xmlns:ds="http://schemas.openxmlformats.org/officeDocument/2006/customXml" ds:itemID="{87720BA7-B225-4357-811E-48AB1BB9A31F}">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25</Pages>
  <Words>7781</Words>
  <Characters>43467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Telstra Our Customer Terms Integrated Service Management</vt:lpstr>
    </vt:vector>
  </TitlesOfParts>
  <Company>Telstra</Company>
  <LinksUpToDate>false</LinksUpToDate>
  <CharactersWithSpaces>51146</CharactersWithSpaces>
  <SharedDoc>false</SharedDoc>
  <HyperlinkBase/>
  <HLinks>
    <vt:vector size="300" baseType="variant">
      <vt:variant>
        <vt:i4>5832788</vt:i4>
      </vt:variant>
      <vt:variant>
        <vt:i4>339</vt:i4>
      </vt:variant>
      <vt:variant>
        <vt:i4>0</vt:i4>
      </vt:variant>
      <vt:variant>
        <vt:i4>5</vt:i4>
      </vt:variant>
      <vt:variant>
        <vt:lpwstr>http://www.telstra.com.au/customer-terms/business-government</vt:lpwstr>
      </vt:variant>
      <vt:variant>
        <vt:lpwstr/>
      </vt:variant>
      <vt:variant>
        <vt:i4>5832788</vt:i4>
      </vt:variant>
      <vt:variant>
        <vt:i4>303</vt:i4>
      </vt:variant>
      <vt:variant>
        <vt:i4>0</vt:i4>
      </vt:variant>
      <vt:variant>
        <vt:i4>5</vt:i4>
      </vt:variant>
      <vt:variant>
        <vt:lpwstr>http://www.telstra.com.au/customer-terms/business-government</vt:lpwstr>
      </vt:variant>
      <vt:variant>
        <vt:lpwstr/>
      </vt:variant>
      <vt:variant>
        <vt:i4>327786</vt:i4>
      </vt:variant>
      <vt:variant>
        <vt:i4>285</vt:i4>
      </vt:variant>
      <vt:variant>
        <vt:i4>0</vt:i4>
      </vt:variant>
      <vt:variant>
        <vt:i4>5</vt:i4>
      </vt:variant>
      <vt:variant>
        <vt:lpwstr>http://www.telstra.com.au/customerterms/bus_government.htm</vt:lpwstr>
      </vt:variant>
      <vt:variant>
        <vt:lpwstr/>
      </vt:variant>
      <vt:variant>
        <vt:i4>1245244</vt:i4>
      </vt:variant>
      <vt:variant>
        <vt:i4>278</vt:i4>
      </vt:variant>
      <vt:variant>
        <vt:i4>0</vt:i4>
      </vt:variant>
      <vt:variant>
        <vt:i4>5</vt:i4>
      </vt:variant>
      <vt:variant>
        <vt:lpwstr/>
      </vt:variant>
      <vt:variant>
        <vt:lpwstr>_Toc459712045</vt:lpwstr>
      </vt:variant>
      <vt:variant>
        <vt:i4>1245244</vt:i4>
      </vt:variant>
      <vt:variant>
        <vt:i4>272</vt:i4>
      </vt:variant>
      <vt:variant>
        <vt:i4>0</vt:i4>
      </vt:variant>
      <vt:variant>
        <vt:i4>5</vt:i4>
      </vt:variant>
      <vt:variant>
        <vt:lpwstr/>
      </vt:variant>
      <vt:variant>
        <vt:lpwstr>_Toc459712044</vt:lpwstr>
      </vt:variant>
      <vt:variant>
        <vt:i4>1245244</vt:i4>
      </vt:variant>
      <vt:variant>
        <vt:i4>266</vt:i4>
      </vt:variant>
      <vt:variant>
        <vt:i4>0</vt:i4>
      </vt:variant>
      <vt:variant>
        <vt:i4>5</vt:i4>
      </vt:variant>
      <vt:variant>
        <vt:lpwstr/>
      </vt:variant>
      <vt:variant>
        <vt:lpwstr>_Toc459712043</vt:lpwstr>
      </vt:variant>
      <vt:variant>
        <vt:i4>1245244</vt:i4>
      </vt:variant>
      <vt:variant>
        <vt:i4>260</vt:i4>
      </vt:variant>
      <vt:variant>
        <vt:i4>0</vt:i4>
      </vt:variant>
      <vt:variant>
        <vt:i4>5</vt:i4>
      </vt:variant>
      <vt:variant>
        <vt:lpwstr/>
      </vt:variant>
      <vt:variant>
        <vt:lpwstr>_Toc459712042</vt:lpwstr>
      </vt:variant>
      <vt:variant>
        <vt:i4>1245244</vt:i4>
      </vt:variant>
      <vt:variant>
        <vt:i4>254</vt:i4>
      </vt:variant>
      <vt:variant>
        <vt:i4>0</vt:i4>
      </vt:variant>
      <vt:variant>
        <vt:i4>5</vt:i4>
      </vt:variant>
      <vt:variant>
        <vt:lpwstr/>
      </vt:variant>
      <vt:variant>
        <vt:lpwstr>_Toc459712041</vt:lpwstr>
      </vt:variant>
      <vt:variant>
        <vt:i4>1245244</vt:i4>
      </vt:variant>
      <vt:variant>
        <vt:i4>248</vt:i4>
      </vt:variant>
      <vt:variant>
        <vt:i4>0</vt:i4>
      </vt:variant>
      <vt:variant>
        <vt:i4>5</vt:i4>
      </vt:variant>
      <vt:variant>
        <vt:lpwstr/>
      </vt:variant>
      <vt:variant>
        <vt:lpwstr>_Toc459712040</vt:lpwstr>
      </vt:variant>
      <vt:variant>
        <vt:i4>1310780</vt:i4>
      </vt:variant>
      <vt:variant>
        <vt:i4>242</vt:i4>
      </vt:variant>
      <vt:variant>
        <vt:i4>0</vt:i4>
      </vt:variant>
      <vt:variant>
        <vt:i4>5</vt:i4>
      </vt:variant>
      <vt:variant>
        <vt:lpwstr/>
      </vt:variant>
      <vt:variant>
        <vt:lpwstr>_Toc459712039</vt:lpwstr>
      </vt:variant>
      <vt:variant>
        <vt:i4>1310780</vt:i4>
      </vt:variant>
      <vt:variant>
        <vt:i4>236</vt:i4>
      </vt:variant>
      <vt:variant>
        <vt:i4>0</vt:i4>
      </vt:variant>
      <vt:variant>
        <vt:i4>5</vt:i4>
      </vt:variant>
      <vt:variant>
        <vt:lpwstr/>
      </vt:variant>
      <vt:variant>
        <vt:lpwstr>_Toc459712038</vt:lpwstr>
      </vt:variant>
      <vt:variant>
        <vt:i4>1310780</vt:i4>
      </vt:variant>
      <vt:variant>
        <vt:i4>230</vt:i4>
      </vt:variant>
      <vt:variant>
        <vt:i4>0</vt:i4>
      </vt:variant>
      <vt:variant>
        <vt:i4>5</vt:i4>
      </vt:variant>
      <vt:variant>
        <vt:lpwstr/>
      </vt:variant>
      <vt:variant>
        <vt:lpwstr>_Toc459712037</vt:lpwstr>
      </vt:variant>
      <vt:variant>
        <vt:i4>1310780</vt:i4>
      </vt:variant>
      <vt:variant>
        <vt:i4>224</vt:i4>
      </vt:variant>
      <vt:variant>
        <vt:i4>0</vt:i4>
      </vt:variant>
      <vt:variant>
        <vt:i4>5</vt:i4>
      </vt:variant>
      <vt:variant>
        <vt:lpwstr/>
      </vt:variant>
      <vt:variant>
        <vt:lpwstr>_Toc459712036</vt:lpwstr>
      </vt:variant>
      <vt:variant>
        <vt:i4>1310780</vt:i4>
      </vt:variant>
      <vt:variant>
        <vt:i4>218</vt:i4>
      </vt:variant>
      <vt:variant>
        <vt:i4>0</vt:i4>
      </vt:variant>
      <vt:variant>
        <vt:i4>5</vt:i4>
      </vt:variant>
      <vt:variant>
        <vt:lpwstr/>
      </vt:variant>
      <vt:variant>
        <vt:lpwstr>_Toc459712035</vt:lpwstr>
      </vt:variant>
      <vt:variant>
        <vt:i4>1310780</vt:i4>
      </vt:variant>
      <vt:variant>
        <vt:i4>212</vt:i4>
      </vt:variant>
      <vt:variant>
        <vt:i4>0</vt:i4>
      </vt:variant>
      <vt:variant>
        <vt:i4>5</vt:i4>
      </vt:variant>
      <vt:variant>
        <vt:lpwstr/>
      </vt:variant>
      <vt:variant>
        <vt:lpwstr>_Toc459712034</vt:lpwstr>
      </vt:variant>
      <vt:variant>
        <vt:i4>1310780</vt:i4>
      </vt:variant>
      <vt:variant>
        <vt:i4>206</vt:i4>
      </vt:variant>
      <vt:variant>
        <vt:i4>0</vt:i4>
      </vt:variant>
      <vt:variant>
        <vt:i4>5</vt:i4>
      </vt:variant>
      <vt:variant>
        <vt:lpwstr/>
      </vt:variant>
      <vt:variant>
        <vt:lpwstr>_Toc459712033</vt:lpwstr>
      </vt:variant>
      <vt:variant>
        <vt:i4>1310780</vt:i4>
      </vt:variant>
      <vt:variant>
        <vt:i4>200</vt:i4>
      </vt:variant>
      <vt:variant>
        <vt:i4>0</vt:i4>
      </vt:variant>
      <vt:variant>
        <vt:i4>5</vt:i4>
      </vt:variant>
      <vt:variant>
        <vt:lpwstr/>
      </vt:variant>
      <vt:variant>
        <vt:lpwstr>_Toc459712032</vt:lpwstr>
      </vt:variant>
      <vt:variant>
        <vt:i4>1310780</vt:i4>
      </vt:variant>
      <vt:variant>
        <vt:i4>194</vt:i4>
      </vt:variant>
      <vt:variant>
        <vt:i4>0</vt:i4>
      </vt:variant>
      <vt:variant>
        <vt:i4>5</vt:i4>
      </vt:variant>
      <vt:variant>
        <vt:lpwstr/>
      </vt:variant>
      <vt:variant>
        <vt:lpwstr>_Toc459712031</vt:lpwstr>
      </vt:variant>
      <vt:variant>
        <vt:i4>1310780</vt:i4>
      </vt:variant>
      <vt:variant>
        <vt:i4>188</vt:i4>
      </vt:variant>
      <vt:variant>
        <vt:i4>0</vt:i4>
      </vt:variant>
      <vt:variant>
        <vt:i4>5</vt:i4>
      </vt:variant>
      <vt:variant>
        <vt:lpwstr/>
      </vt:variant>
      <vt:variant>
        <vt:lpwstr>_Toc459712030</vt:lpwstr>
      </vt:variant>
      <vt:variant>
        <vt:i4>1376316</vt:i4>
      </vt:variant>
      <vt:variant>
        <vt:i4>182</vt:i4>
      </vt:variant>
      <vt:variant>
        <vt:i4>0</vt:i4>
      </vt:variant>
      <vt:variant>
        <vt:i4>5</vt:i4>
      </vt:variant>
      <vt:variant>
        <vt:lpwstr/>
      </vt:variant>
      <vt:variant>
        <vt:lpwstr>_Toc459712029</vt:lpwstr>
      </vt:variant>
      <vt:variant>
        <vt:i4>1376316</vt:i4>
      </vt:variant>
      <vt:variant>
        <vt:i4>176</vt:i4>
      </vt:variant>
      <vt:variant>
        <vt:i4>0</vt:i4>
      </vt:variant>
      <vt:variant>
        <vt:i4>5</vt:i4>
      </vt:variant>
      <vt:variant>
        <vt:lpwstr/>
      </vt:variant>
      <vt:variant>
        <vt:lpwstr>_Toc459712028</vt:lpwstr>
      </vt:variant>
      <vt:variant>
        <vt:i4>1376316</vt:i4>
      </vt:variant>
      <vt:variant>
        <vt:i4>170</vt:i4>
      </vt:variant>
      <vt:variant>
        <vt:i4>0</vt:i4>
      </vt:variant>
      <vt:variant>
        <vt:i4>5</vt:i4>
      </vt:variant>
      <vt:variant>
        <vt:lpwstr/>
      </vt:variant>
      <vt:variant>
        <vt:lpwstr>_Toc459712027</vt:lpwstr>
      </vt:variant>
      <vt:variant>
        <vt:i4>1376316</vt:i4>
      </vt:variant>
      <vt:variant>
        <vt:i4>164</vt:i4>
      </vt:variant>
      <vt:variant>
        <vt:i4>0</vt:i4>
      </vt:variant>
      <vt:variant>
        <vt:i4>5</vt:i4>
      </vt:variant>
      <vt:variant>
        <vt:lpwstr/>
      </vt:variant>
      <vt:variant>
        <vt:lpwstr>_Toc459712026</vt:lpwstr>
      </vt:variant>
      <vt:variant>
        <vt:i4>1376316</vt:i4>
      </vt:variant>
      <vt:variant>
        <vt:i4>158</vt:i4>
      </vt:variant>
      <vt:variant>
        <vt:i4>0</vt:i4>
      </vt:variant>
      <vt:variant>
        <vt:i4>5</vt:i4>
      </vt:variant>
      <vt:variant>
        <vt:lpwstr/>
      </vt:variant>
      <vt:variant>
        <vt:lpwstr>_Toc459712025</vt:lpwstr>
      </vt:variant>
      <vt:variant>
        <vt:i4>1376316</vt:i4>
      </vt:variant>
      <vt:variant>
        <vt:i4>152</vt:i4>
      </vt:variant>
      <vt:variant>
        <vt:i4>0</vt:i4>
      </vt:variant>
      <vt:variant>
        <vt:i4>5</vt:i4>
      </vt:variant>
      <vt:variant>
        <vt:lpwstr/>
      </vt:variant>
      <vt:variant>
        <vt:lpwstr>_Toc459712024</vt:lpwstr>
      </vt:variant>
      <vt:variant>
        <vt:i4>1376316</vt:i4>
      </vt:variant>
      <vt:variant>
        <vt:i4>146</vt:i4>
      </vt:variant>
      <vt:variant>
        <vt:i4>0</vt:i4>
      </vt:variant>
      <vt:variant>
        <vt:i4>5</vt:i4>
      </vt:variant>
      <vt:variant>
        <vt:lpwstr/>
      </vt:variant>
      <vt:variant>
        <vt:lpwstr>_Toc459712023</vt:lpwstr>
      </vt:variant>
      <vt:variant>
        <vt:i4>1376316</vt:i4>
      </vt:variant>
      <vt:variant>
        <vt:i4>140</vt:i4>
      </vt:variant>
      <vt:variant>
        <vt:i4>0</vt:i4>
      </vt:variant>
      <vt:variant>
        <vt:i4>5</vt:i4>
      </vt:variant>
      <vt:variant>
        <vt:lpwstr/>
      </vt:variant>
      <vt:variant>
        <vt:lpwstr>_Toc459712022</vt:lpwstr>
      </vt:variant>
      <vt:variant>
        <vt:i4>1376316</vt:i4>
      </vt:variant>
      <vt:variant>
        <vt:i4>134</vt:i4>
      </vt:variant>
      <vt:variant>
        <vt:i4>0</vt:i4>
      </vt:variant>
      <vt:variant>
        <vt:i4>5</vt:i4>
      </vt:variant>
      <vt:variant>
        <vt:lpwstr/>
      </vt:variant>
      <vt:variant>
        <vt:lpwstr>_Toc459712021</vt:lpwstr>
      </vt:variant>
      <vt:variant>
        <vt:i4>1376316</vt:i4>
      </vt:variant>
      <vt:variant>
        <vt:i4>128</vt:i4>
      </vt:variant>
      <vt:variant>
        <vt:i4>0</vt:i4>
      </vt:variant>
      <vt:variant>
        <vt:i4>5</vt:i4>
      </vt:variant>
      <vt:variant>
        <vt:lpwstr/>
      </vt:variant>
      <vt:variant>
        <vt:lpwstr>_Toc459712020</vt:lpwstr>
      </vt:variant>
      <vt:variant>
        <vt:i4>1441852</vt:i4>
      </vt:variant>
      <vt:variant>
        <vt:i4>122</vt:i4>
      </vt:variant>
      <vt:variant>
        <vt:i4>0</vt:i4>
      </vt:variant>
      <vt:variant>
        <vt:i4>5</vt:i4>
      </vt:variant>
      <vt:variant>
        <vt:lpwstr/>
      </vt:variant>
      <vt:variant>
        <vt:lpwstr>_Toc459712019</vt:lpwstr>
      </vt:variant>
      <vt:variant>
        <vt:i4>1441852</vt:i4>
      </vt:variant>
      <vt:variant>
        <vt:i4>116</vt:i4>
      </vt:variant>
      <vt:variant>
        <vt:i4>0</vt:i4>
      </vt:variant>
      <vt:variant>
        <vt:i4>5</vt:i4>
      </vt:variant>
      <vt:variant>
        <vt:lpwstr/>
      </vt:variant>
      <vt:variant>
        <vt:lpwstr>_Toc459712018</vt:lpwstr>
      </vt:variant>
      <vt:variant>
        <vt:i4>1441852</vt:i4>
      </vt:variant>
      <vt:variant>
        <vt:i4>110</vt:i4>
      </vt:variant>
      <vt:variant>
        <vt:i4>0</vt:i4>
      </vt:variant>
      <vt:variant>
        <vt:i4>5</vt:i4>
      </vt:variant>
      <vt:variant>
        <vt:lpwstr/>
      </vt:variant>
      <vt:variant>
        <vt:lpwstr>_Toc459712017</vt:lpwstr>
      </vt:variant>
      <vt:variant>
        <vt:i4>1441852</vt:i4>
      </vt:variant>
      <vt:variant>
        <vt:i4>104</vt:i4>
      </vt:variant>
      <vt:variant>
        <vt:i4>0</vt:i4>
      </vt:variant>
      <vt:variant>
        <vt:i4>5</vt:i4>
      </vt:variant>
      <vt:variant>
        <vt:lpwstr/>
      </vt:variant>
      <vt:variant>
        <vt:lpwstr>_Toc459712016</vt:lpwstr>
      </vt:variant>
      <vt:variant>
        <vt:i4>1441852</vt:i4>
      </vt:variant>
      <vt:variant>
        <vt:i4>98</vt:i4>
      </vt:variant>
      <vt:variant>
        <vt:i4>0</vt:i4>
      </vt:variant>
      <vt:variant>
        <vt:i4>5</vt:i4>
      </vt:variant>
      <vt:variant>
        <vt:lpwstr/>
      </vt:variant>
      <vt:variant>
        <vt:lpwstr>_Toc459712015</vt:lpwstr>
      </vt:variant>
      <vt:variant>
        <vt:i4>1441852</vt:i4>
      </vt:variant>
      <vt:variant>
        <vt:i4>92</vt:i4>
      </vt:variant>
      <vt:variant>
        <vt:i4>0</vt:i4>
      </vt:variant>
      <vt:variant>
        <vt:i4>5</vt:i4>
      </vt:variant>
      <vt:variant>
        <vt:lpwstr/>
      </vt:variant>
      <vt:variant>
        <vt:lpwstr>_Toc459712014</vt:lpwstr>
      </vt:variant>
      <vt:variant>
        <vt:i4>1441852</vt:i4>
      </vt:variant>
      <vt:variant>
        <vt:i4>86</vt:i4>
      </vt:variant>
      <vt:variant>
        <vt:i4>0</vt:i4>
      </vt:variant>
      <vt:variant>
        <vt:i4>5</vt:i4>
      </vt:variant>
      <vt:variant>
        <vt:lpwstr/>
      </vt:variant>
      <vt:variant>
        <vt:lpwstr>_Toc459712013</vt:lpwstr>
      </vt:variant>
      <vt:variant>
        <vt:i4>1441852</vt:i4>
      </vt:variant>
      <vt:variant>
        <vt:i4>80</vt:i4>
      </vt:variant>
      <vt:variant>
        <vt:i4>0</vt:i4>
      </vt:variant>
      <vt:variant>
        <vt:i4>5</vt:i4>
      </vt:variant>
      <vt:variant>
        <vt:lpwstr/>
      </vt:variant>
      <vt:variant>
        <vt:lpwstr>_Toc459712012</vt:lpwstr>
      </vt:variant>
      <vt:variant>
        <vt:i4>1441852</vt:i4>
      </vt:variant>
      <vt:variant>
        <vt:i4>74</vt:i4>
      </vt:variant>
      <vt:variant>
        <vt:i4>0</vt:i4>
      </vt:variant>
      <vt:variant>
        <vt:i4>5</vt:i4>
      </vt:variant>
      <vt:variant>
        <vt:lpwstr/>
      </vt:variant>
      <vt:variant>
        <vt:lpwstr>_Toc459712011</vt:lpwstr>
      </vt:variant>
      <vt:variant>
        <vt:i4>1441852</vt:i4>
      </vt:variant>
      <vt:variant>
        <vt:i4>68</vt:i4>
      </vt:variant>
      <vt:variant>
        <vt:i4>0</vt:i4>
      </vt:variant>
      <vt:variant>
        <vt:i4>5</vt:i4>
      </vt:variant>
      <vt:variant>
        <vt:lpwstr/>
      </vt:variant>
      <vt:variant>
        <vt:lpwstr>_Toc459712010</vt:lpwstr>
      </vt:variant>
      <vt:variant>
        <vt:i4>1507388</vt:i4>
      </vt:variant>
      <vt:variant>
        <vt:i4>62</vt:i4>
      </vt:variant>
      <vt:variant>
        <vt:i4>0</vt:i4>
      </vt:variant>
      <vt:variant>
        <vt:i4>5</vt:i4>
      </vt:variant>
      <vt:variant>
        <vt:lpwstr/>
      </vt:variant>
      <vt:variant>
        <vt:lpwstr>_Toc459712009</vt:lpwstr>
      </vt:variant>
      <vt:variant>
        <vt:i4>1507388</vt:i4>
      </vt:variant>
      <vt:variant>
        <vt:i4>56</vt:i4>
      </vt:variant>
      <vt:variant>
        <vt:i4>0</vt:i4>
      </vt:variant>
      <vt:variant>
        <vt:i4>5</vt:i4>
      </vt:variant>
      <vt:variant>
        <vt:lpwstr/>
      </vt:variant>
      <vt:variant>
        <vt:lpwstr>_Toc459712008</vt:lpwstr>
      </vt:variant>
      <vt:variant>
        <vt:i4>1507388</vt:i4>
      </vt:variant>
      <vt:variant>
        <vt:i4>50</vt:i4>
      </vt:variant>
      <vt:variant>
        <vt:i4>0</vt:i4>
      </vt:variant>
      <vt:variant>
        <vt:i4>5</vt:i4>
      </vt:variant>
      <vt:variant>
        <vt:lpwstr/>
      </vt:variant>
      <vt:variant>
        <vt:lpwstr>_Toc459712007</vt:lpwstr>
      </vt:variant>
      <vt:variant>
        <vt:i4>1507388</vt:i4>
      </vt:variant>
      <vt:variant>
        <vt:i4>44</vt:i4>
      </vt:variant>
      <vt:variant>
        <vt:i4>0</vt:i4>
      </vt:variant>
      <vt:variant>
        <vt:i4>5</vt:i4>
      </vt:variant>
      <vt:variant>
        <vt:lpwstr/>
      </vt:variant>
      <vt:variant>
        <vt:lpwstr>_Toc459712006</vt:lpwstr>
      </vt:variant>
      <vt:variant>
        <vt:i4>1507388</vt:i4>
      </vt:variant>
      <vt:variant>
        <vt:i4>38</vt:i4>
      </vt:variant>
      <vt:variant>
        <vt:i4>0</vt:i4>
      </vt:variant>
      <vt:variant>
        <vt:i4>5</vt:i4>
      </vt:variant>
      <vt:variant>
        <vt:lpwstr/>
      </vt:variant>
      <vt:variant>
        <vt:lpwstr>_Toc459712005</vt:lpwstr>
      </vt:variant>
      <vt:variant>
        <vt:i4>1507388</vt:i4>
      </vt:variant>
      <vt:variant>
        <vt:i4>32</vt:i4>
      </vt:variant>
      <vt:variant>
        <vt:i4>0</vt:i4>
      </vt:variant>
      <vt:variant>
        <vt:i4>5</vt:i4>
      </vt:variant>
      <vt:variant>
        <vt:lpwstr/>
      </vt:variant>
      <vt:variant>
        <vt:lpwstr>_Toc459712004</vt:lpwstr>
      </vt:variant>
      <vt:variant>
        <vt:i4>1507388</vt:i4>
      </vt:variant>
      <vt:variant>
        <vt:i4>26</vt:i4>
      </vt:variant>
      <vt:variant>
        <vt:i4>0</vt:i4>
      </vt:variant>
      <vt:variant>
        <vt:i4>5</vt:i4>
      </vt:variant>
      <vt:variant>
        <vt:lpwstr/>
      </vt:variant>
      <vt:variant>
        <vt:lpwstr>_Toc459712003</vt:lpwstr>
      </vt:variant>
      <vt:variant>
        <vt:i4>1507388</vt:i4>
      </vt:variant>
      <vt:variant>
        <vt:i4>20</vt:i4>
      </vt:variant>
      <vt:variant>
        <vt:i4>0</vt:i4>
      </vt:variant>
      <vt:variant>
        <vt:i4>5</vt:i4>
      </vt:variant>
      <vt:variant>
        <vt:lpwstr/>
      </vt:variant>
      <vt:variant>
        <vt:lpwstr>_Toc459712002</vt:lpwstr>
      </vt:variant>
      <vt:variant>
        <vt:i4>1507388</vt:i4>
      </vt:variant>
      <vt:variant>
        <vt:i4>14</vt:i4>
      </vt:variant>
      <vt:variant>
        <vt:i4>0</vt:i4>
      </vt:variant>
      <vt:variant>
        <vt:i4>5</vt:i4>
      </vt:variant>
      <vt:variant>
        <vt:lpwstr/>
      </vt:variant>
      <vt:variant>
        <vt:lpwstr>_Toc459712001</vt:lpwstr>
      </vt:variant>
      <vt:variant>
        <vt:i4>1507388</vt:i4>
      </vt:variant>
      <vt:variant>
        <vt:i4>8</vt:i4>
      </vt:variant>
      <vt:variant>
        <vt:i4>0</vt:i4>
      </vt:variant>
      <vt:variant>
        <vt:i4>5</vt:i4>
      </vt:variant>
      <vt:variant>
        <vt:lpwstr/>
      </vt:variant>
      <vt:variant>
        <vt:lpwstr>_Toc459712000</vt:lpwstr>
      </vt:variant>
      <vt:variant>
        <vt:i4>1900597</vt:i4>
      </vt:variant>
      <vt:variant>
        <vt:i4>2</vt:i4>
      </vt:variant>
      <vt:variant>
        <vt:i4>0</vt:i4>
      </vt:variant>
      <vt:variant>
        <vt:i4>5</vt:i4>
      </vt:variant>
      <vt:variant>
        <vt:lpwstr/>
      </vt:variant>
      <vt:variant>
        <vt:lpwstr>_Toc459711999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Integrated Service Management</dc:title>
  <dc:subject>Telstra Secure section of Our Customer Terms</dc:subject>
  <dc:creator>Telstra Limited</dc:creator>
  <cp:keywords>Telstra, oct, our customer terms, Telstra Secure, Service levels, Site services, Supplied Equipment, Head end connection, Advanced Radius</cp:keywords>
  <cp:lastModifiedBy>Morgan, Alyssa</cp:lastModifiedBy>
  <cp:revision>2</cp:revision>
  <cp:lastPrinted>2017-07-03T06:07:00Z</cp:lastPrinted>
  <dcterms:created xsi:type="dcterms:W3CDTF">2023-11-03T01:33:00Z</dcterms:created>
  <dcterms:modified xsi:type="dcterms:W3CDTF">2023-11-03T01:33:00Z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201057869_7</vt:lpwstr>
  </property>
  <property fmtid="{D5CDD505-2E9C-101B-9397-08002B2CF9AE}" pid="3" name="DocDate">
    <vt:filetime>2006-07-13T14:00:00Z</vt:filetime>
  </property>
  <property fmtid="{D5CDD505-2E9C-101B-9397-08002B2CF9AE}" pid="4" name="mcrdmsdesc">
    <vt:lpwstr>Integrated Security Solution - OCT [draft]</vt:lpwstr>
  </property>
  <property fmtid="{D5CDD505-2E9C-101B-9397-08002B2CF9AE}" pid="5" name="PCDocsNo">
    <vt:lpwstr>71593608v4</vt:lpwstr>
  </property>
  <property fmtid="{D5CDD505-2E9C-101B-9397-08002B2CF9AE}" pid="6" name="ClassificationContentMarkingFooterShapeIds">
    <vt:lpwstr>252e9fc2,5691bcec,d24ff4,b1cc344,c954cdb,454d4b62</vt:lpwstr>
  </property>
  <property fmtid="{D5CDD505-2E9C-101B-9397-08002B2CF9AE}" pid="7" name="ClassificationContentMarkingFooterFontProps">
    <vt:lpwstr>#000000,10,Calibri</vt:lpwstr>
  </property>
  <property fmtid="{D5CDD505-2E9C-101B-9397-08002B2CF9AE}" pid="8" name="ClassificationContentMarkingFooterText">
    <vt:lpwstr>General</vt:lpwstr>
  </property>
</Properties>
</file>