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CA03" w14:textId="77777777" w:rsidR="008134AB" w:rsidRPr="002F1505" w:rsidRDefault="008134AB" w:rsidP="006B05E1">
      <w:pPr>
        <w:pStyle w:val="TOCHeading"/>
        <w:ind w:left="737" w:firstLine="0"/>
      </w:pPr>
      <w:bookmarkStart w:id="0" w:name="_GoBack"/>
      <w:bookmarkEnd w:id="0"/>
      <w:r w:rsidRPr="002F1505">
        <w:t>Contents</w:t>
      </w:r>
    </w:p>
    <w:p w14:paraId="5194CA04"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4FDEF53E" w14:textId="77777777" w:rsidR="002B021C" w:rsidRDefault="00DE7014">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81490294" w:history="1">
        <w:r w:rsidR="002B021C" w:rsidRPr="009865A0">
          <w:rPr>
            <w:rStyle w:val="Hyperlink"/>
            <w:noProof/>
          </w:rPr>
          <w:t>1</w:t>
        </w:r>
        <w:r w:rsidR="002B021C">
          <w:rPr>
            <w:rFonts w:asciiTheme="minorHAnsi" w:eastAsiaTheme="minorEastAsia" w:hAnsiTheme="minorHAnsi" w:cstheme="minorBidi"/>
            <w:b w:val="0"/>
            <w:noProof/>
            <w:sz w:val="22"/>
            <w:szCs w:val="22"/>
            <w:lang w:eastAsia="en-AU"/>
          </w:rPr>
          <w:tab/>
        </w:r>
        <w:r w:rsidR="002B021C" w:rsidRPr="009865A0">
          <w:rPr>
            <w:rStyle w:val="Hyperlink"/>
            <w:noProof/>
          </w:rPr>
          <w:t>About the Mcafee SaaS</w:t>
        </w:r>
        <w:r w:rsidR="002B021C" w:rsidRPr="009865A0">
          <w:rPr>
            <w:rStyle w:val="Hyperlink"/>
            <w:noProof/>
            <w:vertAlign w:val="superscript"/>
          </w:rPr>
          <w:t>®</w:t>
        </w:r>
        <w:r w:rsidR="002B021C" w:rsidRPr="009865A0">
          <w:rPr>
            <w:rStyle w:val="Hyperlink"/>
            <w:noProof/>
          </w:rPr>
          <w:t xml:space="preserve"> Endpoint Protection section</w:t>
        </w:r>
        <w:r w:rsidR="002B021C">
          <w:rPr>
            <w:noProof/>
            <w:webHidden/>
          </w:rPr>
          <w:tab/>
        </w:r>
        <w:r w:rsidR="002B021C">
          <w:rPr>
            <w:noProof/>
            <w:webHidden/>
          </w:rPr>
          <w:fldChar w:fldCharType="begin"/>
        </w:r>
        <w:r w:rsidR="002B021C">
          <w:rPr>
            <w:noProof/>
            <w:webHidden/>
          </w:rPr>
          <w:instrText xml:space="preserve"> PAGEREF _Toc481490294 \h </w:instrText>
        </w:r>
        <w:r w:rsidR="002B021C">
          <w:rPr>
            <w:noProof/>
            <w:webHidden/>
          </w:rPr>
        </w:r>
        <w:r w:rsidR="002B021C">
          <w:rPr>
            <w:noProof/>
            <w:webHidden/>
          </w:rPr>
          <w:fldChar w:fldCharType="separate"/>
        </w:r>
        <w:r w:rsidR="004E50E2">
          <w:rPr>
            <w:noProof/>
            <w:webHidden/>
          </w:rPr>
          <w:t>2</w:t>
        </w:r>
        <w:r w:rsidR="002B021C">
          <w:rPr>
            <w:noProof/>
            <w:webHidden/>
          </w:rPr>
          <w:fldChar w:fldCharType="end"/>
        </w:r>
      </w:hyperlink>
    </w:p>
    <w:p w14:paraId="37733253" w14:textId="77777777" w:rsidR="002B021C" w:rsidRDefault="00BE63D9">
      <w:pPr>
        <w:pStyle w:val="TOC1"/>
        <w:tabs>
          <w:tab w:val="left" w:pos="1474"/>
        </w:tabs>
        <w:rPr>
          <w:rFonts w:asciiTheme="minorHAnsi" w:eastAsiaTheme="minorEastAsia" w:hAnsiTheme="minorHAnsi" w:cstheme="minorBidi"/>
          <w:b w:val="0"/>
          <w:noProof/>
          <w:sz w:val="22"/>
          <w:szCs w:val="22"/>
          <w:lang w:eastAsia="en-AU"/>
        </w:rPr>
      </w:pPr>
      <w:hyperlink w:anchor="_Toc481490295" w:history="1">
        <w:r w:rsidR="002B021C" w:rsidRPr="009865A0">
          <w:rPr>
            <w:rStyle w:val="Hyperlink"/>
            <w:noProof/>
          </w:rPr>
          <w:t>2</w:t>
        </w:r>
        <w:r w:rsidR="002B021C">
          <w:rPr>
            <w:rFonts w:asciiTheme="minorHAnsi" w:eastAsiaTheme="minorEastAsia" w:hAnsiTheme="minorHAnsi" w:cstheme="minorBidi"/>
            <w:b w:val="0"/>
            <w:noProof/>
            <w:sz w:val="22"/>
            <w:szCs w:val="22"/>
            <w:lang w:eastAsia="en-AU"/>
          </w:rPr>
          <w:tab/>
        </w:r>
        <w:r w:rsidR="002B021C" w:rsidRPr="009865A0">
          <w:rPr>
            <w:rStyle w:val="Hyperlink"/>
            <w:noProof/>
          </w:rPr>
          <w:t>AVAILABILITY</w:t>
        </w:r>
        <w:r w:rsidR="002B021C">
          <w:rPr>
            <w:noProof/>
            <w:webHidden/>
          </w:rPr>
          <w:tab/>
        </w:r>
        <w:r w:rsidR="002B021C">
          <w:rPr>
            <w:noProof/>
            <w:webHidden/>
          </w:rPr>
          <w:fldChar w:fldCharType="begin"/>
        </w:r>
        <w:r w:rsidR="002B021C">
          <w:rPr>
            <w:noProof/>
            <w:webHidden/>
          </w:rPr>
          <w:instrText xml:space="preserve"> PAGEREF _Toc481490295 \h </w:instrText>
        </w:r>
        <w:r w:rsidR="002B021C">
          <w:rPr>
            <w:noProof/>
            <w:webHidden/>
          </w:rPr>
          <w:fldChar w:fldCharType="separate"/>
        </w:r>
        <w:r w:rsidR="004E50E2">
          <w:rPr>
            <w:b w:val="0"/>
            <w:bCs/>
            <w:noProof/>
            <w:webHidden/>
            <w:lang w:val="en-US"/>
          </w:rPr>
          <w:t>Error! Bookmark not defined.</w:t>
        </w:r>
        <w:r w:rsidR="002B021C">
          <w:rPr>
            <w:noProof/>
            <w:webHidden/>
          </w:rPr>
          <w:fldChar w:fldCharType="end"/>
        </w:r>
      </w:hyperlink>
    </w:p>
    <w:p w14:paraId="595E7C15" w14:textId="77777777" w:rsidR="002B021C" w:rsidRDefault="00BE63D9">
      <w:pPr>
        <w:pStyle w:val="TOC1"/>
        <w:tabs>
          <w:tab w:val="left" w:pos="1474"/>
        </w:tabs>
        <w:rPr>
          <w:rFonts w:asciiTheme="minorHAnsi" w:eastAsiaTheme="minorEastAsia" w:hAnsiTheme="minorHAnsi" w:cstheme="minorBidi"/>
          <w:b w:val="0"/>
          <w:noProof/>
          <w:sz w:val="22"/>
          <w:szCs w:val="22"/>
          <w:lang w:eastAsia="en-AU"/>
        </w:rPr>
      </w:pPr>
      <w:hyperlink w:anchor="_Toc481490296" w:history="1">
        <w:r w:rsidR="002B021C" w:rsidRPr="009865A0">
          <w:rPr>
            <w:rStyle w:val="Hyperlink"/>
            <w:noProof/>
          </w:rPr>
          <w:t>3</w:t>
        </w:r>
        <w:r w:rsidR="002B021C">
          <w:rPr>
            <w:rFonts w:asciiTheme="minorHAnsi" w:eastAsiaTheme="minorEastAsia" w:hAnsiTheme="minorHAnsi" w:cstheme="minorBidi"/>
            <w:b w:val="0"/>
            <w:noProof/>
            <w:sz w:val="22"/>
            <w:szCs w:val="22"/>
            <w:lang w:eastAsia="en-AU"/>
          </w:rPr>
          <w:tab/>
        </w:r>
        <w:r w:rsidR="002B021C" w:rsidRPr="009865A0">
          <w:rPr>
            <w:rStyle w:val="Hyperlink"/>
            <w:noProof/>
          </w:rPr>
          <w:t>Mcafee SaaS Endpoint Protection applications</w:t>
        </w:r>
        <w:r w:rsidR="002B021C">
          <w:rPr>
            <w:noProof/>
            <w:webHidden/>
          </w:rPr>
          <w:tab/>
        </w:r>
        <w:r w:rsidR="002B021C">
          <w:rPr>
            <w:noProof/>
            <w:webHidden/>
          </w:rPr>
          <w:fldChar w:fldCharType="begin"/>
        </w:r>
        <w:r w:rsidR="002B021C">
          <w:rPr>
            <w:noProof/>
            <w:webHidden/>
          </w:rPr>
          <w:instrText xml:space="preserve"> PAGEREF _Toc481490296 \h </w:instrText>
        </w:r>
        <w:r w:rsidR="002B021C">
          <w:rPr>
            <w:noProof/>
            <w:webHidden/>
          </w:rPr>
        </w:r>
        <w:r w:rsidR="002B021C">
          <w:rPr>
            <w:noProof/>
            <w:webHidden/>
          </w:rPr>
          <w:fldChar w:fldCharType="separate"/>
        </w:r>
        <w:r w:rsidR="004E50E2">
          <w:rPr>
            <w:noProof/>
            <w:webHidden/>
          </w:rPr>
          <w:t>2</w:t>
        </w:r>
        <w:r w:rsidR="002B021C">
          <w:rPr>
            <w:noProof/>
            <w:webHidden/>
          </w:rPr>
          <w:fldChar w:fldCharType="end"/>
        </w:r>
      </w:hyperlink>
    </w:p>
    <w:p w14:paraId="18CB1AFB" w14:textId="77777777" w:rsidR="002B021C" w:rsidRDefault="00BE63D9">
      <w:pPr>
        <w:pStyle w:val="TOC1"/>
        <w:tabs>
          <w:tab w:val="left" w:pos="1474"/>
        </w:tabs>
        <w:rPr>
          <w:rFonts w:asciiTheme="minorHAnsi" w:eastAsiaTheme="minorEastAsia" w:hAnsiTheme="minorHAnsi" w:cstheme="minorBidi"/>
          <w:b w:val="0"/>
          <w:noProof/>
          <w:sz w:val="22"/>
          <w:szCs w:val="22"/>
          <w:lang w:eastAsia="en-AU"/>
        </w:rPr>
      </w:pPr>
      <w:hyperlink w:anchor="_Toc481490297" w:history="1">
        <w:r w:rsidR="002B021C" w:rsidRPr="009865A0">
          <w:rPr>
            <w:rStyle w:val="Hyperlink"/>
            <w:noProof/>
          </w:rPr>
          <w:t>4</w:t>
        </w:r>
        <w:r w:rsidR="002B021C">
          <w:rPr>
            <w:rFonts w:asciiTheme="minorHAnsi" w:eastAsiaTheme="minorEastAsia" w:hAnsiTheme="minorHAnsi" w:cstheme="minorBidi"/>
            <w:b w:val="0"/>
            <w:noProof/>
            <w:sz w:val="22"/>
            <w:szCs w:val="22"/>
            <w:lang w:eastAsia="en-AU"/>
          </w:rPr>
          <w:tab/>
        </w:r>
        <w:r w:rsidR="002B021C" w:rsidRPr="009865A0">
          <w:rPr>
            <w:rStyle w:val="Hyperlink"/>
            <w:noProof/>
          </w:rPr>
          <w:t>Charges</w:t>
        </w:r>
        <w:r w:rsidR="002B021C">
          <w:rPr>
            <w:noProof/>
            <w:webHidden/>
          </w:rPr>
          <w:tab/>
        </w:r>
        <w:r w:rsidR="002B021C">
          <w:rPr>
            <w:noProof/>
            <w:webHidden/>
          </w:rPr>
          <w:fldChar w:fldCharType="begin"/>
        </w:r>
        <w:r w:rsidR="002B021C">
          <w:rPr>
            <w:noProof/>
            <w:webHidden/>
          </w:rPr>
          <w:instrText xml:space="preserve"> PAGEREF _Toc481490297 \h </w:instrText>
        </w:r>
        <w:r w:rsidR="002B021C">
          <w:rPr>
            <w:noProof/>
            <w:webHidden/>
          </w:rPr>
        </w:r>
        <w:r w:rsidR="002B021C">
          <w:rPr>
            <w:noProof/>
            <w:webHidden/>
          </w:rPr>
          <w:fldChar w:fldCharType="separate"/>
        </w:r>
        <w:r w:rsidR="004E50E2">
          <w:rPr>
            <w:noProof/>
            <w:webHidden/>
          </w:rPr>
          <w:t>7</w:t>
        </w:r>
        <w:r w:rsidR="002B021C">
          <w:rPr>
            <w:noProof/>
            <w:webHidden/>
          </w:rPr>
          <w:fldChar w:fldCharType="end"/>
        </w:r>
      </w:hyperlink>
    </w:p>
    <w:p w14:paraId="42D6D17F" w14:textId="77777777" w:rsidR="002B021C" w:rsidRDefault="00BE63D9">
      <w:pPr>
        <w:pStyle w:val="TOC1"/>
        <w:tabs>
          <w:tab w:val="left" w:pos="1474"/>
        </w:tabs>
        <w:rPr>
          <w:rFonts w:asciiTheme="minorHAnsi" w:eastAsiaTheme="minorEastAsia" w:hAnsiTheme="minorHAnsi" w:cstheme="minorBidi"/>
          <w:b w:val="0"/>
          <w:noProof/>
          <w:sz w:val="22"/>
          <w:szCs w:val="22"/>
          <w:lang w:eastAsia="en-AU"/>
        </w:rPr>
      </w:pPr>
      <w:hyperlink w:anchor="_Toc481490298" w:history="1">
        <w:r w:rsidR="002B021C" w:rsidRPr="009865A0">
          <w:rPr>
            <w:rStyle w:val="Hyperlink"/>
            <w:noProof/>
          </w:rPr>
          <w:t>5</w:t>
        </w:r>
        <w:r w:rsidR="002B021C">
          <w:rPr>
            <w:rFonts w:asciiTheme="minorHAnsi" w:eastAsiaTheme="minorEastAsia" w:hAnsiTheme="minorHAnsi" w:cstheme="minorBidi"/>
            <w:b w:val="0"/>
            <w:noProof/>
            <w:sz w:val="22"/>
            <w:szCs w:val="22"/>
            <w:lang w:eastAsia="en-AU"/>
          </w:rPr>
          <w:tab/>
        </w:r>
        <w:r w:rsidR="002B021C" w:rsidRPr="009865A0">
          <w:rPr>
            <w:rStyle w:val="Hyperlink"/>
            <w:noProof/>
          </w:rPr>
          <w:t>Term and early termination charge</w:t>
        </w:r>
        <w:r w:rsidR="002B021C">
          <w:rPr>
            <w:noProof/>
            <w:webHidden/>
          </w:rPr>
          <w:tab/>
        </w:r>
        <w:r w:rsidR="002B021C">
          <w:rPr>
            <w:noProof/>
            <w:webHidden/>
          </w:rPr>
          <w:fldChar w:fldCharType="begin"/>
        </w:r>
        <w:r w:rsidR="002B021C">
          <w:rPr>
            <w:noProof/>
            <w:webHidden/>
          </w:rPr>
          <w:instrText xml:space="preserve"> PAGEREF _Toc481490298 \h </w:instrText>
        </w:r>
        <w:r w:rsidR="002B021C">
          <w:rPr>
            <w:noProof/>
            <w:webHidden/>
          </w:rPr>
        </w:r>
        <w:r w:rsidR="002B021C">
          <w:rPr>
            <w:noProof/>
            <w:webHidden/>
          </w:rPr>
          <w:fldChar w:fldCharType="separate"/>
        </w:r>
        <w:r w:rsidR="004E50E2">
          <w:rPr>
            <w:noProof/>
            <w:webHidden/>
          </w:rPr>
          <w:t>7</w:t>
        </w:r>
        <w:r w:rsidR="002B021C">
          <w:rPr>
            <w:noProof/>
            <w:webHidden/>
          </w:rPr>
          <w:fldChar w:fldCharType="end"/>
        </w:r>
      </w:hyperlink>
    </w:p>
    <w:p w14:paraId="5194CA0F" w14:textId="77777777" w:rsidR="00C54F4C" w:rsidRPr="002F1505" w:rsidRDefault="00DE7014" w:rsidP="006B05E1">
      <w:r w:rsidRPr="002F1505">
        <w:rPr>
          <w:rFonts w:ascii="Verdana" w:hAnsi="Verdana"/>
          <w:b/>
          <w:sz w:val="20"/>
        </w:rPr>
        <w:fldChar w:fldCharType="end"/>
      </w:r>
    </w:p>
    <w:p w14:paraId="5194CA10" w14:textId="77777777" w:rsidR="00C54F4C" w:rsidRPr="002F1505" w:rsidRDefault="00C54F4C" w:rsidP="006B05E1">
      <w:pPr>
        <w:sectPr w:rsidR="00C54F4C" w:rsidRPr="002F1505"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p>
    <w:p w14:paraId="5194CA11"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8"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5194CA12" w14:textId="77777777" w:rsidR="00437CFE" w:rsidRPr="002125C3" w:rsidRDefault="00437CFE" w:rsidP="006B05E1">
      <w:pPr>
        <w:pStyle w:val="Heading1"/>
      </w:pPr>
      <w:bookmarkStart w:id="1" w:name="_Toc342990304"/>
      <w:bookmarkStart w:id="2" w:name="_Toc481490294"/>
      <w:bookmarkStart w:id="3" w:name="_Toc213726119"/>
      <w:bookmarkStart w:id="4" w:name="_Toc224630616"/>
      <w:bookmarkStart w:id="5" w:name="_Toc225251176"/>
      <w:bookmarkStart w:id="6" w:name="_Toc225682333"/>
      <w:r w:rsidRPr="002125C3">
        <w:t xml:space="preserve">About the </w:t>
      </w:r>
      <w:r w:rsidR="001F3DA3">
        <w:t>Mcafee SaaS</w:t>
      </w:r>
      <w:r w:rsidR="00947E00" w:rsidRPr="00E14508">
        <w:rPr>
          <w:vertAlign w:val="superscript"/>
        </w:rPr>
        <w:t>®</w:t>
      </w:r>
      <w:r w:rsidR="001F3DA3">
        <w:t xml:space="preserve"> Endpoint Protection</w:t>
      </w:r>
      <w:r w:rsidR="00A157C1" w:rsidRPr="002125C3">
        <w:t xml:space="preserve"> </w:t>
      </w:r>
      <w:r w:rsidRPr="002125C3">
        <w:t>section</w:t>
      </w:r>
      <w:bookmarkEnd w:id="1"/>
      <w:bookmarkEnd w:id="2"/>
    </w:p>
    <w:p w14:paraId="5194CA13" w14:textId="77777777" w:rsidR="00A157C1" w:rsidRPr="002125C3" w:rsidRDefault="00A157C1" w:rsidP="00A157C1">
      <w:pPr>
        <w:pStyle w:val="Heading2"/>
        <w:rPr>
          <w:szCs w:val="20"/>
        </w:rPr>
      </w:pPr>
      <w:bookmarkStart w:id="7" w:name="_Toc344471312"/>
      <w:bookmarkStart w:id="8" w:name="_Toc213726121"/>
      <w:bookmarkStart w:id="9" w:name="_Toc224630618"/>
      <w:bookmarkStart w:id="10" w:name="_Toc225251178"/>
      <w:bookmarkStart w:id="11" w:name="_Toc225682335"/>
      <w:bookmarkEnd w:id="3"/>
      <w:bookmarkEnd w:id="4"/>
      <w:bookmarkEnd w:id="5"/>
      <w:bookmarkEnd w:id="6"/>
      <w:bookmarkEnd w:id="7"/>
      <w:r w:rsidRPr="002125C3">
        <w:t xml:space="preserve">This is the </w:t>
      </w:r>
      <w:r w:rsidR="001F3DA3">
        <w:t>McAfee SaaS Endpoint Protection</w:t>
      </w:r>
      <w:r w:rsidRPr="002125C3">
        <w:t xml:space="preserve">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may apply. </w:t>
      </w:r>
    </w:p>
    <w:p w14:paraId="5194CA14" w14:textId="77777777" w:rsidR="00A157C1" w:rsidRPr="002125C3" w:rsidRDefault="00A157C1" w:rsidP="00A157C1">
      <w:pPr>
        <w:pStyle w:val="Heading2"/>
      </w:pPr>
      <w:r w:rsidRPr="002125C3">
        <w:t xml:space="preserve">Unless you have entered into a separate agreement with us which excludes them, </w:t>
      </w:r>
      <w:hyperlink r:id="rId20"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1"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5194CA15" w14:textId="77777777" w:rsidR="00A157C1" w:rsidRPr="002125C3" w:rsidRDefault="00A157C1" w:rsidP="00A157C1">
      <w:pPr>
        <w:pStyle w:val="Heading2"/>
      </w:pPr>
      <w:r w:rsidRPr="002125C3">
        <w:rPr>
          <w:szCs w:val="20"/>
        </w:rPr>
        <w:t>See section one of the General Terms of the Cloud Services section for more detail on how the various parts of the Cloud Services section are to be read together.</w:t>
      </w:r>
    </w:p>
    <w:bookmarkEnd w:id="8"/>
    <w:bookmarkEnd w:id="9"/>
    <w:bookmarkEnd w:id="10"/>
    <w:bookmarkEnd w:id="11"/>
    <w:p w14:paraId="7B1D70D0" w14:textId="42C35324" w:rsidR="00A9522B" w:rsidRPr="005A1693" w:rsidRDefault="00A9522B" w:rsidP="00FE77FE">
      <w:pPr>
        <w:pStyle w:val="Heading2"/>
        <w:rPr>
          <w:b/>
        </w:rPr>
      </w:pPr>
      <w:r w:rsidRPr="005A1693">
        <w:rPr>
          <w:b/>
        </w:rPr>
        <w:t xml:space="preserve">The McAfee SaaS Endpoint Protection application is not available to new customers from close of business 9 May 2017.  Existing customers </w:t>
      </w:r>
      <w:r w:rsidR="001049FB" w:rsidRPr="005A1693">
        <w:rPr>
          <w:b/>
        </w:rPr>
        <w:t xml:space="preserve">who have purchased McAfee SaaS Endpoint Protection before </w:t>
      </w:r>
      <w:r w:rsidR="005A1693">
        <w:rPr>
          <w:b/>
        </w:rPr>
        <w:t>then</w:t>
      </w:r>
      <w:r w:rsidR="001049FB" w:rsidRPr="005A1693">
        <w:rPr>
          <w:b/>
        </w:rPr>
        <w:t xml:space="preserve"> </w:t>
      </w:r>
      <w:r w:rsidRPr="005A1693">
        <w:rPr>
          <w:b/>
        </w:rPr>
        <w:t xml:space="preserve">may continue to </w:t>
      </w:r>
      <w:r w:rsidR="001049FB" w:rsidRPr="005A1693">
        <w:rPr>
          <w:b/>
        </w:rPr>
        <w:t xml:space="preserve">use McAfee SaaS Endpoint Protection, including any </w:t>
      </w:r>
      <w:r w:rsidRPr="005A1693">
        <w:rPr>
          <w:b/>
        </w:rPr>
        <w:t>request</w:t>
      </w:r>
      <w:r w:rsidR="001049FB" w:rsidRPr="005A1693">
        <w:rPr>
          <w:b/>
        </w:rPr>
        <w:t>s</w:t>
      </w:r>
      <w:r w:rsidRPr="005A1693">
        <w:rPr>
          <w:b/>
        </w:rPr>
        <w:t xml:space="preserve"> </w:t>
      </w:r>
      <w:r w:rsidR="001049FB" w:rsidRPr="005A1693">
        <w:rPr>
          <w:b/>
        </w:rPr>
        <w:t xml:space="preserve">for </w:t>
      </w:r>
      <w:r w:rsidRPr="005A1693">
        <w:rPr>
          <w:b/>
        </w:rPr>
        <w:t>adds, moves and changes</w:t>
      </w:r>
      <w:r w:rsidR="001049FB" w:rsidRPr="005A1693">
        <w:rPr>
          <w:b/>
        </w:rPr>
        <w:t>, until further notice</w:t>
      </w:r>
      <w:r w:rsidRPr="005A1693">
        <w:rPr>
          <w:b/>
        </w:rPr>
        <w:t>.</w:t>
      </w:r>
    </w:p>
    <w:p w14:paraId="5194CA16" w14:textId="77777777" w:rsidR="00C723B0" w:rsidRDefault="001F3DA3" w:rsidP="006B05E1">
      <w:pPr>
        <w:pStyle w:val="Heading1"/>
      </w:pPr>
      <w:bookmarkStart w:id="12" w:name="_Toc481490296"/>
      <w:r>
        <w:t>Mcafee SaaS Endpoint Protection</w:t>
      </w:r>
      <w:r w:rsidR="00104B2F" w:rsidRPr="002125C3">
        <w:t xml:space="preserve"> </w:t>
      </w:r>
      <w:r w:rsidR="00B30923" w:rsidRPr="002125C3">
        <w:t>application</w:t>
      </w:r>
      <w:r>
        <w:t>s</w:t>
      </w:r>
      <w:bookmarkEnd w:id="12"/>
    </w:p>
    <w:p w14:paraId="5194CA17" w14:textId="77777777" w:rsidR="001F3DA3" w:rsidRPr="002F1505" w:rsidRDefault="001F3DA3" w:rsidP="001F3DA3">
      <w:pPr>
        <w:pStyle w:val="SubHead"/>
      </w:pPr>
      <w:r w:rsidRPr="002F1505">
        <w:t>What is McAfee SaaS Endpoint Protection?</w:t>
      </w:r>
    </w:p>
    <w:p w14:paraId="5194CA18" w14:textId="77777777" w:rsidR="001F3DA3" w:rsidRPr="002F1505" w:rsidRDefault="001F3DA3" w:rsidP="001F3DA3">
      <w:pPr>
        <w:pStyle w:val="Heading2"/>
      </w:pPr>
      <w:r w:rsidRPr="002F1505">
        <w:t>The McAfee SaaS Endpoint Protection application is an integrated desktop security application and consists of the anti-virus, anti-spyware, firewall and a web security applications.</w:t>
      </w:r>
    </w:p>
    <w:p w14:paraId="5194CA19" w14:textId="77777777" w:rsidR="001F3DA3" w:rsidRPr="002F1505" w:rsidRDefault="001F3DA3" w:rsidP="001F3DA3">
      <w:pPr>
        <w:pStyle w:val="Heading2"/>
      </w:pPr>
      <w:r w:rsidRPr="002F1505">
        <w:t>We provide two McAfee SaaS Endpoint Protection application packages that you can select from, as described in the table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402"/>
        <w:gridCol w:w="3544"/>
      </w:tblGrid>
      <w:tr w:rsidR="001F3DA3" w:rsidRPr="002F1505" w14:paraId="5194CA1B" w14:textId="77777777" w:rsidTr="008F0C54">
        <w:tc>
          <w:tcPr>
            <w:tcW w:w="946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5194CA1A" w14:textId="77777777" w:rsidR="001F3DA3" w:rsidRPr="002F1505" w:rsidRDefault="001F3DA3" w:rsidP="008F0C54">
            <w:pPr>
              <w:spacing w:before="120" w:after="120"/>
              <w:jc w:val="center"/>
              <w:rPr>
                <w:rFonts w:ascii="Verdana" w:hAnsi="Verdana" w:cs="Arial"/>
                <w:b/>
                <w:sz w:val="20"/>
              </w:rPr>
            </w:pPr>
            <w:r w:rsidRPr="002F1505">
              <w:rPr>
                <w:rFonts w:ascii="Verdana" w:hAnsi="Verdana" w:cs="Arial"/>
                <w:b/>
                <w:sz w:val="20"/>
              </w:rPr>
              <w:t>McAfee SaaS Endpoint Protection application packages</w:t>
            </w:r>
          </w:p>
        </w:tc>
      </w:tr>
      <w:tr w:rsidR="001F3DA3" w:rsidRPr="002F1505" w14:paraId="5194CA1F" w14:textId="77777777" w:rsidTr="008F0C54">
        <w:tc>
          <w:tcPr>
            <w:tcW w:w="251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194CA1C" w14:textId="77777777" w:rsidR="001F3DA3" w:rsidRPr="002F1505" w:rsidRDefault="001F3DA3" w:rsidP="008F0C54">
            <w:pPr>
              <w:spacing w:before="60" w:after="60"/>
              <w:jc w:val="center"/>
              <w:rPr>
                <w:rFonts w:ascii="Verdana" w:hAnsi="Verdana" w:cs="Arial"/>
                <w:sz w:val="20"/>
              </w:rPr>
            </w:pPr>
            <w:r w:rsidRPr="002F1505">
              <w:rPr>
                <w:rFonts w:ascii="Verdana" w:hAnsi="Verdana" w:cs="Arial"/>
                <w:b/>
                <w:sz w:val="20"/>
              </w:rPr>
              <w:t>Application components</w:t>
            </w:r>
          </w:p>
        </w:tc>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5194CA1D" w14:textId="77777777" w:rsidR="001F3DA3" w:rsidRPr="002F1505" w:rsidRDefault="001F3DA3" w:rsidP="008F0C54">
            <w:pPr>
              <w:spacing w:before="60" w:after="60"/>
              <w:jc w:val="center"/>
              <w:rPr>
                <w:rFonts w:ascii="Verdana" w:hAnsi="Verdana" w:cs="Arial"/>
                <w:b/>
                <w:sz w:val="20"/>
              </w:rPr>
            </w:pPr>
            <w:r w:rsidRPr="002F1505">
              <w:rPr>
                <w:rFonts w:ascii="Verdana" w:hAnsi="Verdana" w:cs="Arial"/>
                <w:b/>
                <w:sz w:val="20"/>
              </w:rPr>
              <w:t>McAfee SaaS Endpoint Protection</w:t>
            </w:r>
          </w:p>
        </w:tc>
        <w:tc>
          <w:tcPr>
            <w:tcW w:w="3544" w:type="dxa"/>
            <w:tcBorders>
              <w:top w:val="single" w:sz="4" w:space="0" w:color="auto"/>
              <w:left w:val="single" w:sz="4" w:space="0" w:color="auto"/>
              <w:bottom w:val="single" w:sz="4" w:space="0" w:color="auto"/>
              <w:right w:val="single" w:sz="4" w:space="0" w:color="auto"/>
            </w:tcBorders>
            <w:shd w:val="clear" w:color="auto" w:fill="EEECE1"/>
            <w:hideMark/>
          </w:tcPr>
          <w:p w14:paraId="5194CA1E" w14:textId="77777777" w:rsidR="001F3DA3" w:rsidRPr="002F1505" w:rsidRDefault="001F3DA3" w:rsidP="008F0C54">
            <w:pPr>
              <w:spacing w:before="60" w:after="60"/>
              <w:jc w:val="center"/>
              <w:rPr>
                <w:rFonts w:ascii="Verdana" w:hAnsi="Verdana" w:cs="Arial"/>
                <w:b/>
                <w:sz w:val="20"/>
              </w:rPr>
            </w:pPr>
            <w:r w:rsidRPr="002F1505">
              <w:rPr>
                <w:rFonts w:ascii="Verdana" w:hAnsi="Verdana" w:cs="Arial"/>
                <w:b/>
                <w:sz w:val="20"/>
              </w:rPr>
              <w:t>McAfee SaaS Endpoint Protection Advanced</w:t>
            </w:r>
            <w:r>
              <w:rPr>
                <w:rFonts w:ascii="Verdana" w:hAnsi="Verdana" w:cs="Arial"/>
                <w:b/>
                <w:sz w:val="20"/>
              </w:rPr>
              <w:t>*</w:t>
            </w:r>
          </w:p>
        </w:tc>
      </w:tr>
      <w:tr w:rsidR="001F3DA3" w:rsidRPr="002F1505" w14:paraId="5194CA23" w14:textId="77777777" w:rsidTr="008F0C54">
        <w:tc>
          <w:tcPr>
            <w:tcW w:w="2518" w:type="dxa"/>
            <w:tcBorders>
              <w:top w:val="single" w:sz="4" w:space="0" w:color="auto"/>
              <w:left w:val="single" w:sz="4" w:space="0" w:color="auto"/>
              <w:bottom w:val="single" w:sz="4" w:space="0" w:color="auto"/>
              <w:right w:val="single" w:sz="4" w:space="0" w:color="auto"/>
            </w:tcBorders>
            <w:hideMark/>
          </w:tcPr>
          <w:p w14:paraId="5194CA20" w14:textId="77777777" w:rsidR="001F3DA3" w:rsidRPr="002F1505" w:rsidRDefault="001F3DA3" w:rsidP="008F0C54">
            <w:pPr>
              <w:pStyle w:val="TableData"/>
              <w:ind w:left="0"/>
              <w:rPr>
                <w:rFonts w:ascii="Verdana" w:hAnsi="Verdana" w:cs="Arial"/>
                <w:sz w:val="20"/>
                <w:lang w:val="en-US"/>
              </w:rPr>
            </w:pPr>
            <w:r w:rsidRPr="002F1505">
              <w:rPr>
                <w:rFonts w:ascii="Verdana" w:hAnsi="Verdana" w:cs="Arial"/>
                <w:sz w:val="20"/>
                <w:lang w:val="en-US"/>
              </w:rPr>
              <w:t>McAfee Security Centre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94CA21"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94CA22"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r w:rsidR="001F3DA3" w:rsidRPr="002F1505" w14:paraId="5194CA27" w14:textId="77777777" w:rsidTr="008F0C54">
        <w:tc>
          <w:tcPr>
            <w:tcW w:w="2518" w:type="dxa"/>
            <w:tcBorders>
              <w:top w:val="single" w:sz="4" w:space="0" w:color="auto"/>
              <w:left w:val="single" w:sz="4" w:space="0" w:color="auto"/>
              <w:bottom w:val="single" w:sz="4" w:space="0" w:color="auto"/>
              <w:right w:val="single" w:sz="4" w:space="0" w:color="auto"/>
            </w:tcBorders>
            <w:hideMark/>
          </w:tcPr>
          <w:p w14:paraId="5194CA24" w14:textId="112D6620" w:rsidR="001F3DA3" w:rsidRPr="002F1505" w:rsidRDefault="001F3DA3" w:rsidP="008F0C54">
            <w:pPr>
              <w:pStyle w:val="TableData"/>
              <w:ind w:left="0"/>
              <w:rPr>
                <w:rFonts w:ascii="Verdana" w:hAnsi="Verdana" w:cs="Arial"/>
                <w:sz w:val="20"/>
                <w:lang w:val="en-US"/>
              </w:rPr>
            </w:pPr>
            <w:r w:rsidRPr="002F1505">
              <w:rPr>
                <w:rFonts w:ascii="Verdana" w:hAnsi="Verdana" w:cs="Arial"/>
                <w:sz w:val="20"/>
                <w:lang w:val="en-US"/>
              </w:rPr>
              <w:t>Anti-Virus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94CA25"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94CA26"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r w:rsidR="001F3DA3" w:rsidRPr="002F1505" w14:paraId="5194CA2B" w14:textId="77777777" w:rsidTr="008F0C54">
        <w:tc>
          <w:tcPr>
            <w:tcW w:w="2518" w:type="dxa"/>
            <w:tcBorders>
              <w:top w:val="single" w:sz="4" w:space="0" w:color="auto"/>
              <w:left w:val="single" w:sz="4" w:space="0" w:color="auto"/>
              <w:bottom w:val="single" w:sz="4" w:space="0" w:color="auto"/>
              <w:right w:val="single" w:sz="4" w:space="0" w:color="auto"/>
            </w:tcBorders>
          </w:tcPr>
          <w:p w14:paraId="5194CA28" w14:textId="15B3A17C" w:rsidR="001F3DA3" w:rsidRPr="002F1505" w:rsidRDefault="001F3DA3" w:rsidP="008F0C54">
            <w:pPr>
              <w:pStyle w:val="TableData"/>
              <w:ind w:left="0"/>
              <w:rPr>
                <w:rFonts w:ascii="Verdana" w:hAnsi="Verdana" w:cs="Arial"/>
                <w:sz w:val="20"/>
                <w:lang w:val="en-US"/>
              </w:rPr>
            </w:pPr>
            <w:r w:rsidRPr="002F1505">
              <w:rPr>
                <w:rFonts w:ascii="Verdana" w:hAnsi="Verdana" w:cs="Arial"/>
                <w:sz w:val="20"/>
                <w:lang w:val="en-US"/>
              </w:rPr>
              <w:t>Anti-Spyware</w:t>
            </w:r>
          </w:p>
        </w:tc>
        <w:tc>
          <w:tcPr>
            <w:tcW w:w="3402" w:type="dxa"/>
            <w:tcBorders>
              <w:top w:val="single" w:sz="4" w:space="0" w:color="auto"/>
              <w:left w:val="single" w:sz="4" w:space="0" w:color="auto"/>
              <w:bottom w:val="single" w:sz="4" w:space="0" w:color="auto"/>
              <w:right w:val="single" w:sz="4" w:space="0" w:color="auto"/>
            </w:tcBorders>
            <w:vAlign w:val="center"/>
          </w:tcPr>
          <w:p w14:paraId="5194CA29"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5194CA2A"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r w:rsidR="001F3DA3" w:rsidRPr="002F1505" w14:paraId="5194CA2F" w14:textId="77777777" w:rsidTr="008F0C54">
        <w:tc>
          <w:tcPr>
            <w:tcW w:w="2518" w:type="dxa"/>
            <w:tcBorders>
              <w:top w:val="single" w:sz="4" w:space="0" w:color="auto"/>
              <w:left w:val="single" w:sz="4" w:space="0" w:color="auto"/>
              <w:bottom w:val="single" w:sz="4" w:space="0" w:color="auto"/>
              <w:right w:val="single" w:sz="4" w:space="0" w:color="auto"/>
            </w:tcBorders>
          </w:tcPr>
          <w:p w14:paraId="5194CA2C" w14:textId="2746CCF1" w:rsidR="001F3DA3" w:rsidRPr="002F1505" w:rsidRDefault="00B013CB" w:rsidP="008F0C54">
            <w:pPr>
              <w:pStyle w:val="TableData"/>
              <w:ind w:left="0"/>
              <w:rPr>
                <w:rFonts w:ascii="Verdana" w:hAnsi="Verdana" w:cs="Arial"/>
                <w:sz w:val="20"/>
                <w:lang w:val="en-US"/>
              </w:rPr>
            </w:pPr>
            <w:r>
              <w:rPr>
                <w:rFonts w:ascii="Verdana" w:hAnsi="Verdana"/>
                <w:sz w:val="20"/>
              </w:rPr>
              <w:t>Endpoint</w:t>
            </w:r>
            <w:r w:rsidR="001F3DA3" w:rsidRPr="002F1505">
              <w:rPr>
                <w:rFonts w:ascii="Verdana" w:hAnsi="Verdana"/>
                <w:sz w:val="20"/>
              </w:rPr>
              <w:t>Firewall</w:t>
            </w:r>
          </w:p>
        </w:tc>
        <w:tc>
          <w:tcPr>
            <w:tcW w:w="3402" w:type="dxa"/>
            <w:tcBorders>
              <w:top w:val="single" w:sz="4" w:space="0" w:color="auto"/>
              <w:left w:val="single" w:sz="4" w:space="0" w:color="auto"/>
              <w:bottom w:val="single" w:sz="4" w:space="0" w:color="auto"/>
              <w:right w:val="single" w:sz="4" w:space="0" w:color="auto"/>
            </w:tcBorders>
            <w:vAlign w:val="center"/>
          </w:tcPr>
          <w:p w14:paraId="5194CA2D"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5194CA2E"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r w:rsidR="001F3DA3" w:rsidRPr="002F1505" w14:paraId="5194CA33" w14:textId="77777777" w:rsidTr="008F0C54">
        <w:tc>
          <w:tcPr>
            <w:tcW w:w="2518" w:type="dxa"/>
            <w:tcBorders>
              <w:top w:val="single" w:sz="4" w:space="0" w:color="auto"/>
              <w:left w:val="single" w:sz="4" w:space="0" w:color="auto"/>
              <w:bottom w:val="single" w:sz="4" w:space="0" w:color="auto"/>
              <w:right w:val="single" w:sz="4" w:space="0" w:color="auto"/>
            </w:tcBorders>
          </w:tcPr>
          <w:p w14:paraId="5194CA30" w14:textId="77777777" w:rsidR="001F3DA3" w:rsidRPr="002F1505" w:rsidRDefault="001F3DA3" w:rsidP="008F0C54">
            <w:pPr>
              <w:pStyle w:val="TableData"/>
              <w:ind w:left="0"/>
              <w:rPr>
                <w:rFonts w:ascii="Verdana" w:hAnsi="Verdana"/>
                <w:sz w:val="20"/>
              </w:rPr>
            </w:pPr>
            <w:r w:rsidRPr="002F1505">
              <w:rPr>
                <w:rFonts w:ascii="Verdana" w:hAnsi="Verdana"/>
                <w:sz w:val="20"/>
              </w:rPr>
              <w:lastRenderedPageBreak/>
              <w:t>Web security</w:t>
            </w:r>
          </w:p>
        </w:tc>
        <w:tc>
          <w:tcPr>
            <w:tcW w:w="3402" w:type="dxa"/>
            <w:tcBorders>
              <w:top w:val="single" w:sz="4" w:space="0" w:color="auto"/>
              <w:left w:val="single" w:sz="4" w:space="0" w:color="auto"/>
              <w:bottom w:val="single" w:sz="4" w:space="0" w:color="auto"/>
              <w:right w:val="single" w:sz="4" w:space="0" w:color="auto"/>
            </w:tcBorders>
            <w:vAlign w:val="center"/>
          </w:tcPr>
          <w:p w14:paraId="5194CA31"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5194CA32"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r w:rsidR="001F3DA3" w:rsidRPr="002F1505" w14:paraId="5194CA37" w14:textId="77777777" w:rsidTr="008F0C54">
        <w:tc>
          <w:tcPr>
            <w:tcW w:w="2518" w:type="dxa"/>
            <w:tcBorders>
              <w:top w:val="single" w:sz="4" w:space="0" w:color="auto"/>
              <w:left w:val="single" w:sz="4" w:space="0" w:color="auto"/>
              <w:bottom w:val="single" w:sz="4" w:space="0" w:color="auto"/>
              <w:right w:val="single" w:sz="4" w:space="0" w:color="auto"/>
            </w:tcBorders>
          </w:tcPr>
          <w:p w14:paraId="5194CA34" w14:textId="77777777" w:rsidR="001F3DA3" w:rsidRPr="002F1505" w:rsidRDefault="001F3DA3" w:rsidP="008F0C54">
            <w:pPr>
              <w:pStyle w:val="TableData"/>
              <w:ind w:left="0"/>
              <w:rPr>
                <w:rFonts w:ascii="Verdana" w:hAnsi="Verdana"/>
                <w:sz w:val="20"/>
              </w:rPr>
            </w:pPr>
            <w:r w:rsidRPr="002F1505">
              <w:rPr>
                <w:rFonts w:ascii="Verdana" w:hAnsi="Verdana"/>
                <w:sz w:val="20"/>
              </w:rPr>
              <w:t>Web filter</w:t>
            </w:r>
          </w:p>
        </w:tc>
        <w:tc>
          <w:tcPr>
            <w:tcW w:w="3402" w:type="dxa"/>
            <w:tcBorders>
              <w:top w:val="single" w:sz="4" w:space="0" w:color="auto"/>
              <w:left w:val="single" w:sz="4" w:space="0" w:color="auto"/>
              <w:bottom w:val="single" w:sz="4" w:space="0" w:color="auto"/>
              <w:right w:val="single" w:sz="4" w:space="0" w:color="auto"/>
            </w:tcBorders>
            <w:vAlign w:val="center"/>
          </w:tcPr>
          <w:p w14:paraId="5194CA35"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c>
          <w:tcPr>
            <w:tcW w:w="3544" w:type="dxa"/>
            <w:tcBorders>
              <w:top w:val="single" w:sz="4" w:space="0" w:color="auto"/>
              <w:left w:val="single" w:sz="4" w:space="0" w:color="auto"/>
              <w:bottom w:val="single" w:sz="4" w:space="0" w:color="auto"/>
              <w:right w:val="single" w:sz="4" w:space="0" w:color="auto"/>
            </w:tcBorders>
            <w:vAlign w:val="center"/>
          </w:tcPr>
          <w:p w14:paraId="5194CA36" w14:textId="77777777" w:rsidR="001F3DA3" w:rsidRPr="002F1505" w:rsidRDefault="001F3DA3" w:rsidP="008F0C54">
            <w:pPr>
              <w:jc w:val="center"/>
              <w:rPr>
                <w:rFonts w:ascii="Verdana" w:hAnsi="Verdana" w:cs="Arial"/>
                <w:b/>
                <w:bCs/>
                <w:sz w:val="20"/>
                <w:lang w:val="en-US"/>
              </w:rPr>
            </w:pPr>
            <w:r w:rsidRPr="002F1505">
              <w:rPr>
                <w:rFonts w:ascii="Verdana" w:hAnsi="Verdana" w:cs="Arial"/>
                <w:b/>
                <w:bCs/>
                <w:sz w:val="20"/>
                <w:lang w:val="en-US"/>
              </w:rPr>
              <w:t>√</w:t>
            </w:r>
          </w:p>
        </w:tc>
      </w:tr>
    </w:tbl>
    <w:p w14:paraId="5194CA3C" w14:textId="77777777" w:rsidR="001F3DA3" w:rsidRPr="00E939E8" w:rsidRDefault="001F3DA3" w:rsidP="001F3DA3">
      <w:pPr>
        <w:rPr>
          <w:rFonts w:ascii="Verdana" w:hAnsi="Verdana"/>
          <w:sz w:val="18"/>
          <w:szCs w:val="18"/>
        </w:rPr>
      </w:pPr>
      <w:r w:rsidRPr="00E939E8">
        <w:rPr>
          <w:rFonts w:ascii="Verdana" w:hAnsi="Verdana"/>
          <w:sz w:val="18"/>
          <w:szCs w:val="18"/>
        </w:rPr>
        <w:t>* These packages are no longer available to new customers on and from 6 May 2014.  Existing customers can continue to use the applications and change user numbers, as permitted below</w:t>
      </w:r>
      <w:r>
        <w:rPr>
          <w:rFonts w:ascii="Verdana" w:hAnsi="Verdana"/>
          <w:sz w:val="18"/>
          <w:szCs w:val="18"/>
        </w:rPr>
        <w:t>.</w:t>
      </w:r>
    </w:p>
    <w:p w14:paraId="5194CA3D" w14:textId="77777777" w:rsidR="001F3DA3" w:rsidRPr="002F1505" w:rsidRDefault="001F3DA3" w:rsidP="005A1693">
      <w:pPr>
        <w:pStyle w:val="SubHead"/>
      </w:pPr>
      <w:bookmarkStart w:id="13" w:name="_Toc401235137"/>
      <w:r w:rsidRPr="002F1505">
        <w:t>Eligibility</w:t>
      </w:r>
      <w:bookmarkEnd w:id="13"/>
    </w:p>
    <w:p w14:paraId="5194CA3E" w14:textId="77777777" w:rsidR="001F3DA3" w:rsidRPr="002F1505" w:rsidRDefault="001F3DA3" w:rsidP="001F3DA3">
      <w:pPr>
        <w:pStyle w:val="Heading2"/>
      </w:pPr>
      <w:r w:rsidRPr="002F1505">
        <w:t>You must:</w:t>
      </w:r>
    </w:p>
    <w:p w14:paraId="5194CA3F" w14:textId="77777777" w:rsidR="001F3DA3" w:rsidRPr="002F1505" w:rsidRDefault="001F3DA3" w:rsidP="001F3DA3">
      <w:pPr>
        <w:pStyle w:val="Heading3"/>
        <w:rPr>
          <w:lang w:eastAsia="en-AU"/>
        </w:rPr>
      </w:pPr>
      <w:r w:rsidRPr="002F1505">
        <w:rPr>
          <w:lang w:eastAsia="en-AU"/>
        </w:rPr>
        <w:t xml:space="preserve">ensure your computer(s) meets the requirements set out on our </w:t>
      </w:r>
      <w:r w:rsidR="00BD2167">
        <w:rPr>
          <w:lang w:eastAsia="en-AU"/>
        </w:rPr>
        <w:t xml:space="preserve">Telstra Apps </w:t>
      </w:r>
      <w:r w:rsidR="00F86691">
        <w:rPr>
          <w:lang w:eastAsia="en-AU"/>
        </w:rPr>
        <w:t>M</w:t>
      </w:r>
      <w:r w:rsidR="00BD2167">
        <w:rPr>
          <w:lang w:eastAsia="en-AU"/>
        </w:rPr>
        <w:t>arketplace</w:t>
      </w:r>
      <w:r w:rsidR="00F86691">
        <w:rPr>
          <w:lang w:eastAsia="en-AU"/>
        </w:rPr>
        <w:t xml:space="preserve"> Support </w:t>
      </w:r>
      <w:hyperlink r:id="rId22" w:history="1">
        <w:r w:rsidR="00DE7014" w:rsidRPr="002A348A">
          <w:rPr>
            <w:rStyle w:val="Hyperlink"/>
            <w:szCs w:val="20"/>
            <w:lang w:eastAsia="en-AU"/>
          </w:rPr>
          <w:t>http://www.telstra.com/marketplacesupport</w:t>
        </w:r>
      </w:hyperlink>
      <w:r w:rsidRPr="002F1505">
        <w:rPr>
          <w:lang w:eastAsia="en-AU"/>
        </w:rPr>
        <w:t xml:space="preserve"> or as otherwise advised by us from time to time;</w:t>
      </w:r>
    </w:p>
    <w:p w14:paraId="5194CA40" w14:textId="77777777" w:rsidR="001F3DA3" w:rsidRPr="002F1505" w:rsidRDefault="001F3DA3" w:rsidP="001F3DA3">
      <w:pPr>
        <w:pStyle w:val="Heading3"/>
        <w:rPr>
          <w:lang w:eastAsia="en-AU"/>
        </w:rPr>
      </w:pPr>
      <w:r w:rsidRPr="002F1505">
        <w:rPr>
          <w:lang w:eastAsia="en-AU"/>
        </w:rPr>
        <w:t xml:space="preserve">ensure that your computer(s) and software on your computer(s) are compatible for the  McAfee </w:t>
      </w:r>
      <w:r w:rsidRPr="002F1505">
        <w:t>SaaS Endpoint Protection</w:t>
      </w:r>
      <w:r w:rsidRPr="002F1505">
        <w:rPr>
          <w:lang w:eastAsia="en-AU"/>
        </w:rPr>
        <w:t xml:space="preserve"> application; and</w:t>
      </w:r>
    </w:p>
    <w:p w14:paraId="5194CA41" w14:textId="77777777" w:rsidR="001F3DA3" w:rsidRPr="002F1505" w:rsidRDefault="001F3DA3" w:rsidP="001F3DA3">
      <w:pPr>
        <w:pStyle w:val="Heading3"/>
        <w:rPr>
          <w:lang w:eastAsia="en-AU"/>
        </w:rPr>
      </w:pPr>
      <w:r w:rsidRPr="002F1505">
        <w:rPr>
          <w:lang w:eastAsia="en-AU"/>
        </w:rPr>
        <w:t xml:space="preserve">regularly check the default email address that we have allocated to you for messages about your McAfee </w:t>
      </w:r>
      <w:r w:rsidRPr="002F1505">
        <w:t>SaaS Endpoint Protection</w:t>
      </w:r>
      <w:r w:rsidRPr="002F1505">
        <w:rPr>
          <w:lang w:eastAsia="en-AU"/>
        </w:rPr>
        <w:t xml:space="preserve"> application.</w:t>
      </w:r>
    </w:p>
    <w:p w14:paraId="5194CA42" w14:textId="77777777" w:rsidR="001F3DA3" w:rsidRPr="002F1505" w:rsidRDefault="001F3DA3" w:rsidP="001F3DA3">
      <w:pPr>
        <w:pStyle w:val="SubHead"/>
      </w:pPr>
      <w:r w:rsidRPr="002F1505">
        <w:t>User numbers</w:t>
      </w:r>
    </w:p>
    <w:p w14:paraId="5194CA43" w14:textId="77777777" w:rsidR="001F3DA3" w:rsidRPr="002F1505" w:rsidRDefault="001F3DA3" w:rsidP="001F3DA3">
      <w:pPr>
        <w:pStyle w:val="Heading2"/>
      </w:pPr>
      <w:r w:rsidRPr="002F1505">
        <w:t>If you apply to add additional users during the Initial Term, the Initial Term for each additional user will expire at the same time as the Initial Term for your initial application. If adding the additional users moves your subscription into a new pricing tier, all users under your subscription will be charged on the basis of that new tier from the date you increased the users.</w:t>
      </w:r>
    </w:p>
    <w:p w14:paraId="5194CA44" w14:textId="77777777" w:rsidR="00BD2167" w:rsidRPr="00BD2167" w:rsidRDefault="001F3DA3" w:rsidP="00BD2167">
      <w:pPr>
        <w:pStyle w:val="Heading2"/>
        <w:rPr>
          <w:lang w:eastAsia="en-AU"/>
        </w:rPr>
      </w:pPr>
      <w:r w:rsidRPr="002F1505">
        <w:t>If you wish to remove a number of users from your subscription (e.g. decrease the number of users</w:t>
      </w:r>
      <w:r w:rsidRPr="002F1505">
        <w:rPr>
          <w:lang w:eastAsia="en-AU"/>
        </w:rPr>
        <w:t xml:space="preserve"> under your subscription) you </w:t>
      </w:r>
      <w:r w:rsidR="00DB4A89">
        <w:rPr>
          <w:lang w:eastAsia="en-AU"/>
        </w:rPr>
        <w:t>can decrease the number of users from your subscription in the Telstra Apps Marketplace.</w:t>
      </w:r>
      <w:r w:rsidRPr="002F1505">
        <w:rPr>
          <w:lang w:eastAsia="en-AU"/>
        </w:rPr>
        <w:t>If you</w:t>
      </w:r>
      <w:r w:rsidR="00BD2167">
        <w:rPr>
          <w:lang w:eastAsia="en-AU"/>
        </w:rPr>
        <w:t>r p</w:t>
      </w:r>
      <w:r w:rsidR="00BD2167">
        <w:t xml:space="preserve">lan or individual user licences is cancelled before your minimum term has ended, </w:t>
      </w:r>
      <w:r w:rsidR="00432FBE" w:rsidRPr="00D91CC8">
        <w:t xml:space="preserve">you’ll need to pay us an Early Termination Charge (ETC) for each user licence cancelled.  The ETC is calculated as 65% of the monthly charge multiplied by the number of user licences cancelled multiplied by the number of remaining months in your plan term, plus the set up charge </w:t>
      </w:r>
      <w:r w:rsidR="00BD2167" w:rsidRPr="00BD2167">
        <w:rPr>
          <w:rFonts w:ascii="Arial" w:hAnsi="Arial" w:cs="Arial"/>
          <w:color w:val="000000"/>
          <w:lang w:eastAsia="en-AU"/>
        </w:rPr>
        <w:t>(if there is one).</w:t>
      </w:r>
      <w:r w:rsidRPr="002F1505">
        <w:rPr>
          <w:lang w:eastAsia="en-AU"/>
        </w:rPr>
        <w:t xml:space="preserve"> </w:t>
      </w:r>
    </w:p>
    <w:p w14:paraId="5194CA45" w14:textId="77777777" w:rsidR="001F3DA3" w:rsidRPr="002F1505" w:rsidRDefault="001F3DA3" w:rsidP="001F3DA3">
      <w:pPr>
        <w:pStyle w:val="Heading2"/>
        <w:numPr>
          <w:ilvl w:val="0"/>
          <w:numId w:val="0"/>
        </w:numPr>
        <w:rPr>
          <w:b/>
        </w:rPr>
      </w:pPr>
      <w:r w:rsidRPr="002F1505">
        <w:rPr>
          <w:b/>
        </w:rPr>
        <w:t>Application Features</w:t>
      </w:r>
    </w:p>
    <w:p w14:paraId="5194CA46" w14:textId="77777777" w:rsidR="001F3DA3" w:rsidRPr="002F1505" w:rsidRDefault="001F3DA3" w:rsidP="001F3DA3">
      <w:pPr>
        <w:pStyle w:val="Heading2"/>
      </w:pPr>
      <w:r w:rsidRPr="002F1505">
        <w:t>The table below describes each of the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51"/>
      </w:tblGrid>
      <w:tr w:rsidR="001F3DA3" w:rsidRPr="002F1505" w14:paraId="5194CA49" w14:textId="77777777" w:rsidTr="008F0C54">
        <w:trPr>
          <w:tblHeader/>
        </w:trPr>
        <w:tc>
          <w:tcPr>
            <w:tcW w:w="4363" w:type="dxa"/>
            <w:shd w:val="clear" w:color="auto" w:fill="E0E0E0"/>
          </w:tcPr>
          <w:p w14:paraId="5194CA47" w14:textId="77777777" w:rsidR="001F3DA3" w:rsidRPr="002F1505" w:rsidRDefault="001F3DA3" w:rsidP="008F0C54">
            <w:pPr>
              <w:pStyle w:val="TableData"/>
              <w:rPr>
                <w:rFonts w:ascii="Verdana" w:hAnsi="Verdana" w:cs="Arial"/>
                <w:b/>
                <w:sz w:val="20"/>
              </w:rPr>
            </w:pPr>
            <w:r w:rsidRPr="002F1505">
              <w:rPr>
                <w:rFonts w:ascii="Verdana" w:hAnsi="Verdana" w:cs="Arial"/>
                <w:b/>
                <w:sz w:val="20"/>
              </w:rPr>
              <w:t>Application</w:t>
            </w:r>
          </w:p>
        </w:tc>
        <w:tc>
          <w:tcPr>
            <w:tcW w:w="4363" w:type="dxa"/>
            <w:shd w:val="clear" w:color="auto" w:fill="E0E0E0"/>
          </w:tcPr>
          <w:p w14:paraId="5194CA48" w14:textId="77777777" w:rsidR="001F3DA3" w:rsidRPr="002F1505" w:rsidRDefault="001F3DA3" w:rsidP="008F0C54">
            <w:pPr>
              <w:pStyle w:val="TableData"/>
              <w:rPr>
                <w:rFonts w:ascii="Verdana" w:hAnsi="Verdana" w:cs="Arial"/>
                <w:b/>
                <w:sz w:val="20"/>
              </w:rPr>
            </w:pPr>
            <w:r w:rsidRPr="002F1505">
              <w:rPr>
                <w:rFonts w:ascii="Verdana" w:hAnsi="Verdana" w:cs="Arial"/>
                <w:b/>
                <w:sz w:val="20"/>
              </w:rPr>
              <w:t>Description</w:t>
            </w:r>
          </w:p>
        </w:tc>
      </w:tr>
      <w:tr w:rsidR="001F3DA3" w:rsidRPr="002F1505" w14:paraId="5194CA4C" w14:textId="77777777" w:rsidTr="008F0C54">
        <w:tc>
          <w:tcPr>
            <w:tcW w:w="4363" w:type="dxa"/>
          </w:tcPr>
          <w:p w14:paraId="5194CA4A" w14:textId="77777777" w:rsidR="001F3DA3" w:rsidRPr="002F1505" w:rsidRDefault="001F3DA3" w:rsidP="008F0C54">
            <w:pPr>
              <w:pStyle w:val="TableData"/>
              <w:ind w:left="0"/>
              <w:rPr>
                <w:rFonts w:ascii="Verdana" w:hAnsi="Verdana" w:cs="Arial"/>
                <w:sz w:val="20"/>
                <w:lang w:val="en-GB"/>
              </w:rPr>
            </w:pPr>
            <w:r w:rsidRPr="002F1505">
              <w:rPr>
                <w:rFonts w:ascii="Verdana" w:hAnsi="Verdana" w:cs="Arial"/>
                <w:sz w:val="20"/>
                <w:lang w:val="en-GB"/>
              </w:rPr>
              <w:t>McAfee Security Centre</w:t>
            </w:r>
          </w:p>
        </w:tc>
        <w:tc>
          <w:tcPr>
            <w:tcW w:w="4363" w:type="dxa"/>
          </w:tcPr>
          <w:p w14:paraId="5194CA4B" w14:textId="77777777" w:rsidR="001F3DA3" w:rsidRPr="002F1505" w:rsidRDefault="001F3DA3" w:rsidP="008F0C54">
            <w:pPr>
              <w:pStyle w:val="TableData"/>
              <w:ind w:left="0"/>
              <w:rPr>
                <w:rFonts w:ascii="Verdana" w:hAnsi="Verdana" w:cs="Arial"/>
                <w:sz w:val="20"/>
              </w:rPr>
            </w:pPr>
            <w:r w:rsidRPr="002F1505">
              <w:rPr>
                <w:rFonts w:ascii="Verdana" w:hAnsi="Verdana" w:cs="Arial"/>
                <w:sz w:val="20"/>
              </w:rPr>
              <w:t>McAfee Security Centre provides centralised visibility through an online management console.</w:t>
            </w:r>
          </w:p>
        </w:tc>
      </w:tr>
      <w:tr w:rsidR="001F3DA3" w:rsidRPr="002F1505" w14:paraId="5194CA4F" w14:textId="77777777" w:rsidTr="008F0C54">
        <w:tc>
          <w:tcPr>
            <w:tcW w:w="4363" w:type="dxa"/>
          </w:tcPr>
          <w:p w14:paraId="5194CA4D" w14:textId="77777777" w:rsidR="001F3DA3" w:rsidRPr="002F1505" w:rsidRDefault="001F3DA3" w:rsidP="008F0C54">
            <w:pPr>
              <w:pStyle w:val="TableData"/>
              <w:ind w:left="0"/>
              <w:rPr>
                <w:rFonts w:ascii="Verdana" w:hAnsi="Verdana" w:cs="Arial"/>
                <w:sz w:val="20"/>
              </w:rPr>
            </w:pPr>
            <w:r w:rsidRPr="002F1505">
              <w:rPr>
                <w:rFonts w:ascii="Verdana" w:hAnsi="Verdana" w:cs="Arial"/>
                <w:sz w:val="20"/>
                <w:lang w:val="en-GB"/>
              </w:rPr>
              <w:lastRenderedPageBreak/>
              <w:t>Anti-Virus</w:t>
            </w:r>
          </w:p>
        </w:tc>
        <w:tc>
          <w:tcPr>
            <w:tcW w:w="4363" w:type="dxa"/>
          </w:tcPr>
          <w:p w14:paraId="5194CA4E" w14:textId="77777777" w:rsidR="001F3DA3" w:rsidRPr="002F1505" w:rsidRDefault="006111BA" w:rsidP="006111BA">
            <w:pPr>
              <w:pStyle w:val="TableData"/>
              <w:ind w:left="0"/>
              <w:rPr>
                <w:rFonts w:ascii="Verdana" w:hAnsi="Verdana" w:cs="Arial"/>
                <w:sz w:val="20"/>
              </w:rPr>
            </w:pPr>
            <w:r>
              <w:rPr>
                <w:rFonts w:ascii="Verdana" w:hAnsi="Verdana" w:cs="Arial"/>
                <w:sz w:val="20"/>
              </w:rPr>
              <w:t>A</w:t>
            </w:r>
            <w:r w:rsidR="001F3DA3" w:rsidRPr="002F1505">
              <w:rPr>
                <w:rFonts w:ascii="Verdana" w:hAnsi="Verdana" w:cs="Arial"/>
                <w:sz w:val="20"/>
              </w:rPr>
              <w:t xml:space="preserve">nti-virus provides you with monitoring, detection, management and outbreak notification of known viruses, trojans and worms and other malware and </w:t>
            </w:r>
            <w:r w:rsidR="001F3DA3" w:rsidRPr="002F1505">
              <w:rPr>
                <w:rFonts w:ascii="Verdana" w:hAnsi="Verdana" w:cs="Arial"/>
                <w:sz w:val="20"/>
                <w:lang w:eastAsia="en-AU"/>
              </w:rPr>
              <w:t>the transmission of outbound data to phishing-related websites that are known</w:t>
            </w:r>
            <w:r w:rsidR="001F3DA3" w:rsidRPr="002F1505">
              <w:rPr>
                <w:rFonts w:ascii="Verdana" w:hAnsi="Verdana" w:cs="Arial"/>
                <w:sz w:val="20"/>
              </w:rPr>
              <w:t xml:space="preserve"> by the software on your </w:t>
            </w:r>
            <w:r>
              <w:rPr>
                <w:rFonts w:ascii="Verdana" w:hAnsi="Verdana" w:cs="Arial"/>
                <w:sz w:val="20"/>
              </w:rPr>
              <w:t>computers or servers</w:t>
            </w:r>
            <w:r w:rsidR="001F3DA3" w:rsidRPr="002F1505">
              <w:rPr>
                <w:rFonts w:ascii="Verdana" w:hAnsi="Verdana" w:cs="Arial"/>
                <w:sz w:val="20"/>
              </w:rPr>
              <w:t>.  Once notified of the malware, you can choose to clean or delete the infected file.</w:t>
            </w:r>
            <w:r w:rsidR="001F3DA3" w:rsidRPr="002F1505" w:rsidDel="009652BD">
              <w:rPr>
                <w:rFonts w:ascii="Verdana" w:hAnsi="Verdana" w:cs="Arial"/>
                <w:sz w:val="20"/>
              </w:rPr>
              <w:t xml:space="preserve"> </w:t>
            </w:r>
          </w:p>
        </w:tc>
      </w:tr>
      <w:tr w:rsidR="001F3DA3" w:rsidRPr="002F1505" w14:paraId="5194CA52" w14:textId="77777777" w:rsidTr="008F0C54">
        <w:tc>
          <w:tcPr>
            <w:tcW w:w="4363" w:type="dxa"/>
          </w:tcPr>
          <w:p w14:paraId="5194CA50" w14:textId="77777777" w:rsidR="001F3DA3" w:rsidRPr="002F1505" w:rsidRDefault="001F3DA3" w:rsidP="008F0C54">
            <w:pPr>
              <w:pStyle w:val="TableData"/>
              <w:ind w:left="0"/>
              <w:rPr>
                <w:rFonts w:ascii="Verdana" w:hAnsi="Verdana" w:cs="Arial"/>
                <w:sz w:val="20"/>
                <w:lang w:val="en-GB"/>
              </w:rPr>
            </w:pPr>
            <w:r w:rsidRPr="002F1505">
              <w:rPr>
                <w:rFonts w:ascii="Verdana" w:hAnsi="Verdana" w:cs="Arial"/>
                <w:sz w:val="20"/>
                <w:lang w:val="en-GB"/>
              </w:rPr>
              <w:t>Anti-Spyware</w:t>
            </w:r>
          </w:p>
        </w:tc>
        <w:tc>
          <w:tcPr>
            <w:tcW w:w="4363" w:type="dxa"/>
          </w:tcPr>
          <w:p w14:paraId="5194CA51" w14:textId="77777777" w:rsidR="001F3DA3" w:rsidRPr="002F1505" w:rsidRDefault="006111BA" w:rsidP="008F0C54">
            <w:pPr>
              <w:pStyle w:val="TableData"/>
              <w:ind w:left="0"/>
              <w:rPr>
                <w:rFonts w:ascii="Verdana" w:hAnsi="Verdana" w:cs="Arial"/>
                <w:sz w:val="20"/>
              </w:rPr>
            </w:pPr>
            <w:r>
              <w:rPr>
                <w:rFonts w:ascii="Verdana" w:hAnsi="Verdana" w:cs="Arial"/>
                <w:sz w:val="20"/>
              </w:rPr>
              <w:t>A</w:t>
            </w:r>
            <w:r w:rsidR="001F3DA3" w:rsidRPr="002F1505">
              <w:rPr>
                <w:rFonts w:ascii="Verdana" w:hAnsi="Verdana" w:cs="Arial"/>
                <w:sz w:val="20"/>
              </w:rPr>
              <w:t>nti-spyware provides you with monitoring, detection, management and outbreak notification of known spyware</w:t>
            </w:r>
            <w:r>
              <w:rPr>
                <w:rFonts w:ascii="Verdana" w:hAnsi="Verdana" w:cs="Arial"/>
                <w:sz w:val="20"/>
              </w:rPr>
              <w:t xml:space="preserve"> on your computers or servers</w:t>
            </w:r>
            <w:r w:rsidR="001F3DA3" w:rsidRPr="002F1505">
              <w:rPr>
                <w:rFonts w:ascii="Verdana" w:hAnsi="Verdana" w:cs="Arial"/>
                <w:sz w:val="20"/>
              </w:rPr>
              <w:t xml:space="preserve">.  Once notified of the spyware, you can choose to clean or delete the infected file. </w:t>
            </w:r>
          </w:p>
        </w:tc>
      </w:tr>
      <w:tr w:rsidR="001F3DA3" w:rsidRPr="002F1505" w14:paraId="5194CA55" w14:textId="77777777" w:rsidTr="008F0C54">
        <w:tc>
          <w:tcPr>
            <w:tcW w:w="4363" w:type="dxa"/>
          </w:tcPr>
          <w:p w14:paraId="5194CA53" w14:textId="40D4CB4B" w:rsidR="001F3DA3" w:rsidRPr="002F1505" w:rsidRDefault="00B013CB" w:rsidP="00251CC6">
            <w:pPr>
              <w:pStyle w:val="TableData"/>
              <w:ind w:left="0"/>
              <w:rPr>
                <w:rFonts w:ascii="Verdana" w:hAnsi="Verdana" w:cs="Arial"/>
                <w:sz w:val="20"/>
                <w:lang w:val="en-GB"/>
              </w:rPr>
            </w:pPr>
            <w:r>
              <w:rPr>
                <w:rFonts w:ascii="Verdana" w:hAnsi="Verdana" w:cs="Arial"/>
                <w:sz w:val="20"/>
                <w:lang w:val="en-GB"/>
              </w:rPr>
              <w:t>Endpoint</w:t>
            </w:r>
            <w:r w:rsidRPr="002F1505">
              <w:rPr>
                <w:rFonts w:ascii="Verdana" w:hAnsi="Verdana" w:cs="Arial"/>
                <w:sz w:val="20"/>
                <w:lang w:val="en-GB"/>
              </w:rPr>
              <w:t xml:space="preserve"> </w:t>
            </w:r>
            <w:r w:rsidR="001F3DA3" w:rsidRPr="002F1505">
              <w:rPr>
                <w:rFonts w:ascii="Verdana" w:hAnsi="Verdana" w:cs="Arial"/>
                <w:sz w:val="20"/>
                <w:lang w:val="en-GB"/>
              </w:rPr>
              <w:t>Firewall</w:t>
            </w:r>
          </w:p>
        </w:tc>
        <w:tc>
          <w:tcPr>
            <w:tcW w:w="4363" w:type="dxa"/>
          </w:tcPr>
          <w:p w14:paraId="5194CA54" w14:textId="798F19CB" w:rsidR="001F3DA3" w:rsidRPr="002F1505" w:rsidRDefault="00B013CB" w:rsidP="00251CC6">
            <w:pPr>
              <w:pStyle w:val="TableData"/>
              <w:ind w:left="0"/>
              <w:rPr>
                <w:rFonts w:ascii="Verdana" w:hAnsi="Verdana" w:cs="Arial"/>
                <w:sz w:val="20"/>
              </w:rPr>
            </w:pPr>
            <w:r>
              <w:rPr>
                <w:rFonts w:ascii="Verdana" w:hAnsi="Verdana" w:cs="Arial"/>
                <w:sz w:val="20"/>
              </w:rPr>
              <w:t>Endpoint</w:t>
            </w:r>
            <w:r w:rsidRPr="002F1505">
              <w:rPr>
                <w:rFonts w:ascii="Verdana" w:hAnsi="Verdana" w:cs="Arial"/>
                <w:sz w:val="20"/>
              </w:rPr>
              <w:t xml:space="preserve"> </w:t>
            </w:r>
            <w:r w:rsidR="001F3DA3" w:rsidRPr="002F1505">
              <w:rPr>
                <w:rFonts w:ascii="Verdana" w:hAnsi="Verdana" w:cs="Arial"/>
                <w:sz w:val="20"/>
              </w:rPr>
              <w:t xml:space="preserve">firewall sets up firewalls to create a barrier between </w:t>
            </w:r>
            <w:r w:rsidR="006111BA">
              <w:rPr>
                <w:rFonts w:ascii="Verdana" w:hAnsi="Verdana" w:cs="Arial"/>
                <w:sz w:val="20"/>
              </w:rPr>
              <w:t xml:space="preserve">each of </w:t>
            </w:r>
            <w:r w:rsidR="001F3DA3" w:rsidRPr="002F1505">
              <w:rPr>
                <w:rFonts w:ascii="Verdana" w:hAnsi="Verdana" w:cs="Arial"/>
                <w:sz w:val="20"/>
              </w:rPr>
              <w:t>you</w:t>
            </w:r>
            <w:r w:rsidR="006111BA">
              <w:rPr>
                <w:rFonts w:ascii="Verdana" w:hAnsi="Verdana" w:cs="Arial"/>
                <w:sz w:val="20"/>
              </w:rPr>
              <w:t>r computer and the internet or other computers on your local network</w:t>
            </w:r>
            <w:r w:rsidR="001F3DA3" w:rsidRPr="002F1505">
              <w:rPr>
                <w:rFonts w:ascii="Verdana" w:hAnsi="Verdana" w:cs="Arial"/>
                <w:sz w:val="20"/>
              </w:rPr>
              <w:t xml:space="preserve"> and </w:t>
            </w:r>
            <w:r w:rsidR="006111BA">
              <w:rPr>
                <w:rFonts w:ascii="Verdana" w:hAnsi="Verdana" w:cs="Arial"/>
                <w:sz w:val="20"/>
              </w:rPr>
              <w:t xml:space="preserve">silently monitors communication traffic for suspicious </w:t>
            </w:r>
            <w:r w:rsidR="001F3DA3" w:rsidRPr="002F1505">
              <w:rPr>
                <w:rFonts w:ascii="Verdana" w:hAnsi="Verdana" w:cs="Arial"/>
                <w:sz w:val="20"/>
              </w:rPr>
              <w:t>intrusions</w:t>
            </w:r>
            <w:r w:rsidR="006111BA">
              <w:rPr>
                <w:rFonts w:ascii="Verdana" w:hAnsi="Verdana" w:cs="Arial"/>
                <w:sz w:val="20"/>
              </w:rPr>
              <w:t xml:space="preserve"> and takes appropriate action such as blocking</w:t>
            </w:r>
          </w:p>
        </w:tc>
      </w:tr>
      <w:tr w:rsidR="001F3DA3" w:rsidRPr="002F1505" w14:paraId="5194CA58" w14:textId="77777777" w:rsidTr="008F0C54">
        <w:tc>
          <w:tcPr>
            <w:tcW w:w="4363" w:type="dxa"/>
          </w:tcPr>
          <w:p w14:paraId="5194CA56" w14:textId="77777777" w:rsidR="001F3DA3" w:rsidRPr="002F1505" w:rsidRDefault="006111BA" w:rsidP="008F0C54">
            <w:pPr>
              <w:pStyle w:val="TableData"/>
              <w:ind w:left="0"/>
              <w:rPr>
                <w:rFonts w:ascii="Verdana" w:hAnsi="Verdana" w:cs="Arial"/>
                <w:sz w:val="20"/>
                <w:lang w:val="en-GB"/>
              </w:rPr>
            </w:pPr>
            <w:r>
              <w:rPr>
                <w:rFonts w:ascii="Verdana" w:hAnsi="Verdana" w:cs="Arial"/>
                <w:sz w:val="20"/>
                <w:lang w:val="en-GB"/>
              </w:rPr>
              <w:t>McAfee Site Advisor</w:t>
            </w:r>
          </w:p>
        </w:tc>
        <w:tc>
          <w:tcPr>
            <w:tcW w:w="4363" w:type="dxa"/>
          </w:tcPr>
          <w:p w14:paraId="5194CA57" w14:textId="77777777" w:rsidR="001F3DA3" w:rsidRPr="002F1505" w:rsidRDefault="006111BA" w:rsidP="008F0C54">
            <w:pPr>
              <w:pStyle w:val="TableData"/>
              <w:ind w:left="0"/>
              <w:rPr>
                <w:rFonts w:ascii="Verdana" w:hAnsi="Verdana" w:cs="Arial"/>
                <w:sz w:val="20"/>
              </w:rPr>
            </w:pPr>
            <w:r>
              <w:rPr>
                <w:rFonts w:ascii="Verdana" w:hAnsi="Verdana" w:cs="Arial"/>
                <w:sz w:val="20"/>
              </w:rPr>
              <w:t>McAfee Site Adivsor display information about websites to help safeguard users against web-based threats. Users can view website safety rating and safety reports as they browse and search</w:t>
            </w:r>
          </w:p>
        </w:tc>
      </w:tr>
      <w:tr w:rsidR="001F3DA3" w:rsidRPr="002F1505" w14:paraId="5194CA5B" w14:textId="77777777" w:rsidTr="008F0C54">
        <w:tc>
          <w:tcPr>
            <w:tcW w:w="4363" w:type="dxa"/>
          </w:tcPr>
          <w:p w14:paraId="5194CA59" w14:textId="77777777" w:rsidR="001F3DA3" w:rsidRPr="002F1505" w:rsidRDefault="001F3DA3" w:rsidP="008F0C54">
            <w:pPr>
              <w:pStyle w:val="TableData"/>
              <w:tabs>
                <w:tab w:val="left" w:pos="1095"/>
              </w:tabs>
              <w:ind w:left="0"/>
              <w:rPr>
                <w:rFonts w:ascii="Verdana" w:hAnsi="Verdana" w:cs="Arial"/>
                <w:sz w:val="20"/>
                <w:lang w:val="en-GB"/>
              </w:rPr>
            </w:pPr>
            <w:r w:rsidRPr="002F1505">
              <w:rPr>
                <w:rFonts w:ascii="Verdana" w:hAnsi="Verdana" w:cs="Arial"/>
                <w:sz w:val="20"/>
                <w:lang w:val="en-GB"/>
              </w:rPr>
              <w:t>Web Filter</w:t>
            </w:r>
            <w:r w:rsidR="006111BA">
              <w:rPr>
                <w:rFonts w:ascii="Verdana" w:hAnsi="Verdana" w:cs="Arial"/>
                <w:sz w:val="20"/>
                <w:lang w:val="en-GB"/>
              </w:rPr>
              <w:t>ing</w:t>
            </w:r>
          </w:p>
        </w:tc>
        <w:tc>
          <w:tcPr>
            <w:tcW w:w="4363" w:type="dxa"/>
          </w:tcPr>
          <w:p w14:paraId="5194CA5A" w14:textId="77777777" w:rsidR="001F3DA3" w:rsidRPr="002F1505" w:rsidRDefault="001F3DA3" w:rsidP="003C0B77">
            <w:pPr>
              <w:pStyle w:val="TableData"/>
              <w:ind w:left="0"/>
              <w:rPr>
                <w:rFonts w:ascii="Verdana" w:hAnsi="Verdana" w:cs="Arial"/>
                <w:sz w:val="20"/>
              </w:rPr>
            </w:pPr>
            <w:r w:rsidRPr="002F1505">
              <w:rPr>
                <w:rFonts w:ascii="Verdana" w:hAnsi="Verdana" w:cs="Arial"/>
                <w:sz w:val="20"/>
              </w:rPr>
              <w:t>Web Filter</w:t>
            </w:r>
            <w:r w:rsidR="003C0B77">
              <w:rPr>
                <w:rFonts w:ascii="Verdana" w:hAnsi="Verdana" w:cs="Arial"/>
                <w:sz w:val="20"/>
              </w:rPr>
              <w:t>ing allows administrators to control access to websites based on safety rating,content category or specific urls</w:t>
            </w:r>
          </w:p>
        </w:tc>
      </w:tr>
    </w:tbl>
    <w:p w14:paraId="5194CA5F" w14:textId="77777777" w:rsidR="00DB4A89" w:rsidRPr="002F1505" w:rsidRDefault="00DB4A89" w:rsidP="00DB4A89">
      <w:pPr>
        <w:pStyle w:val="SubHead"/>
      </w:pPr>
      <w:bookmarkStart w:id="14" w:name="_Toc224467614"/>
      <w:bookmarkStart w:id="15" w:name="_Toc224630686"/>
      <w:bookmarkStart w:id="16" w:name="_Toc225251246"/>
      <w:bookmarkStart w:id="17" w:name="_Toc225682406"/>
      <w:r w:rsidRPr="002F1505">
        <w:t>Your responsibilities</w:t>
      </w:r>
    </w:p>
    <w:p w14:paraId="5194CA60" w14:textId="77777777" w:rsidR="00DB4A89" w:rsidRPr="002F1505" w:rsidRDefault="00DB4A89" w:rsidP="00DB4A89">
      <w:pPr>
        <w:pStyle w:val="Heading2"/>
      </w:pPr>
      <w:r w:rsidRPr="002F1505">
        <w:t>You must install the Service Software on each users computer.</w:t>
      </w:r>
      <w:r>
        <w:t xml:space="preserve"> This can be done by assigning a licence  in your Telstra Apps Marketplace account to each user that you want to install the service software to the users computer.</w:t>
      </w:r>
    </w:p>
    <w:p w14:paraId="5194CA61" w14:textId="77777777" w:rsidR="00DB4A89" w:rsidRPr="002F1505" w:rsidRDefault="00DB4A89" w:rsidP="00DB4A89">
      <w:pPr>
        <w:pStyle w:val="Heading2"/>
      </w:pPr>
      <w:r w:rsidRPr="002F1505">
        <w:t xml:space="preserve">You must manage the Service Software, computers, policies, alerts and reports and other configuration options through the </w:t>
      </w:r>
      <w:r>
        <w:t xml:space="preserve">McAfee Security Centre management </w:t>
      </w:r>
      <w:r w:rsidRPr="002F1505">
        <w:t>console (“management console”).</w:t>
      </w:r>
    </w:p>
    <w:p w14:paraId="5194CA62" w14:textId="77777777" w:rsidR="00DB4A89" w:rsidRPr="002F1505" w:rsidRDefault="00DB4A89" w:rsidP="00DB4A89">
      <w:pPr>
        <w:pStyle w:val="Heading2"/>
      </w:pPr>
      <w:r w:rsidRPr="002F1505">
        <w:lastRenderedPageBreak/>
        <w:t xml:space="preserve">You are responsible for any required firewall changes to allow the </w:t>
      </w:r>
      <w:r>
        <w:t xml:space="preserve">McAfee SaaS </w:t>
      </w:r>
      <w:r w:rsidRPr="002F1505">
        <w:t>Endpoint Protection application to communicate and operate correctly.</w:t>
      </w:r>
    </w:p>
    <w:p w14:paraId="5194CA63" w14:textId="77777777" w:rsidR="001F3DA3" w:rsidRPr="002F1505" w:rsidRDefault="001F3DA3" w:rsidP="001F3DA3">
      <w:pPr>
        <w:pStyle w:val="SubHead"/>
      </w:pPr>
      <w:r w:rsidRPr="002F1505">
        <w:t>Additional acceptable use restrictions</w:t>
      </w:r>
      <w:bookmarkEnd w:id="14"/>
      <w:bookmarkEnd w:id="15"/>
      <w:bookmarkEnd w:id="16"/>
      <w:bookmarkEnd w:id="17"/>
    </w:p>
    <w:p w14:paraId="5194CA64" w14:textId="77777777" w:rsidR="001F3DA3" w:rsidRPr="002F1505" w:rsidRDefault="001F3DA3" w:rsidP="001F3DA3">
      <w:pPr>
        <w:pStyle w:val="Heading2"/>
      </w:pPr>
      <w:r w:rsidRPr="002F1505">
        <w:t xml:space="preserve">Unless we agree otherwise with you: </w:t>
      </w:r>
    </w:p>
    <w:p w14:paraId="5194CA65" w14:textId="77777777" w:rsidR="001F3DA3" w:rsidRPr="002F1505" w:rsidRDefault="001F3DA3" w:rsidP="001F3DA3">
      <w:pPr>
        <w:pStyle w:val="Heading3"/>
      </w:pPr>
      <w:r w:rsidRPr="002F1505">
        <w:t>you can only install and use the Service Software for the McAfee SaaS Endpoint Protection applications on one computer; and</w:t>
      </w:r>
    </w:p>
    <w:p w14:paraId="5194CA66" w14:textId="77777777" w:rsidR="001F3DA3" w:rsidRPr="002F1505" w:rsidRDefault="001F3DA3" w:rsidP="001F3DA3">
      <w:pPr>
        <w:pStyle w:val="Heading3"/>
      </w:pPr>
      <w:r w:rsidRPr="002F1505">
        <w:t>you must</w:t>
      </w:r>
      <w:r w:rsidRPr="002F1505">
        <w:rPr>
          <w:rFonts w:cs="Arial"/>
        </w:rPr>
        <w:t xml:space="preserve"> not allow any third parties to use (or benefit from the use or functionality of) the Service Software</w:t>
      </w:r>
      <w:r w:rsidRPr="002F1505">
        <w:t>.</w:t>
      </w:r>
    </w:p>
    <w:p w14:paraId="5194CA67" w14:textId="77777777" w:rsidR="001F3DA3" w:rsidRPr="002F1505" w:rsidRDefault="001F3DA3" w:rsidP="001F3DA3">
      <w:pPr>
        <w:pStyle w:val="Heading2"/>
      </w:pPr>
      <w:r w:rsidRPr="002F1505">
        <w:t>There are also additional use restrictions and use terms for the SaaS Endpoint Protection application set out in:</w:t>
      </w:r>
    </w:p>
    <w:p w14:paraId="5194CA68" w14:textId="77777777" w:rsidR="001F3DA3" w:rsidRPr="002F1505" w:rsidRDefault="001F3DA3" w:rsidP="001F3DA3">
      <w:pPr>
        <w:pStyle w:val="Heading3"/>
      </w:pPr>
      <w:r w:rsidRPr="002F1505">
        <w:t>the "Read Me" files or "About" files provided with the Service Software for the McAfee SaaS Endpoint Protection application; and</w:t>
      </w:r>
    </w:p>
    <w:p w14:paraId="5194CA69" w14:textId="77777777" w:rsidR="001F3DA3" w:rsidRPr="002F1505" w:rsidRDefault="001F3DA3" w:rsidP="001F3DA3">
      <w:pPr>
        <w:pStyle w:val="Heading3"/>
      </w:pPr>
      <w:r w:rsidRPr="002F1505">
        <w:t xml:space="preserve">the </w:t>
      </w:r>
      <w:r w:rsidR="001A610B">
        <w:t>knowledge articles</w:t>
      </w:r>
      <w:r w:rsidRPr="002F1505">
        <w:t xml:space="preserve"> relating to the McAfee SaaS Endpoint Protection application available on the </w:t>
      </w:r>
      <w:r w:rsidR="00BD2167">
        <w:t>Telstra Apps Marketplace</w:t>
      </w:r>
      <w:r w:rsidR="001A610B">
        <w:t xml:space="preserve"> support</w:t>
      </w:r>
      <w:r w:rsidRPr="002F1505">
        <w:t>.</w:t>
      </w:r>
    </w:p>
    <w:p w14:paraId="5194CA6A" w14:textId="77777777" w:rsidR="001F3DA3" w:rsidRPr="002F1505" w:rsidRDefault="001F3DA3" w:rsidP="001F3DA3">
      <w:pPr>
        <w:pStyle w:val="Heading3"/>
      </w:pPr>
      <w:r w:rsidRPr="002F1505">
        <w:t xml:space="preserve">You must read these terms carefully and ensure that your users comply with these terms. </w:t>
      </w:r>
    </w:p>
    <w:p w14:paraId="5194CA6B" w14:textId="77777777" w:rsidR="001F3DA3" w:rsidRPr="002F1505" w:rsidRDefault="001F3DA3" w:rsidP="001F3DA3">
      <w:pPr>
        <w:pStyle w:val="Heading2"/>
      </w:pPr>
      <w:r w:rsidRPr="002F1505">
        <w:t>If your users fail to comply with any of the limitations, restrictions or use terms for the McAfee SaaS Endpoint Protection application, you must stop using the McAfee SaaS Endpoint Protection application immediately and destroy all copies of the Service Software and documentation for the McAfee SaaS Endpoint Protection application.</w:t>
      </w:r>
    </w:p>
    <w:p w14:paraId="5194CA6C" w14:textId="77777777" w:rsidR="001F3DA3" w:rsidRPr="002F1505" w:rsidRDefault="001F3DA3" w:rsidP="001F3DA3">
      <w:pPr>
        <w:pStyle w:val="SubHead"/>
      </w:pPr>
      <w:bookmarkStart w:id="18" w:name="_Toc224467616"/>
      <w:bookmarkStart w:id="19" w:name="_Toc224630687"/>
      <w:bookmarkStart w:id="20" w:name="_Toc225251247"/>
      <w:bookmarkStart w:id="21" w:name="_Toc225682407"/>
      <w:r w:rsidRPr="002F1505">
        <w:t>Limitations</w:t>
      </w:r>
    </w:p>
    <w:p w14:paraId="5194CA6D" w14:textId="77777777" w:rsidR="001F3DA3" w:rsidRPr="002F1505" w:rsidRDefault="001F3DA3" w:rsidP="001F3DA3">
      <w:pPr>
        <w:pStyle w:val="Heading2"/>
      </w:pPr>
      <w:r w:rsidRPr="002F1505">
        <w:t>We will use reasonable care and skill in providing the McAfee SaaS Endpoint Protection application. However, we do not guarantee that:</w:t>
      </w:r>
    </w:p>
    <w:p w14:paraId="5194CA6E" w14:textId="77777777" w:rsidR="001F3DA3" w:rsidRPr="002F1505" w:rsidRDefault="001F3DA3" w:rsidP="001F3DA3">
      <w:pPr>
        <w:pStyle w:val="Heading3"/>
      </w:pPr>
      <w:r w:rsidRPr="002F1505">
        <w:t xml:space="preserve">all potential viruses and spyware will be detected or removed; </w:t>
      </w:r>
    </w:p>
    <w:p w14:paraId="5194CA6F" w14:textId="77777777" w:rsidR="001F3DA3" w:rsidRPr="002F1505" w:rsidRDefault="001F3DA3" w:rsidP="001F3DA3">
      <w:pPr>
        <w:pStyle w:val="Heading3"/>
      </w:pPr>
      <w:r w:rsidRPr="002F1505">
        <w:t xml:space="preserve">all unauthorised access to your network will be prevented; </w:t>
      </w:r>
    </w:p>
    <w:p w14:paraId="5194CA70" w14:textId="77777777" w:rsidR="001F3DA3" w:rsidRPr="002F1505" w:rsidRDefault="001F3DA3" w:rsidP="001F3DA3">
      <w:pPr>
        <w:pStyle w:val="Heading3"/>
      </w:pPr>
      <w:r w:rsidRPr="002F1505">
        <w:t>our web security application will pick up all dangerous websites; and</w:t>
      </w:r>
    </w:p>
    <w:p w14:paraId="5194CA71" w14:textId="77777777" w:rsidR="001F3DA3" w:rsidRPr="002F1505" w:rsidRDefault="001F3DA3" w:rsidP="001F3DA3">
      <w:pPr>
        <w:pStyle w:val="Heading3"/>
      </w:pPr>
      <w:r w:rsidRPr="002F1505">
        <w:t xml:space="preserve">only files infected with viruses, spyware, trojans and worms and other malware will be removed. </w:t>
      </w:r>
    </w:p>
    <w:p w14:paraId="5194CA72" w14:textId="77777777" w:rsidR="001F3DA3" w:rsidRPr="002F1505" w:rsidRDefault="001F3DA3" w:rsidP="001F3DA3">
      <w:pPr>
        <w:pStyle w:val="Heading2"/>
      </w:pPr>
      <w:r w:rsidRPr="002F1505">
        <w:t xml:space="preserve">The McAfee SaaS Endpoint Protection applications (including the Service Software) are not fault-tolerant and are not designed or intended for use in hazardous environments requiring fail-safe performance, including without limitation, in the operation of nuclear facilities, aircraft navigation or communication systems, air traffic control, weapons systems, direct life-support machines, or any other application in which the failure of the Service Software could lead directly to death, personal injury, or severe </w:t>
      </w:r>
      <w:r w:rsidRPr="002F1505">
        <w:lastRenderedPageBreak/>
        <w:t>physical or property damage (collectively, "</w:t>
      </w:r>
      <w:r w:rsidRPr="002F1505">
        <w:rPr>
          <w:b/>
        </w:rPr>
        <w:t>High Risk Activities</w:t>
      </w:r>
      <w:r w:rsidRPr="002F1505">
        <w:t>"). We disclaim any express or implied warranty of fitness for High Risk Activities.</w:t>
      </w:r>
    </w:p>
    <w:p w14:paraId="5194CA73" w14:textId="77777777" w:rsidR="001F3DA3" w:rsidRPr="002F1505" w:rsidRDefault="001F3DA3" w:rsidP="001F3DA3">
      <w:pPr>
        <w:pStyle w:val="Heading2"/>
      </w:pPr>
      <w:r w:rsidRPr="002F1505">
        <w:t>You are responsible for selecting the McAfee SaaS Endpoint Protection applications and for the results you obtain from using them.</w:t>
      </w:r>
    </w:p>
    <w:p w14:paraId="5194CA74" w14:textId="77777777" w:rsidR="001F3DA3" w:rsidRPr="002F1505" w:rsidRDefault="001F3DA3" w:rsidP="001F3DA3">
      <w:pPr>
        <w:pStyle w:val="SubHead"/>
      </w:pPr>
      <w:r w:rsidRPr="002F1505">
        <w:t>Liability</w:t>
      </w:r>
    </w:p>
    <w:p w14:paraId="5194CA75" w14:textId="77777777" w:rsidR="001F3DA3" w:rsidRPr="002F1505" w:rsidRDefault="001F3DA3" w:rsidP="001F3DA3">
      <w:pPr>
        <w:pStyle w:val="Heading2"/>
      </w:pPr>
      <w:r w:rsidRPr="002F1505">
        <w:t>To the extent permitted by law, we will not be liable to you or to any other person for any loss of profits, loss of goodwill, work stoppage, computer failure or malfunction or any indirect, special, incidental, or consequential damages you (or they) suffer arising from or in relation to the McAfee SaaS Endpoint Protection applications (including the Service Software).</w:t>
      </w:r>
    </w:p>
    <w:p w14:paraId="5194CA76" w14:textId="77777777" w:rsidR="001F3DA3" w:rsidRPr="002F1505" w:rsidRDefault="001F3DA3" w:rsidP="001F3DA3">
      <w:pPr>
        <w:pStyle w:val="SubHead"/>
      </w:pPr>
      <w:r w:rsidRPr="002F1505">
        <w:t>Service Software</w:t>
      </w:r>
      <w:bookmarkEnd w:id="18"/>
      <w:bookmarkEnd w:id="19"/>
      <w:bookmarkEnd w:id="20"/>
      <w:bookmarkEnd w:id="21"/>
    </w:p>
    <w:p w14:paraId="5194CA77" w14:textId="77777777" w:rsidR="001F3DA3" w:rsidRPr="002F1505" w:rsidRDefault="001F3DA3" w:rsidP="001F3DA3">
      <w:pPr>
        <w:pStyle w:val="Heading2"/>
      </w:pPr>
      <w:r w:rsidRPr="002F1505">
        <w:t>To the extent that the Service Software for the McAfee SaaS Endpoint Protection application includes open source software which must be licensed to users on terms which are broader than the licence under this Section of Our Customer Terms, then the relevant open source software is licensed to you on those terms.</w:t>
      </w:r>
    </w:p>
    <w:p w14:paraId="5194CA78" w14:textId="77777777" w:rsidR="001F3DA3" w:rsidRPr="002F1505" w:rsidRDefault="001F3DA3" w:rsidP="001F3DA3">
      <w:pPr>
        <w:pStyle w:val="Heading2"/>
      </w:pPr>
      <w:r w:rsidRPr="002F1505">
        <w:t>There are additional restrictions which apply if the Service Software for the McAfee SaaS Endpoint Protection application includes software which has been identified as "Evaluation" Software or "Beta" Software ("</w:t>
      </w:r>
      <w:r w:rsidRPr="002F1505">
        <w:rPr>
          <w:b/>
        </w:rPr>
        <w:t>Evaluation Software</w:t>
      </w:r>
      <w:r w:rsidRPr="002F1505">
        <w:t>").</w:t>
      </w:r>
    </w:p>
    <w:p w14:paraId="5194CA79" w14:textId="77777777" w:rsidR="001F3DA3" w:rsidRPr="002F1505" w:rsidRDefault="001F3DA3" w:rsidP="001F3DA3">
      <w:pPr>
        <w:pStyle w:val="Heading2"/>
      </w:pPr>
      <w:r w:rsidRPr="002F1505">
        <w:t>You acknowledge that Evaluation Software may contain bugs, errors and other problems that could cause system or other failures and data loss.</w:t>
      </w:r>
    </w:p>
    <w:p w14:paraId="5194CA7A" w14:textId="77777777" w:rsidR="001F3DA3" w:rsidRPr="002F1505" w:rsidRDefault="001F3DA3" w:rsidP="001F3DA3">
      <w:pPr>
        <w:pStyle w:val="Heading2"/>
      </w:pPr>
      <w:r w:rsidRPr="002F1505">
        <w:t>To the extent permitted by law, we will not be liable to you at all in connection with Evaluation Software.  If we cannot exclude our liability entirely, we limit it to the sum of $50.</w:t>
      </w:r>
    </w:p>
    <w:p w14:paraId="5194CA7B" w14:textId="77777777" w:rsidR="001F3DA3" w:rsidRPr="002F1505" w:rsidRDefault="001F3DA3" w:rsidP="001F3DA3">
      <w:pPr>
        <w:pStyle w:val="Heading2"/>
      </w:pPr>
      <w:r w:rsidRPr="002F1505">
        <w:t>If we ask, you will provide us (or our suppliers) feedback regarding any Evaluation Software that you use (including error or bug reports).</w:t>
      </w:r>
    </w:p>
    <w:p w14:paraId="5194CA7C" w14:textId="77777777" w:rsidR="001F3DA3" w:rsidRPr="002F1505" w:rsidRDefault="001F3DA3" w:rsidP="001F3DA3">
      <w:pPr>
        <w:pStyle w:val="Heading2"/>
      </w:pPr>
      <w:r w:rsidRPr="002F1505">
        <w:t>There may be additional terms associated with your Evaluation Software that we provide you at the time of purchase.  Your use of the Evaluation Software is subject to those terms.</w:t>
      </w:r>
    </w:p>
    <w:p w14:paraId="5194CA7D" w14:textId="77777777" w:rsidR="001F3DA3" w:rsidRPr="002F1505" w:rsidRDefault="001F3DA3" w:rsidP="001F3DA3">
      <w:pPr>
        <w:pStyle w:val="Heading2"/>
      </w:pPr>
      <w:r w:rsidRPr="002F1505">
        <w:t>If you licence a commercial release of Evaluation Software from us, you must return or destroy the Evaluation Software.</w:t>
      </w:r>
    </w:p>
    <w:p w14:paraId="5194CA7E" w14:textId="77777777" w:rsidR="001F3DA3" w:rsidRPr="002F1505" w:rsidRDefault="001F3DA3" w:rsidP="001F3DA3">
      <w:pPr>
        <w:pStyle w:val="Heading2"/>
      </w:pPr>
      <w:r w:rsidRPr="002F1505">
        <w:t>Unless we agree otherwise with you, you can only use Evaluation Software for a maximum of 30 days.</w:t>
      </w:r>
    </w:p>
    <w:p w14:paraId="5194CA7F" w14:textId="77777777" w:rsidR="001F3DA3" w:rsidRPr="002F1505" w:rsidRDefault="001F3DA3" w:rsidP="001F3DA3">
      <w:pPr>
        <w:pStyle w:val="SubHead"/>
      </w:pPr>
      <w:bookmarkStart w:id="22" w:name="_Toc224467620"/>
      <w:bookmarkStart w:id="23" w:name="_Toc224630691"/>
      <w:bookmarkStart w:id="24" w:name="_Toc225251251"/>
      <w:bookmarkStart w:id="25" w:name="_Toc225682411"/>
      <w:r w:rsidRPr="002F1505">
        <w:t>Export Controls</w:t>
      </w:r>
      <w:bookmarkEnd w:id="22"/>
      <w:bookmarkEnd w:id="23"/>
      <w:bookmarkEnd w:id="24"/>
      <w:bookmarkEnd w:id="25"/>
    </w:p>
    <w:p w14:paraId="5194CA80" w14:textId="77777777" w:rsidR="001F3DA3" w:rsidRPr="002F1505" w:rsidRDefault="001F3DA3" w:rsidP="001F3DA3">
      <w:pPr>
        <w:pStyle w:val="Heading2"/>
      </w:pPr>
      <w:r w:rsidRPr="002F1505">
        <w:t xml:space="preserve">The Service Software for the McAfee SaaS Endpoint Protection applications is of United States origin for the purpose of United States export controls.  You must comply with all applicable national and international laws that apply to the Service Software including the United States Export </w:t>
      </w:r>
      <w:r w:rsidRPr="002F1505">
        <w:lastRenderedPageBreak/>
        <w:t>Administration Regulations.  You must not to directly or indirectly export, import or transmit the Service Software contrary to the laws or regulations of any governmental entity that has jurisdiction over such export, import, transmission or use.</w:t>
      </w:r>
    </w:p>
    <w:p w14:paraId="5194CA81" w14:textId="77777777" w:rsidR="001F3DA3" w:rsidRPr="002F1505" w:rsidRDefault="001F3DA3" w:rsidP="001F3DA3">
      <w:pPr>
        <w:pStyle w:val="SubHead"/>
      </w:pPr>
      <w:bookmarkStart w:id="26" w:name="_Toc224467621"/>
      <w:bookmarkStart w:id="27" w:name="_Toc224630692"/>
      <w:bookmarkStart w:id="28" w:name="_Toc225251252"/>
      <w:bookmarkStart w:id="29" w:name="_Toc225682412"/>
      <w:r w:rsidRPr="002F1505">
        <w:t>Audit</w:t>
      </w:r>
      <w:bookmarkEnd w:id="26"/>
      <w:bookmarkEnd w:id="27"/>
      <w:bookmarkEnd w:id="28"/>
      <w:bookmarkEnd w:id="29"/>
    </w:p>
    <w:p w14:paraId="5194CA82" w14:textId="77777777" w:rsidR="001F3DA3" w:rsidRDefault="001F3DA3" w:rsidP="001F3DA3">
      <w:pPr>
        <w:pStyle w:val="Heading2"/>
      </w:pPr>
      <w:r w:rsidRPr="002F1505">
        <w:t xml:space="preserve">We (or a third party acting on our behalf) may periodically audit you on reasonable notice to ensure that you are complying with your obligations regarding the McAfee SaaS Endpoint Protection application (including the Service Software). </w:t>
      </w:r>
      <w:bookmarkStart w:id="30" w:name="_Toc344471368"/>
      <w:bookmarkStart w:id="31" w:name="_Toc344471369"/>
      <w:bookmarkStart w:id="32" w:name="_Toc344471370"/>
      <w:bookmarkStart w:id="33" w:name="_Toc344471371"/>
      <w:bookmarkStart w:id="34" w:name="_Toc344471372"/>
      <w:bookmarkStart w:id="35" w:name="_Toc344471373"/>
      <w:bookmarkStart w:id="36" w:name="_Toc344471374"/>
      <w:bookmarkStart w:id="37" w:name="_DV_M213"/>
      <w:bookmarkStart w:id="38" w:name="_DV_M54"/>
      <w:bookmarkStart w:id="39" w:name="_DV_M56"/>
      <w:bookmarkStart w:id="40" w:name="_DV_M58"/>
      <w:bookmarkStart w:id="41" w:name="_DV_M59"/>
      <w:bookmarkStart w:id="42" w:name="_DV_M60"/>
      <w:bookmarkStart w:id="43" w:name="_DV_M61"/>
      <w:bookmarkStart w:id="44" w:name="_DV_M62"/>
      <w:bookmarkStart w:id="45" w:name="_DV_M63"/>
      <w:bookmarkStart w:id="46" w:name="_DV_M64"/>
      <w:bookmarkStart w:id="47" w:name="_DV_M65"/>
      <w:bookmarkStart w:id="48" w:name="_DV_M66"/>
      <w:bookmarkStart w:id="49" w:name="_DV_M67"/>
      <w:bookmarkStart w:id="50" w:name="_DV_M68"/>
      <w:bookmarkStart w:id="51" w:name="_DV_M69"/>
      <w:bookmarkStart w:id="52" w:name="_DV_M70"/>
      <w:bookmarkStart w:id="53" w:name="_DV_M71"/>
      <w:bookmarkStart w:id="54" w:name="_DV_M72"/>
      <w:bookmarkStart w:id="55" w:name="_DV_M73"/>
      <w:bookmarkStart w:id="56" w:name="_DV_M74"/>
      <w:bookmarkStart w:id="57" w:name="_DV_M75"/>
      <w:bookmarkStart w:id="58" w:name="_DV_M76"/>
      <w:bookmarkStart w:id="59" w:name="_DV_M77"/>
      <w:bookmarkStart w:id="60" w:name="_DV_M78"/>
      <w:bookmarkStart w:id="61" w:name="_DV_M79"/>
      <w:bookmarkStart w:id="62" w:name="_DV_M80"/>
      <w:bookmarkStart w:id="63" w:name="_DV_M81"/>
      <w:bookmarkStart w:id="64" w:name="_DV_M82"/>
      <w:bookmarkStart w:id="65" w:name="_DV_M83"/>
      <w:bookmarkStart w:id="66" w:name="_DV_M84"/>
      <w:bookmarkStart w:id="67" w:name="_DV_M85"/>
      <w:bookmarkStart w:id="68" w:name="_DV_M86"/>
      <w:bookmarkStart w:id="69" w:name="_DV_M87"/>
      <w:bookmarkStart w:id="70" w:name="_DV_M88"/>
      <w:bookmarkStart w:id="71" w:name="_DV_M89"/>
      <w:bookmarkStart w:id="72" w:name="_DV_M90"/>
      <w:bookmarkStart w:id="73" w:name="_DV_M91"/>
      <w:bookmarkStart w:id="74" w:name="_DV_M92"/>
      <w:bookmarkStart w:id="75" w:name="_DV_M93"/>
      <w:bookmarkStart w:id="76" w:name="_DV_M94"/>
      <w:bookmarkStart w:id="77" w:name="_DV_M95"/>
      <w:bookmarkStart w:id="78" w:name="_DV_M96"/>
      <w:bookmarkStart w:id="79" w:name="_DV_M97"/>
      <w:bookmarkStart w:id="80" w:name="_DV_M98"/>
      <w:bookmarkStart w:id="81" w:name="_DV_M99"/>
      <w:bookmarkStart w:id="82" w:name="_DV_M100"/>
      <w:bookmarkStart w:id="83" w:name="_DV_M101"/>
      <w:bookmarkStart w:id="84" w:name="_DV_M102"/>
      <w:bookmarkStart w:id="85" w:name="_DV_M103"/>
      <w:bookmarkStart w:id="86" w:name="_DV_M104"/>
      <w:bookmarkStart w:id="87" w:name="_DV_M105"/>
      <w:bookmarkStart w:id="88" w:name="_DV_M106"/>
      <w:bookmarkStart w:id="89" w:name="_DV_M107"/>
      <w:bookmarkStart w:id="90" w:name="_DV_M108"/>
      <w:bookmarkStart w:id="91" w:name="_DV_M109"/>
      <w:bookmarkStart w:id="92" w:name="_DV_M110"/>
      <w:bookmarkStart w:id="93" w:name="_DV_M111"/>
      <w:bookmarkStart w:id="94" w:name="_DV_M112"/>
      <w:bookmarkStart w:id="95" w:name="_DV_M113"/>
      <w:bookmarkStart w:id="96" w:name="_DV_M114"/>
      <w:bookmarkStart w:id="97" w:name="_DV_M115"/>
      <w:bookmarkStart w:id="98" w:name="_DV_M116"/>
      <w:bookmarkStart w:id="99" w:name="_DV_M117"/>
      <w:bookmarkStart w:id="100" w:name="_DV_M118"/>
      <w:bookmarkStart w:id="101" w:name="_DV_M119"/>
      <w:bookmarkStart w:id="102" w:name="_DV_M120"/>
      <w:bookmarkStart w:id="103" w:name="_DV_M121"/>
      <w:bookmarkStart w:id="104" w:name="_DV_M122"/>
      <w:bookmarkStart w:id="105" w:name="_DV_M123"/>
      <w:bookmarkStart w:id="106" w:name="_DV_M124"/>
      <w:bookmarkStart w:id="107" w:name="_DV_M125"/>
      <w:bookmarkStart w:id="108" w:name="_DV_M126"/>
      <w:bookmarkStart w:id="109" w:name="_DV_M127"/>
      <w:bookmarkStart w:id="110" w:name="_DV_M128"/>
      <w:bookmarkStart w:id="111" w:name="_DV_M129"/>
      <w:bookmarkStart w:id="112" w:name="_DV_M130"/>
      <w:bookmarkStart w:id="113" w:name="_DV_M131"/>
      <w:bookmarkStart w:id="114" w:name="_DV_M132"/>
      <w:bookmarkStart w:id="115" w:name="_DV_M133"/>
      <w:bookmarkStart w:id="116" w:name="_DV_M134"/>
      <w:bookmarkStart w:id="117" w:name="_DV_M135"/>
      <w:bookmarkStart w:id="118" w:name="_DV_M136"/>
      <w:bookmarkStart w:id="119" w:name="_DV_M137"/>
      <w:bookmarkStart w:id="120" w:name="_DV_M138"/>
      <w:bookmarkStart w:id="121" w:name="_DV_M139"/>
      <w:bookmarkStart w:id="122" w:name="_DV_M140"/>
      <w:bookmarkStart w:id="123" w:name="_DV_M141"/>
      <w:bookmarkStart w:id="124" w:name="_DV_M142"/>
      <w:bookmarkStart w:id="125" w:name="_DV_M143"/>
      <w:bookmarkStart w:id="126" w:name="_DV_M144"/>
      <w:bookmarkStart w:id="127" w:name="_DV_M145"/>
      <w:bookmarkStart w:id="128" w:name="_DV_M146"/>
      <w:bookmarkStart w:id="129" w:name="_DV_M147"/>
      <w:bookmarkStart w:id="130" w:name="_DV_M148"/>
      <w:bookmarkStart w:id="131" w:name="_DV_M150"/>
      <w:bookmarkStart w:id="132" w:name="_DV_M151"/>
      <w:bookmarkStart w:id="133" w:name="_DV_M154"/>
      <w:bookmarkStart w:id="134" w:name="_DV_M155"/>
      <w:bookmarkStart w:id="135" w:name="_DV_M158"/>
      <w:bookmarkStart w:id="136" w:name="_DV_M159"/>
      <w:bookmarkStart w:id="137" w:name="_DV_M160"/>
      <w:bookmarkStart w:id="138" w:name="_DV_M161"/>
      <w:bookmarkStart w:id="139" w:name="_DV_M162"/>
      <w:bookmarkStart w:id="140" w:name="_DV_M163"/>
      <w:bookmarkStart w:id="141" w:name="_DV_M164"/>
      <w:bookmarkStart w:id="142" w:name="_DV_M165"/>
      <w:bookmarkStart w:id="143" w:name="_DV_M166"/>
      <w:bookmarkStart w:id="144" w:name="_DV_M167"/>
      <w:bookmarkStart w:id="145" w:name="_DV_M168"/>
      <w:bookmarkStart w:id="146" w:name="_DV_M169"/>
      <w:bookmarkStart w:id="147" w:name="_DV_M170"/>
      <w:bookmarkStart w:id="148" w:name="_DV_M171"/>
      <w:bookmarkStart w:id="149" w:name="_DV_M172"/>
      <w:bookmarkStart w:id="150" w:name="_DV_M173"/>
      <w:bookmarkStart w:id="151" w:name="_DV_M174"/>
      <w:bookmarkStart w:id="152" w:name="_DV_M175"/>
      <w:bookmarkStart w:id="153" w:name="_DV_M176"/>
      <w:bookmarkStart w:id="154" w:name="_DV_M32"/>
      <w:bookmarkStart w:id="155" w:name="_DV_M33"/>
      <w:bookmarkStart w:id="156" w:name="_DV_M34"/>
      <w:bookmarkStart w:id="157" w:name="_DV_M35"/>
      <w:bookmarkStart w:id="158" w:name="_DV_M36"/>
      <w:bookmarkStart w:id="159" w:name="_DV_M37"/>
      <w:bookmarkStart w:id="160" w:name="_DV_M38"/>
      <w:bookmarkStart w:id="161" w:name="_DV_M208"/>
      <w:bookmarkStart w:id="162" w:name="_DV_M210"/>
      <w:bookmarkStart w:id="163" w:name="_DV_M211"/>
      <w:bookmarkStart w:id="164" w:name="_DV_M212"/>
      <w:bookmarkStart w:id="165" w:name="_DV_M21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194CA83" w14:textId="77777777" w:rsidR="001F3DA3" w:rsidRPr="001F3DA3" w:rsidRDefault="001F3DA3" w:rsidP="001F3DA3">
      <w:pPr>
        <w:pStyle w:val="Heading1"/>
      </w:pPr>
      <w:bookmarkStart w:id="166" w:name="_Toc401235136"/>
      <w:bookmarkStart w:id="167" w:name="_Toc481490297"/>
      <w:bookmarkStart w:id="168" w:name="_Toc401235135"/>
      <w:r w:rsidRPr="001F3DA3">
        <w:t>Charges</w:t>
      </w:r>
      <w:bookmarkEnd w:id="166"/>
      <w:bookmarkEnd w:id="167"/>
    </w:p>
    <w:p w14:paraId="5194CA84" w14:textId="77777777" w:rsidR="001F3DA3" w:rsidRPr="002F1505" w:rsidRDefault="001F3DA3" w:rsidP="001F3DA3">
      <w:pPr>
        <w:pStyle w:val="Heading2"/>
      </w:pPr>
      <w:r w:rsidRPr="002F1505">
        <w:t xml:space="preserve">The charges for your McAfee SaaS Endpoint Protection applications will depend on the packages that you select. </w:t>
      </w:r>
    </w:p>
    <w:p w14:paraId="5194CA85" w14:textId="77777777" w:rsidR="001F3DA3" w:rsidRPr="002F1505" w:rsidRDefault="001F3DA3" w:rsidP="001F3DA3">
      <w:pPr>
        <w:pStyle w:val="Heading2"/>
      </w:pPr>
      <w:r w:rsidRPr="002F1505">
        <w:t xml:space="preserve">We will charge you a monthly charge for each package that you have (as set out in the </w:t>
      </w:r>
      <w:r w:rsidR="00BD2167">
        <w:t>Telstra Apps Marketplace</w:t>
      </w:r>
      <w:r w:rsidRPr="002F1505">
        <w:t xml:space="preserve">). </w:t>
      </w:r>
    </w:p>
    <w:p w14:paraId="5194CA86" w14:textId="77777777" w:rsidR="001F3DA3" w:rsidRPr="001F3DA3" w:rsidRDefault="001F3DA3" w:rsidP="001F3DA3">
      <w:pPr>
        <w:pStyle w:val="Heading1"/>
      </w:pPr>
      <w:bookmarkStart w:id="169" w:name="_Toc481490298"/>
      <w:r w:rsidRPr="001F3DA3">
        <w:t>Term and early termination charge</w:t>
      </w:r>
      <w:bookmarkEnd w:id="168"/>
      <w:bookmarkEnd w:id="169"/>
    </w:p>
    <w:p w14:paraId="5194CA87" w14:textId="77777777" w:rsidR="001F3DA3" w:rsidRPr="002F1505" w:rsidRDefault="001F3DA3" w:rsidP="001F3DA3">
      <w:pPr>
        <w:pStyle w:val="Heading2"/>
      </w:pPr>
      <w:r w:rsidRPr="002F1505">
        <w:t>You must take up the McAfee SaaS Endpoint Protection applications for an Initial Term of</w:t>
      </w:r>
      <w:r>
        <w:t xml:space="preserve"> at least </w:t>
      </w:r>
      <w:r w:rsidRPr="002F1505">
        <w:t>twelve (12) months (</w:t>
      </w:r>
      <w:r w:rsidRPr="002F1505">
        <w:rPr>
          <w:b/>
        </w:rPr>
        <w:t>“Initial Term”</w:t>
      </w:r>
      <w:r w:rsidRPr="002F1505">
        <w:t xml:space="preserve">).  </w:t>
      </w:r>
    </w:p>
    <w:p w14:paraId="5194CA88" w14:textId="0E13704A" w:rsidR="001F3DA3" w:rsidRPr="002F1505" w:rsidRDefault="001F3DA3" w:rsidP="001F3DA3">
      <w:pPr>
        <w:pStyle w:val="Heading2"/>
        <w:rPr>
          <w:rFonts w:ascii="Arial" w:hAnsi="Arial" w:cs="Arial"/>
        </w:rPr>
      </w:pPr>
      <w:r w:rsidRPr="002F1505">
        <w:t xml:space="preserve">If your McAfee SaaS Endpoint Protection application </w:t>
      </w:r>
      <w:r w:rsidR="002A348A">
        <w:t xml:space="preserve">is terminated for any reason </w:t>
      </w:r>
      <w:r w:rsidRPr="002F1505">
        <w:t>(other than for our material breach) during the Initial Term, we may charge you an early termination charge calculated as 65% of the monthly charges for the subscription multiplied by the number of remaining months in the Initial Term at the date of termination, plus any set up charges</w:t>
      </w:r>
      <w:r w:rsidR="00DB4A89">
        <w:t xml:space="preserve"> (if there is any)</w:t>
      </w:r>
      <w:r w:rsidRPr="002F1505">
        <w:t xml:space="preserve">. </w:t>
      </w:r>
    </w:p>
    <w:p w14:paraId="5194CA89" w14:textId="77777777" w:rsidR="001F3DA3" w:rsidRPr="001F3DA3" w:rsidRDefault="001F3DA3" w:rsidP="001F3DA3"/>
    <w:sectPr w:rsidR="001F3DA3" w:rsidRPr="001F3DA3" w:rsidSect="00B16230">
      <w:headerReference w:type="even" r:id="rId23"/>
      <w:footerReference w:type="even" r:id="rId24"/>
      <w:footerReference w:type="first" r:id="rId25"/>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F550F" w14:textId="77777777" w:rsidR="00BE63D9" w:rsidRDefault="00BE63D9">
      <w:r>
        <w:separator/>
      </w:r>
    </w:p>
  </w:endnote>
  <w:endnote w:type="continuationSeparator" w:id="0">
    <w:p w14:paraId="19052C89" w14:textId="77777777" w:rsidR="00BE63D9" w:rsidRDefault="00B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92" w14:textId="77777777" w:rsidR="00A157C1" w:rsidRPr="008F5FA4" w:rsidRDefault="00DE7014">
    <w:pPr>
      <w:pStyle w:val="Footer"/>
      <w:framePr w:wrap="around" w:vAnchor="text" w:hAnchor="margin" w:xAlign="right" w:y="1"/>
      <w:rPr>
        <w:rStyle w:val="PageNumber"/>
      </w:rPr>
    </w:pPr>
    <w:r w:rsidRPr="008F5FA4">
      <w:rPr>
        <w:rStyle w:val="PageNumber"/>
      </w:rPr>
      <w:fldChar w:fldCharType="begin"/>
    </w:r>
    <w:r w:rsidR="00A157C1" w:rsidRPr="008F5FA4">
      <w:rPr>
        <w:rStyle w:val="PageNumber"/>
      </w:rPr>
      <w:instrText xml:space="preserve">PAGE  </w:instrText>
    </w:r>
    <w:r w:rsidRPr="008F5FA4">
      <w:rPr>
        <w:rStyle w:val="PageNumber"/>
      </w:rPr>
      <w:fldChar w:fldCharType="separate"/>
    </w:r>
    <w:r w:rsidR="00A157C1" w:rsidRPr="008F5FA4">
      <w:rPr>
        <w:rStyle w:val="PageNumber"/>
        <w:noProof/>
      </w:rPr>
      <w:t>3</w:t>
    </w:r>
    <w:r w:rsidRPr="008F5FA4">
      <w:rPr>
        <w:rStyle w:val="PageNumber"/>
      </w:rPr>
      <w:fldChar w:fldCharType="end"/>
    </w:r>
  </w:p>
  <w:p w14:paraId="5194CA93" w14:textId="77777777" w:rsidR="00A157C1" w:rsidRPr="008F5FA4" w:rsidRDefault="00A157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3"/>
      <w:gridCol w:w="1414"/>
    </w:tblGrid>
    <w:tr w:rsidR="00A157C1" w14:paraId="5194CA96" w14:textId="77777777" w:rsidTr="00FC7B3B">
      <w:tc>
        <w:tcPr>
          <w:tcW w:w="4185" w:type="pct"/>
          <w:tcBorders>
            <w:top w:val="nil"/>
            <w:left w:val="nil"/>
            <w:bottom w:val="nil"/>
            <w:right w:val="nil"/>
          </w:tcBorders>
        </w:tcPr>
        <w:p w14:paraId="5194CA94" w14:textId="3C16D750" w:rsidR="00A157C1" w:rsidRPr="007D1797" w:rsidRDefault="00A157C1" w:rsidP="00FE77FE">
          <w:pPr>
            <w:pStyle w:val="DocName"/>
            <w:widowControl/>
            <w:rPr>
              <w:snapToGrid w:val="0"/>
              <w:szCs w:val="16"/>
            </w:rPr>
          </w:pPr>
          <w:r w:rsidRPr="007D1797">
            <w:rPr>
              <w:szCs w:val="16"/>
            </w:rPr>
            <w:t>TELSTRA CORPORATION LIMITED (ABN 33 051 775 556) | Cloud Services –</w:t>
          </w:r>
          <w:r w:rsidR="007D1797">
            <w:rPr>
              <w:szCs w:val="16"/>
            </w:rPr>
            <w:t xml:space="preserve"> </w:t>
          </w:r>
          <w:r w:rsidR="001F3DA3">
            <w:rPr>
              <w:szCs w:val="16"/>
            </w:rPr>
            <w:t>McAfee SaaS Endpoint Protection</w:t>
          </w:r>
          <w:r w:rsidRPr="007D1797">
            <w:rPr>
              <w:szCs w:val="16"/>
            </w:rPr>
            <w:t xml:space="preserve"> was last changed on </w:t>
          </w:r>
          <w:r w:rsidR="00FE77FE">
            <w:rPr>
              <w:szCs w:val="16"/>
            </w:rPr>
            <w:t xml:space="preserve">9 May 2017 </w:t>
          </w:r>
          <w:r w:rsidRPr="007D1797">
            <w:rPr>
              <w:szCs w:val="16"/>
            </w:rPr>
            <w:t>| TELSTRA UNRESTRICTED</w:t>
          </w:r>
        </w:p>
      </w:tc>
      <w:tc>
        <w:tcPr>
          <w:tcW w:w="815" w:type="pct"/>
          <w:tcBorders>
            <w:top w:val="nil"/>
            <w:left w:val="nil"/>
            <w:bottom w:val="nil"/>
            <w:right w:val="nil"/>
          </w:tcBorders>
        </w:tcPr>
        <w:p w14:paraId="5194CA95" w14:textId="77777777" w:rsidR="00A157C1" w:rsidRPr="007D1797" w:rsidRDefault="00A157C1" w:rsidP="00FC7B3B">
          <w:pPr>
            <w:rPr>
              <w:rStyle w:val="PageNumber"/>
              <w:rFonts w:ascii="Verdana" w:hAnsi="Verdana"/>
              <w:sz w:val="16"/>
              <w:szCs w:val="16"/>
            </w:rPr>
          </w:pPr>
          <w:r w:rsidRPr="007D1797">
            <w:rPr>
              <w:rStyle w:val="PageNumber"/>
              <w:rFonts w:ascii="Verdana" w:hAnsi="Verdana"/>
              <w:sz w:val="16"/>
              <w:szCs w:val="16"/>
            </w:rPr>
            <w:t xml:space="preserve">Page </w:t>
          </w:r>
          <w:r w:rsidR="00DE7014"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00DE7014" w:rsidRPr="007D1797">
            <w:rPr>
              <w:rStyle w:val="PageNumber"/>
              <w:rFonts w:ascii="Verdana" w:hAnsi="Verdana"/>
              <w:sz w:val="16"/>
              <w:szCs w:val="16"/>
            </w:rPr>
            <w:fldChar w:fldCharType="separate"/>
          </w:r>
          <w:r w:rsidR="004E50E2">
            <w:rPr>
              <w:rStyle w:val="PageNumber"/>
              <w:rFonts w:ascii="Verdana" w:hAnsi="Verdana"/>
              <w:noProof/>
              <w:sz w:val="16"/>
              <w:szCs w:val="16"/>
            </w:rPr>
            <w:t>7</w:t>
          </w:r>
          <w:r w:rsidR="00DE7014"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fldSimple w:instr=" NUMPAGES  \* Arabic \*MERGEFORMAT ">
            <w:r w:rsidR="004E50E2">
              <w:rPr>
                <w:noProof/>
              </w:rPr>
              <w:t>7</w:t>
            </w:r>
          </w:fldSimple>
        </w:p>
      </w:tc>
    </w:tr>
  </w:tbl>
  <w:p w14:paraId="5194CA97" w14:textId="77777777" w:rsidR="00A157C1" w:rsidRPr="008F67DB" w:rsidRDefault="00A157C1" w:rsidP="00DA581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9B" w14:textId="77777777" w:rsidR="00A157C1" w:rsidRDefault="00ED0418" w:rsidP="00477D66">
    <w:pPr>
      <w:pStyle w:val="Footer"/>
      <w:ind w:right="360"/>
      <w:rPr>
        <w:sz w:val="21"/>
      </w:rPr>
    </w:pPr>
    <w:r>
      <w:rPr>
        <w:noProof/>
        <w:sz w:val="21"/>
        <w:lang w:eastAsia="en-AU"/>
      </w:rPr>
      <w:drawing>
        <wp:anchor distT="360045" distB="0" distL="114300" distR="114300" simplePos="0" relativeHeight="251656192" behindDoc="0" locked="0" layoutInCell="1" allowOverlap="1" wp14:anchorId="5194CAAF" wp14:editId="5194CAB0">
          <wp:simplePos x="0" y="0"/>
          <wp:positionH relativeFrom="page">
            <wp:posOffset>6223635</wp:posOffset>
          </wp:positionH>
          <wp:positionV relativeFrom="page">
            <wp:posOffset>9862820</wp:posOffset>
          </wp:positionV>
          <wp:extent cx="840740" cy="840740"/>
          <wp:effectExtent l="19050" t="0" r="0" b="0"/>
          <wp:wrapTopAndBottom/>
          <wp:docPr id="20"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00A157C1" w:rsidRPr="00571E68">
      <w:rPr>
        <w:sz w:val="21"/>
      </w:rPr>
      <w:t xml:space="preserve"> </w:t>
    </w:r>
    <w:r w:rsidR="00A157C1">
      <w:rPr>
        <w:sz w:val="21"/>
      </w:rPr>
      <w:t>The T-Suite</w:t>
    </w:r>
    <w:r w:rsidR="00A157C1" w:rsidRPr="00572DE1">
      <w:rPr>
        <w:rFonts w:cs="Arial"/>
        <w:sz w:val="21"/>
      </w:rPr>
      <w:t>®</w:t>
    </w:r>
    <w:r w:rsidR="00A157C1">
      <w:rPr>
        <w:rFonts w:cs="Arial"/>
        <w:sz w:val="21"/>
      </w:rPr>
      <w:t xml:space="preserve"> services section</w:t>
    </w:r>
    <w:r w:rsidR="00A157C1">
      <w:rPr>
        <w:sz w:val="21"/>
      </w:rPr>
      <w:t xml:space="preserve"> was last changed on 29 June 2011.</w:t>
    </w:r>
  </w:p>
  <w:p w14:paraId="5194CA9C" w14:textId="77777777" w:rsidR="00A157C1" w:rsidRPr="00DA5812" w:rsidRDefault="00A157C1" w:rsidP="00DA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9E" w14:textId="77777777" w:rsidR="00A157C1" w:rsidRPr="008F5FA4" w:rsidRDefault="00DE7014">
    <w:pPr>
      <w:pStyle w:val="Footer"/>
      <w:framePr w:wrap="around" w:vAnchor="text" w:hAnchor="margin" w:xAlign="right" w:y="1"/>
      <w:rPr>
        <w:rStyle w:val="PageNumber"/>
      </w:rPr>
    </w:pPr>
    <w:r w:rsidRPr="008F5FA4">
      <w:rPr>
        <w:rStyle w:val="PageNumber"/>
      </w:rPr>
      <w:fldChar w:fldCharType="begin"/>
    </w:r>
    <w:r w:rsidR="00A157C1" w:rsidRPr="008F5FA4">
      <w:rPr>
        <w:rStyle w:val="PageNumber"/>
      </w:rPr>
      <w:instrText xml:space="preserve">PAGE  </w:instrText>
    </w:r>
    <w:r w:rsidRPr="008F5FA4">
      <w:rPr>
        <w:rStyle w:val="PageNumber"/>
      </w:rPr>
      <w:fldChar w:fldCharType="separate"/>
    </w:r>
    <w:r w:rsidR="00A157C1" w:rsidRPr="008F5FA4">
      <w:rPr>
        <w:rStyle w:val="PageNumber"/>
        <w:noProof/>
      </w:rPr>
      <w:t>3</w:t>
    </w:r>
    <w:r w:rsidRPr="008F5FA4">
      <w:rPr>
        <w:rStyle w:val="PageNumber"/>
      </w:rPr>
      <w:fldChar w:fldCharType="end"/>
    </w:r>
  </w:p>
  <w:p w14:paraId="5194CA9F" w14:textId="77777777" w:rsidR="00A157C1" w:rsidRPr="008F5FA4" w:rsidRDefault="00A157C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7"/>
      <w:gridCol w:w="1415"/>
    </w:tblGrid>
    <w:tr w:rsidR="00A157C1" w14:paraId="5194CAA2" w14:textId="77777777" w:rsidTr="00BA0528">
      <w:tc>
        <w:tcPr>
          <w:tcW w:w="4185" w:type="pct"/>
          <w:tcBorders>
            <w:top w:val="nil"/>
            <w:left w:val="nil"/>
            <w:bottom w:val="nil"/>
            <w:right w:val="nil"/>
          </w:tcBorders>
        </w:tcPr>
        <w:p w14:paraId="5194CAA0" w14:textId="7974573A" w:rsidR="00A157C1" w:rsidRDefault="00A157C1" w:rsidP="00FE77FE">
          <w:pPr>
            <w:pStyle w:val="DocName"/>
            <w:widowControl/>
            <w:rPr>
              <w:snapToGrid w:val="0"/>
            </w:rPr>
          </w:pPr>
          <w:r>
            <w:t xml:space="preserve">TELSTRA CORPORATION LIMITED (ABN 33 051 775 556) | Cloud Services – </w:t>
          </w:r>
          <w:r w:rsidR="006F58B1">
            <w:t>Docusign -</w:t>
          </w:r>
          <w:r>
            <w:t xml:space="preserve">was last changed on </w:t>
          </w:r>
          <w:r w:rsidR="00FE77FE">
            <w:t>9 May 2017</w:t>
          </w:r>
          <w:r>
            <w:t xml:space="preserve"> | TELSTRA UNRESTRICTED</w:t>
          </w:r>
        </w:p>
      </w:tc>
      <w:tc>
        <w:tcPr>
          <w:tcW w:w="815" w:type="pct"/>
          <w:tcBorders>
            <w:top w:val="nil"/>
            <w:left w:val="nil"/>
            <w:bottom w:val="nil"/>
            <w:right w:val="nil"/>
          </w:tcBorders>
        </w:tcPr>
        <w:p w14:paraId="5194CAA1" w14:textId="787D895B" w:rsidR="00A157C1" w:rsidRPr="002A348A" w:rsidRDefault="00A157C1" w:rsidP="00BA0528">
          <w:pPr>
            <w:jc w:val="right"/>
            <w:rPr>
              <w:rStyle w:val="PageNumber"/>
              <w:rFonts w:ascii="Verdana" w:hAnsi="Verdana"/>
              <w:sz w:val="16"/>
              <w:szCs w:val="16"/>
            </w:rPr>
          </w:pPr>
          <w:r w:rsidRPr="002A348A">
            <w:rPr>
              <w:rStyle w:val="PageNumber"/>
              <w:rFonts w:ascii="Verdana" w:hAnsi="Verdana"/>
              <w:sz w:val="16"/>
              <w:szCs w:val="16"/>
            </w:rPr>
            <w:t xml:space="preserve">Page </w:t>
          </w:r>
          <w:r w:rsidR="00DE7014" w:rsidRPr="002A348A">
            <w:rPr>
              <w:rStyle w:val="PageNumber"/>
              <w:rFonts w:ascii="Verdana" w:hAnsi="Verdana"/>
              <w:sz w:val="16"/>
              <w:szCs w:val="16"/>
            </w:rPr>
            <w:fldChar w:fldCharType="begin"/>
          </w:r>
          <w:r w:rsidRPr="002A348A">
            <w:rPr>
              <w:rStyle w:val="PageNumber"/>
              <w:rFonts w:ascii="Verdana" w:hAnsi="Verdana"/>
              <w:sz w:val="16"/>
              <w:szCs w:val="16"/>
            </w:rPr>
            <w:instrText xml:space="preserve"> PAGE \*MERGEFORMAT </w:instrText>
          </w:r>
          <w:r w:rsidR="00DE7014" w:rsidRPr="002A348A">
            <w:rPr>
              <w:rStyle w:val="PageNumber"/>
              <w:rFonts w:ascii="Verdana" w:hAnsi="Verdana"/>
              <w:sz w:val="16"/>
              <w:szCs w:val="16"/>
            </w:rPr>
            <w:fldChar w:fldCharType="separate"/>
          </w:r>
          <w:r w:rsidR="004E50E2">
            <w:rPr>
              <w:rStyle w:val="PageNumber"/>
              <w:rFonts w:ascii="Verdana" w:hAnsi="Verdana"/>
              <w:noProof/>
              <w:sz w:val="16"/>
              <w:szCs w:val="16"/>
            </w:rPr>
            <w:t>2</w:t>
          </w:r>
          <w:r w:rsidR="00DE7014" w:rsidRPr="002A348A">
            <w:rPr>
              <w:rStyle w:val="PageNumber"/>
              <w:rFonts w:ascii="Verdana" w:hAnsi="Verdana"/>
              <w:sz w:val="16"/>
              <w:szCs w:val="16"/>
            </w:rPr>
            <w:fldChar w:fldCharType="end"/>
          </w:r>
          <w:r w:rsidRPr="002A348A">
            <w:rPr>
              <w:rStyle w:val="PageNumber"/>
              <w:rFonts w:ascii="Verdana" w:hAnsi="Verdana"/>
              <w:sz w:val="16"/>
              <w:szCs w:val="16"/>
            </w:rPr>
            <w:t xml:space="preserve"> of </w:t>
          </w:r>
          <w:r w:rsidR="00194417" w:rsidRPr="002A348A">
            <w:rPr>
              <w:rFonts w:ascii="Verdana" w:hAnsi="Verdana"/>
              <w:sz w:val="16"/>
              <w:szCs w:val="16"/>
            </w:rPr>
            <w:fldChar w:fldCharType="begin"/>
          </w:r>
          <w:r w:rsidR="00194417" w:rsidRPr="002A348A">
            <w:rPr>
              <w:rFonts w:ascii="Verdana" w:hAnsi="Verdana"/>
              <w:sz w:val="16"/>
              <w:szCs w:val="16"/>
            </w:rPr>
            <w:instrText xml:space="preserve"> NUMPAGES  \* Arabic \*MERGEFORMAT </w:instrText>
          </w:r>
          <w:r w:rsidR="00194417" w:rsidRPr="002A348A">
            <w:rPr>
              <w:rFonts w:ascii="Verdana" w:hAnsi="Verdana"/>
              <w:sz w:val="16"/>
              <w:szCs w:val="16"/>
            </w:rPr>
            <w:fldChar w:fldCharType="separate"/>
          </w:r>
          <w:r w:rsidR="004E50E2">
            <w:rPr>
              <w:rFonts w:ascii="Verdana" w:hAnsi="Verdana"/>
              <w:noProof/>
              <w:sz w:val="16"/>
              <w:szCs w:val="16"/>
            </w:rPr>
            <w:t>7</w:t>
          </w:r>
          <w:r w:rsidR="00194417" w:rsidRPr="002A348A">
            <w:rPr>
              <w:rFonts w:ascii="Verdana" w:hAnsi="Verdana"/>
              <w:noProof/>
              <w:sz w:val="16"/>
              <w:szCs w:val="16"/>
            </w:rPr>
            <w:fldChar w:fldCharType="end"/>
          </w:r>
        </w:p>
      </w:tc>
    </w:tr>
  </w:tbl>
  <w:p w14:paraId="5194CAA3" w14:textId="77777777" w:rsidR="00A157C1" w:rsidRPr="00BA0528" w:rsidRDefault="00A157C1"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9FE7" w14:textId="77777777" w:rsidR="00BE63D9" w:rsidRDefault="00BE63D9">
      <w:r>
        <w:separator/>
      </w:r>
    </w:p>
  </w:footnote>
  <w:footnote w:type="continuationSeparator" w:id="0">
    <w:p w14:paraId="06D2C99C" w14:textId="77777777" w:rsidR="00BE63D9" w:rsidRDefault="00BE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8F" w14:textId="1BEC7D80" w:rsidR="00A157C1" w:rsidRPr="00BA0528" w:rsidRDefault="00ED0418" w:rsidP="00BA0528">
    <w:pPr>
      <w:pStyle w:val="Header"/>
      <w:widowControl w:val="0"/>
      <w:ind w:left="2127"/>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4144" behindDoc="0" locked="0" layoutInCell="1" allowOverlap="1" wp14:anchorId="5194CAA4" wp14:editId="2A82B586">
          <wp:simplePos x="0" y="0"/>
          <wp:positionH relativeFrom="column">
            <wp:posOffset>-1167130</wp:posOffset>
          </wp:positionH>
          <wp:positionV relativeFrom="line">
            <wp:posOffset>-267970</wp:posOffset>
          </wp:positionV>
          <wp:extent cx="1847850" cy="1457325"/>
          <wp:effectExtent l="19050" t="0" r="0" b="0"/>
          <wp:wrapNone/>
          <wp:docPr id="16"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sidR="004923A7">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5194CAA6" wp14:editId="20E568A6">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CAB1" w14:textId="77777777" w:rsidR="00A157C1" w:rsidRDefault="00A157C1">
                          <w:pPr>
                            <w:jc w:val="right"/>
                            <w:rPr>
                              <w:rFonts w:ascii="Arial" w:hAnsi="Arial"/>
                              <w:sz w:val="18"/>
                            </w:rPr>
                          </w:pPr>
                          <w:r>
                            <w:rPr>
                              <w:rFonts w:ascii="Arial" w:hAnsi="Arial"/>
                              <w:sz w:val="18"/>
                            </w:rPr>
                            <w:t>DRAFT [NO.]: [Date]</w:t>
                          </w:r>
                        </w:p>
                        <w:p w14:paraId="5194CAB2" w14:textId="77777777" w:rsidR="00A157C1" w:rsidRDefault="00A15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CAA6" id="Rectangle 2" o:spid="_x0000_s1026" style="position:absolute;left:0;text-align:left;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5194CAB1" w14:textId="77777777" w:rsidR="00A157C1" w:rsidRDefault="00A157C1">
                    <w:pPr>
                      <w:jc w:val="right"/>
                      <w:rPr>
                        <w:rFonts w:ascii="Arial" w:hAnsi="Arial"/>
                        <w:sz w:val="18"/>
                      </w:rPr>
                    </w:pPr>
                    <w:r>
                      <w:rPr>
                        <w:rFonts w:ascii="Arial" w:hAnsi="Arial"/>
                        <w:sz w:val="18"/>
                      </w:rPr>
                      <w:t>DRAFT [NO.]: [Date]</w:t>
                    </w:r>
                  </w:p>
                  <w:p w14:paraId="5194CAB2" w14:textId="77777777" w:rsidR="00A157C1" w:rsidRDefault="00A157C1">
                    <w:pPr>
                      <w:jc w:val="right"/>
                      <w:rPr>
                        <w:rFonts w:ascii="Arial" w:hAnsi="Arial"/>
                        <w:sz w:val="18"/>
                      </w:rPr>
                    </w:pPr>
                    <w:r>
                      <w:rPr>
                        <w:rFonts w:ascii="Arial" w:hAnsi="Arial"/>
                        <w:sz w:val="18"/>
                      </w:rPr>
                      <w:t>Marked to show changes from draft [No.]: [Date]</w:t>
                    </w:r>
                  </w:p>
                </w:txbxContent>
              </v:textbox>
            </v:rect>
          </w:pict>
        </mc:Fallback>
      </mc:AlternateContent>
    </w:r>
    <w:r w:rsidR="00A157C1" w:rsidRPr="00BA0528">
      <w:rPr>
        <w:rFonts w:ascii="Verdana" w:hAnsi="Verdana" w:cs="Arial"/>
        <w:noProof/>
        <w:sz w:val="28"/>
        <w:szCs w:val="28"/>
      </w:rPr>
      <w:t>OUR CUSTOMER TERMS</w:t>
    </w:r>
    <w:r w:rsidR="00A157C1"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5168" behindDoc="0" locked="0" layoutInCell="1" allowOverlap="1" wp14:anchorId="5194CAA7" wp14:editId="737A985D">
          <wp:simplePos x="0" y="0"/>
          <wp:positionH relativeFrom="column">
            <wp:posOffset>5116195</wp:posOffset>
          </wp:positionH>
          <wp:positionV relativeFrom="line">
            <wp:posOffset>-91440</wp:posOffset>
          </wp:positionV>
          <wp:extent cx="1046480" cy="452120"/>
          <wp:effectExtent l="19050" t="0" r="1270" b="0"/>
          <wp:wrapNone/>
          <wp:docPr id="17"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5194CA90" w14:textId="77777777" w:rsidR="00A157C1" w:rsidRDefault="00A157C1" w:rsidP="00BA0528">
    <w:pPr>
      <w:pStyle w:val="Header"/>
      <w:widowControl w:val="0"/>
      <w:ind w:left="2127"/>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1F3DA3">
      <w:rPr>
        <w:rFonts w:ascii="Verdana" w:hAnsi="Verdana" w:cs="Arial"/>
        <w:noProof/>
        <w:sz w:val="28"/>
        <w:szCs w:val="28"/>
      </w:rPr>
      <w:t>MCAFEE SAAS ENDPOINT PROTECTION</w:t>
    </w:r>
  </w:p>
  <w:p w14:paraId="7EB85202" w14:textId="77777777" w:rsidR="002A348A" w:rsidRDefault="002A348A" w:rsidP="00BA0528">
    <w:pPr>
      <w:pStyle w:val="Header"/>
      <w:widowControl w:val="0"/>
      <w:ind w:left="2127"/>
      <w:rPr>
        <w:rFonts w:ascii="Verdana" w:hAnsi="Verdana" w:cs="Arial"/>
        <w:noProof/>
        <w:sz w:val="28"/>
        <w:szCs w:val="28"/>
      </w:rPr>
    </w:pPr>
  </w:p>
  <w:p w14:paraId="002F10A4" w14:textId="77777777" w:rsidR="002A348A" w:rsidRPr="00A157C1" w:rsidRDefault="002A348A" w:rsidP="00BA0528">
    <w:pPr>
      <w:pStyle w:val="Header"/>
      <w:widowControl w:val="0"/>
      <w:ind w:left="2127"/>
      <w:rPr>
        <w:rFonts w:ascii="Verdana" w:hAnsi="Verdana" w:cs="Arial"/>
        <w:i/>
        <w:noProof/>
        <w:sz w:val="28"/>
        <w:szCs w:val="28"/>
      </w:rPr>
    </w:pPr>
  </w:p>
  <w:p w14:paraId="5194CA91" w14:textId="77777777" w:rsidR="00A157C1" w:rsidRPr="00BA0528" w:rsidRDefault="00A157C1"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98" w14:textId="7B12A4DB" w:rsidR="00A157C1" w:rsidRPr="00BA0528" w:rsidRDefault="004923A7"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5194CAA9" wp14:editId="270161D3">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CAB3" w14:textId="77777777" w:rsidR="00A157C1" w:rsidRDefault="00A157C1">
                          <w:pPr>
                            <w:jc w:val="right"/>
                            <w:rPr>
                              <w:rFonts w:ascii="Arial" w:hAnsi="Arial"/>
                              <w:sz w:val="18"/>
                            </w:rPr>
                          </w:pPr>
                          <w:r>
                            <w:rPr>
                              <w:rFonts w:ascii="Arial" w:hAnsi="Arial"/>
                              <w:sz w:val="18"/>
                            </w:rPr>
                            <w:t>DRAFT [NO.]: [Date]</w:t>
                          </w:r>
                        </w:p>
                        <w:p w14:paraId="5194CAB4" w14:textId="77777777" w:rsidR="00A157C1" w:rsidRDefault="00A15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CAA9" id="Rectangle 1" o:spid="_x0000_s1027"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5194CAB3" w14:textId="77777777" w:rsidR="00A157C1" w:rsidRDefault="00A157C1">
                    <w:pPr>
                      <w:jc w:val="right"/>
                      <w:rPr>
                        <w:rFonts w:ascii="Arial" w:hAnsi="Arial"/>
                        <w:sz w:val="18"/>
                      </w:rPr>
                    </w:pPr>
                    <w:r>
                      <w:rPr>
                        <w:rFonts w:ascii="Arial" w:hAnsi="Arial"/>
                        <w:sz w:val="18"/>
                      </w:rPr>
                      <w:t>DRAFT [NO.]: [Date]</w:t>
                    </w:r>
                  </w:p>
                  <w:p w14:paraId="5194CAB4" w14:textId="77777777" w:rsidR="00A157C1" w:rsidRDefault="00A157C1">
                    <w:pPr>
                      <w:jc w:val="right"/>
                      <w:rPr>
                        <w:rFonts w:ascii="Arial" w:hAnsi="Arial"/>
                        <w:sz w:val="18"/>
                      </w:rPr>
                    </w:pPr>
                    <w:r>
                      <w:rPr>
                        <w:rFonts w:ascii="Arial" w:hAnsi="Arial"/>
                        <w:sz w:val="18"/>
                      </w:rPr>
                      <w:t>Marked to show changes from draft [No.]: [Date]</w:t>
                    </w:r>
                  </w:p>
                </w:txbxContent>
              </v:textbox>
            </v:rect>
          </w:pict>
        </mc:Fallback>
      </mc:AlternateContent>
    </w:r>
    <w:r w:rsidR="00ED0418">
      <w:rPr>
        <w:rFonts w:ascii="Verdana" w:hAnsi="Verdana" w:cs="Arial"/>
        <w:noProof/>
        <w:sz w:val="28"/>
        <w:szCs w:val="28"/>
        <w:lang w:eastAsia="en-AU"/>
      </w:rPr>
      <w:drawing>
        <wp:anchor distT="0" distB="0" distL="114300" distR="114300" simplePos="0" relativeHeight="251657216" behindDoc="0" locked="0" layoutInCell="1" allowOverlap="1" wp14:anchorId="5194CAAA" wp14:editId="41341AF3">
          <wp:simplePos x="0" y="0"/>
          <wp:positionH relativeFrom="column">
            <wp:posOffset>-1167130</wp:posOffset>
          </wp:positionH>
          <wp:positionV relativeFrom="line">
            <wp:posOffset>-267970</wp:posOffset>
          </wp:positionV>
          <wp:extent cx="1847850" cy="1457325"/>
          <wp:effectExtent l="19050" t="0" r="0" b="0"/>
          <wp:wrapNone/>
          <wp:docPr id="18"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5194CAAC" wp14:editId="2027E14D">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CAB5" w14:textId="77777777" w:rsidR="00A157C1" w:rsidRDefault="00A157C1" w:rsidP="00BA0528">
                          <w:pPr>
                            <w:jc w:val="right"/>
                            <w:rPr>
                              <w:rFonts w:ascii="Arial" w:hAnsi="Arial"/>
                              <w:sz w:val="18"/>
                            </w:rPr>
                          </w:pPr>
                          <w:r>
                            <w:rPr>
                              <w:rFonts w:ascii="Arial" w:hAnsi="Arial"/>
                              <w:sz w:val="18"/>
                            </w:rPr>
                            <w:t>DRAFT [NO.]: [Date]</w:t>
                          </w:r>
                        </w:p>
                        <w:p w14:paraId="5194CAB6" w14:textId="77777777" w:rsidR="00A157C1" w:rsidRDefault="00A157C1"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CAAC" id="Rectangle 6" o:spid="_x0000_s1028"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5194CAB5" w14:textId="77777777" w:rsidR="00A157C1" w:rsidRDefault="00A157C1" w:rsidP="00BA0528">
                    <w:pPr>
                      <w:jc w:val="right"/>
                      <w:rPr>
                        <w:rFonts w:ascii="Arial" w:hAnsi="Arial"/>
                        <w:sz w:val="18"/>
                      </w:rPr>
                    </w:pPr>
                    <w:r>
                      <w:rPr>
                        <w:rFonts w:ascii="Arial" w:hAnsi="Arial"/>
                        <w:sz w:val="18"/>
                      </w:rPr>
                      <w:t>DRAFT [NO.]: [Date]</w:t>
                    </w:r>
                  </w:p>
                  <w:p w14:paraId="5194CAB6" w14:textId="77777777" w:rsidR="00A157C1" w:rsidRDefault="00A157C1" w:rsidP="00BA0528">
                    <w:pPr>
                      <w:jc w:val="right"/>
                      <w:rPr>
                        <w:rFonts w:ascii="Arial" w:hAnsi="Arial"/>
                        <w:sz w:val="18"/>
                      </w:rPr>
                    </w:pPr>
                    <w:r>
                      <w:rPr>
                        <w:rFonts w:ascii="Arial" w:hAnsi="Arial"/>
                        <w:sz w:val="18"/>
                      </w:rPr>
                      <w:t>Marked to show changes from draft [No.]: [Date]</w:t>
                    </w:r>
                  </w:p>
                </w:txbxContent>
              </v:textbox>
            </v:rect>
          </w:pict>
        </mc:Fallback>
      </mc:AlternateContent>
    </w:r>
    <w:r w:rsidR="00A157C1" w:rsidRPr="00BA0528">
      <w:rPr>
        <w:rFonts w:ascii="Verdana" w:hAnsi="Verdana" w:cs="Arial"/>
        <w:noProof/>
        <w:sz w:val="28"/>
        <w:szCs w:val="28"/>
      </w:rPr>
      <w:t>OUR CUSTOMER TERMS</w:t>
    </w:r>
    <w:r w:rsidR="00A157C1" w:rsidRPr="00BA0528">
      <w:rPr>
        <w:rFonts w:ascii="Verdana" w:hAnsi="Verdana" w:cs="Arial"/>
        <w:noProof/>
        <w:sz w:val="28"/>
        <w:szCs w:val="28"/>
      </w:rPr>
      <w:tab/>
    </w:r>
    <w:r w:rsidR="00ED0418">
      <w:rPr>
        <w:rFonts w:ascii="Verdana" w:hAnsi="Verdana" w:cs="Arial"/>
        <w:noProof/>
        <w:sz w:val="28"/>
        <w:szCs w:val="28"/>
        <w:lang w:eastAsia="en-AU"/>
      </w:rPr>
      <w:drawing>
        <wp:anchor distT="0" distB="0" distL="114300" distR="114300" simplePos="0" relativeHeight="251658240" behindDoc="0" locked="0" layoutInCell="1" allowOverlap="1" wp14:anchorId="5194CAAD" wp14:editId="06FABD2A">
          <wp:simplePos x="0" y="0"/>
          <wp:positionH relativeFrom="column">
            <wp:posOffset>5116195</wp:posOffset>
          </wp:positionH>
          <wp:positionV relativeFrom="line">
            <wp:posOffset>-91440</wp:posOffset>
          </wp:positionV>
          <wp:extent cx="1046480" cy="452120"/>
          <wp:effectExtent l="19050" t="0" r="1270" b="0"/>
          <wp:wrapNone/>
          <wp:docPr id="19"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5194CA99" w14:textId="77777777" w:rsidR="00A157C1" w:rsidRDefault="00A157C1" w:rsidP="00A157C1">
    <w:pPr>
      <w:pStyle w:val="Header"/>
      <w:widowControl w:val="0"/>
      <w:ind w:left="2127"/>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1F3DA3">
      <w:rPr>
        <w:rFonts w:ascii="Verdana" w:hAnsi="Verdana" w:cs="Arial"/>
        <w:noProof/>
        <w:sz w:val="28"/>
        <w:szCs w:val="28"/>
      </w:rPr>
      <w:t>MCAFEE SAAS ENDPOINT PROTECTION</w:t>
    </w:r>
  </w:p>
  <w:p w14:paraId="0868C57F" w14:textId="77777777" w:rsidR="002A348A" w:rsidRPr="00A157C1" w:rsidRDefault="002A348A" w:rsidP="002A348A">
    <w:pPr>
      <w:pStyle w:val="Header"/>
      <w:widowControl w:val="0"/>
      <w:rPr>
        <w:rFonts w:ascii="Verdana" w:hAnsi="Verdana" w:cs="Arial"/>
        <w:i/>
        <w:noProof/>
        <w:sz w:val="28"/>
        <w:szCs w:val="28"/>
      </w:rPr>
    </w:pPr>
  </w:p>
  <w:p w14:paraId="5194CA9A" w14:textId="77777777" w:rsidR="00A157C1" w:rsidRPr="00BA0528" w:rsidRDefault="00A157C1"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A9D" w14:textId="77777777" w:rsidR="00A157C1" w:rsidRDefault="00A1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1FB3F2D"/>
    <w:multiLevelType w:val="multilevel"/>
    <w:tmpl w:val="7132048E"/>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8"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2"/>
  </w:num>
  <w:num w:numId="6">
    <w:abstractNumId w:val="1"/>
  </w:num>
  <w:num w:numId="7">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6801"/>
    <w:rsid w:val="00087385"/>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9FB"/>
    <w:rsid w:val="00104B2F"/>
    <w:rsid w:val="00104E37"/>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4417"/>
    <w:rsid w:val="0019552A"/>
    <w:rsid w:val="00195B9E"/>
    <w:rsid w:val="00195D82"/>
    <w:rsid w:val="0019643C"/>
    <w:rsid w:val="00196467"/>
    <w:rsid w:val="001A353C"/>
    <w:rsid w:val="001A4222"/>
    <w:rsid w:val="001A5FD5"/>
    <w:rsid w:val="001A610B"/>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0BFA"/>
    <w:rsid w:val="001E1C24"/>
    <w:rsid w:val="001E332A"/>
    <w:rsid w:val="001E428E"/>
    <w:rsid w:val="001E5EC8"/>
    <w:rsid w:val="001E627B"/>
    <w:rsid w:val="001E74C9"/>
    <w:rsid w:val="001E78A9"/>
    <w:rsid w:val="001F0698"/>
    <w:rsid w:val="001F0C24"/>
    <w:rsid w:val="001F0D8E"/>
    <w:rsid w:val="001F15EE"/>
    <w:rsid w:val="001F2E7E"/>
    <w:rsid w:val="001F347B"/>
    <w:rsid w:val="001F3D4E"/>
    <w:rsid w:val="001F3DA3"/>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1800"/>
    <w:rsid w:val="00233756"/>
    <w:rsid w:val="00234D62"/>
    <w:rsid w:val="00235620"/>
    <w:rsid w:val="00236BE5"/>
    <w:rsid w:val="0024340D"/>
    <w:rsid w:val="00243AAC"/>
    <w:rsid w:val="00244323"/>
    <w:rsid w:val="00247194"/>
    <w:rsid w:val="00247DD9"/>
    <w:rsid w:val="00247F06"/>
    <w:rsid w:val="00251CC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24CE"/>
    <w:rsid w:val="00294601"/>
    <w:rsid w:val="002959D9"/>
    <w:rsid w:val="00295E43"/>
    <w:rsid w:val="00297E31"/>
    <w:rsid w:val="002A197A"/>
    <w:rsid w:val="002A348A"/>
    <w:rsid w:val="002A3E59"/>
    <w:rsid w:val="002A5C1D"/>
    <w:rsid w:val="002A60CC"/>
    <w:rsid w:val="002A60FF"/>
    <w:rsid w:val="002A6333"/>
    <w:rsid w:val="002A6B8C"/>
    <w:rsid w:val="002A6F88"/>
    <w:rsid w:val="002B021C"/>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F11A6"/>
    <w:rsid w:val="002F1505"/>
    <w:rsid w:val="002F32E5"/>
    <w:rsid w:val="002F3D90"/>
    <w:rsid w:val="002F4315"/>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4CD"/>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0B77"/>
    <w:rsid w:val="003C4CBA"/>
    <w:rsid w:val="003C5774"/>
    <w:rsid w:val="003C693B"/>
    <w:rsid w:val="003C7C68"/>
    <w:rsid w:val="003D2C6B"/>
    <w:rsid w:val="003D340A"/>
    <w:rsid w:val="003D3470"/>
    <w:rsid w:val="003D4D58"/>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2FB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4FC1"/>
    <w:rsid w:val="0047646A"/>
    <w:rsid w:val="0047656E"/>
    <w:rsid w:val="00476B90"/>
    <w:rsid w:val="0047705A"/>
    <w:rsid w:val="00477D66"/>
    <w:rsid w:val="0048321F"/>
    <w:rsid w:val="00483E34"/>
    <w:rsid w:val="0048551C"/>
    <w:rsid w:val="00491D4F"/>
    <w:rsid w:val="00491F9C"/>
    <w:rsid w:val="004923A7"/>
    <w:rsid w:val="00492C7B"/>
    <w:rsid w:val="004934D6"/>
    <w:rsid w:val="00496295"/>
    <w:rsid w:val="00496307"/>
    <w:rsid w:val="00496DB5"/>
    <w:rsid w:val="004A288A"/>
    <w:rsid w:val="004A3F5C"/>
    <w:rsid w:val="004A44D3"/>
    <w:rsid w:val="004A59EB"/>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50E2"/>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5D75"/>
    <w:rsid w:val="00516AF6"/>
    <w:rsid w:val="005203C9"/>
    <w:rsid w:val="00521465"/>
    <w:rsid w:val="0052293B"/>
    <w:rsid w:val="00523723"/>
    <w:rsid w:val="0052450B"/>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693"/>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067"/>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38C6"/>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11BA"/>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C48"/>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75B"/>
    <w:rsid w:val="007E4E80"/>
    <w:rsid w:val="007E57C8"/>
    <w:rsid w:val="007E5FC4"/>
    <w:rsid w:val="007E7835"/>
    <w:rsid w:val="007E7E1A"/>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E63BF"/>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47E00"/>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32F"/>
    <w:rsid w:val="009F44E0"/>
    <w:rsid w:val="009F5F6F"/>
    <w:rsid w:val="00A000E2"/>
    <w:rsid w:val="00A00156"/>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4938"/>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01EF"/>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22B"/>
    <w:rsid w:val="00A95A00"/>
    <w:rsid w:val="00A96399"/>
    <w:rsid w:val="00A96DB9"/>
    <w:rsid w:val="00A97219"/>
    <w:rsid w:val="00AA0D18"/>
    <w:rsid w:val="00AA3218"/>
    <w:rsid w:val="00AA3F22"/>
    <w:rsid w:val="00AA5AA1"/>
    <w:rsid w:val="00AA639B"/>
    <w:rsid w:val="00AA70E3"/>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9B9"/>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3C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33D9"/>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2167"/>
    <w:rsid w:val="00BD30DC"/>
    <w:rsid w:val="00BD367B"/>
    <w:rsid w:val="00BD457B"/>
    <w:rsid w:val="00BD5AE2"/>
    <w:rsid w:val="00BD61C9"/>
    <w:rsid w:val="00BD633A"/>
    <w:rsid w:val="00BE160B"/>
    <w:rsid w:val="00BE415A"/>
    <w:rsid w:val="00BE63D9"/>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319D"/>
    <w:rsid w:val="00C34216"/>
    <w:rsid w:val="00C34491"/>
    <w:rsid w:val="00C34906"/>
    <w:rsid w:val="00C35358"/>
    <w:rsid w:val="00C3555A"/>
    <w:rsid w:val="00C36ACF"/>
    <w:rsid w:val="00C37274"/>
    <w:rsid w:val="00C40329"/>
    <w:rsid w:val="00C44252"/>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57A3"/>
    <w:rsid w:val="00C969D5"/>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2E10"/>
    <w:rsid w:val="00CC30B7"/>
    <w:rsid w:val="00CC52EA"/>
    <w:rsid w:val="00CC582C"/>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4975"/>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1CC8"/>
    <w:rsid w:val="00D92EB4"/>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4A89"/>
    <w:rsid w:val="00DB50CB"/>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6BBF"/>
    <w:rsid w:val="00DE7014"/>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10A8"/>
    <w:rsid w:val="00E7303C"/>
    <w:rsid w:val="00E73396"/>
    <w:rsid w:val="00E73B9F"/>
    <w:rsid w:val="00E73DEF"/>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15D"/>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1F00"/>
    <w:rsid w:val="00F86691"/>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7FE"/>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4CA03"/>
  <w15:docId w15:val="{6A5A874E-AD93-4B15-B318-0610FC72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2A348A"/>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governmen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telstra.com/marketplacesuppor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PolicyDirtyBag xmlns="microsoft.office.server.policy.changes">
  <Telstra.EDMS.Platform.Common.IMP_TelstraID xmlns="" op="Change"/>
</PolicyDirtyBag>
</file>

<file path=customXml/item3.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RelatedContent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BEN-3292</TelstraID>
    <VersionLabel xmlns="http://schemas.microsoft.com/sharepoint/v3">Draft</VersionLabel>
    <HubID xmlns="http://schemas.microsoft.com/sharepoint/v3">003</HubID>
    <TelstraPersistentLink xmlns="http://schemas.microsoft.com/sharepoint/v3">http://objects.in.telstra.com.au/documents/BEN-3292</TelstraPersistentLink>
    <TelstraLinkHidden xmlns="http://schemas.microsoft.com/sharepoint/v3">http://objects.in.telstra.com.au/documents/BEN-3292</TelstraLinkHidden>
    <TelstraIDHidden xmlns="http://schemas.microsoft.com/sharepoint/v3">BEN-3292</TelstraIDHidden>
    <LRDmeCustLRDateofDocument xmlns="http://schemas.microsoft.com/sharepoint/v3">2015-07-08T13:53:56+00:00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LRDmeCustLRGroup_Responsible xmlns="http://schemas.microsoft.com/sharepoint/v3" xsi:nil="true"/>
    <LRDmeCustLRMatterNo xmlns="http://schemas.microsoft.com/sharepoint/v3" xsi:nil="true"/>
    <LRDmeCustLRMatterName xmlns="http://schemas.microsoft.com/sharepoint/v3" xsi:nil="true"/>
    <LREDMSRegisterLookup xmlns="http://schemas.microsoft.com/sharepoint/v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0C90-9E27-4447-B759-817BE1E56D42}">
  <ds:schemaRefs>
    <ds:schemaRef ds:uri="office.server.policy"/>
  </ds:schemaRefs>
</ds:datastoreItem>
</file>

<file path=customXml/itemProps2.xml><?xml version="1.0" encoding="utf-8"?>
<ds:datastoreItem xmlns:ds="http://schemas.openxmlformats.org/officeDocument/2006/customXml" ds:itemID="{5D0C7300-F3F3-4EB9-B51A-660ACC4590D6}">
  <ds:schemaRefs>
    <ds:schemaRef ds:uri="microsoft.office.server.policy.changes"/>
    <ds:schemaRef ds:uri=""/>
  </ds:schemaRefs>
</ds:datastoreItem>
</file>

<file path=customXml/itemProps3.xml><?xml version="1.0" encoding="utf-8"?>
<ds:datastoreItem xmlns:ds="http://schemas.openxmlformats.org/officeDocument/2006/customXml" ds:itemID="{DD2F3827-058B-485C-9061-6C53B66808D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4EC64BA6-815F-4BA0-BBA4-018892F7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4542810-1CB7-4DB1-A7D2-D16D46DC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OCT - CS - McAfee SaaS Endpoint Protection</vt:lpstr>
    </vt:vector>
  </TitlesOfParts>
  <Company>Telstra</Company>
  <LinksUpToDate>false</LinksUpToDate>
  <CharactersWithSpaces>12494</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McAfee SaaS Endpoint Protection</dc:title>
  <dc:subject/>
  <dc:creator>Hollindale, Charlotte</dc:creator>
  <cp:keywords/>
  <cp:lastModifiedBy>Rosenrauch, Alex</cp:lastModifiedBy>
  <cp:revision>4</cp:revision>
  <cp:lastPrinted>2017-05-08T05:18:00Z</cp:lastPrinted>
  <dcterms:created xsi:type="dcterms:W3CDTF">2017-05-08T05:14:00Z</dcterms:created>
  <dcterms:modified xsi:type="dcterms:W3CDTF">2017-05-08T05:18:00Z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0x010100F4FBBF2724936C4AAA5B7E061466DB0F01010200756FEF1D73AB904FA43B80EED15C40C0</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LRDmeCustLRDateofDocument">
    <vt:lpwstr>2015-05-07T06:11:05+00:00</vt:lpwstr>
  </property>
  <property fmtid="{D5CDD505-2E9C-101B-9397-08002B2CF9AE}" pid="21" name="tlsActiveDirectory">
    <vt:lpwstr/>
  </property>
</Properties>
</file>