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D3D5" w14:textId="62B7D0C4" w:rsidR="008E5595" w:rsidRPr="00BC1AFF" w:rsidRDefault="00CF7229" w:rsidP="003503C8">
      <w:pPr>
        <w:pStyle w:val="ContentsTitle"/>
      </w:pPr>
      <w:r w:rsidRPr="00BC1AFF">
        <w:t>C</w:t>
      </w:r>
      <w:bookmarkStart w:id="0" w:name="_Ref115283086"/>
      <w:bookmarkEnd w:id="0"/>
      <w:r w:rsidRPr="00BC1AFF">
        <w:t>ontents</w:t>
      </w:r>
    </w:p>
    <w:p w14:paraId="70414DA4" w14:textId="41F18300" w:rsidR="001C77D5" w:rsidRDefault="00505A0B">
      <w:pPr>
        <w:pStyle w:val="TOC1"/>
        <w:rPr>
          <w:rFonts w:asciiTheme="minorHAnsi" w:eastAsiaTheme="minorEastAsia" w:hAnsiTheme="minorHAnsi" w:cstheme="minorBidi"/>
          <w:b w:val="0"/>
          <w:bCs w:val="0"/>
          <w:caps w:val="0"/>
          <w:kern w:val="2"/>
          <w:sz w:val="22"/>
          <w:szCs w:val="22"/>
          <w:lang w:eastAsia="en-AU"/>
          <w14:ligatures w14:val="standardContextual"/>
        </w:rPr>
      </w:pPr>
      <w:r w:rsidRPr="00BC1AFF">
        <w:fldChar w:fldCharType="begin"/>
      </w:r>
      <w:r w:rsidR="00B27A9F" w:rsidRPr="00BC1AFF">
        <w:instrText xml:space="preserve"> TOC \h \z \t "Heading 1,1,SubHead,2" </w:instrText>
      </w:r>
      <w:r w:rsidRPr="00BC1AFF">
        <w:fldChar w:fldCharType="separate"/>
      </w:r>
      <w:hyperlink w:anchor="_Toc160009013" w:history="1">
        <w:r w:rsidR="001C77D5" w:rsidRPr="009E7F43">
          <w:rPr>
            <w:rStyle w:val="Hyperlink"/>
          </w:rPr>
          <w:t>1</w:t>
        </w:r>
        <w:r w:rsidR="001C77D5">
          <w:rPr>
            <w:rFonts w:asciiTheme="minorHAnsi" w:eastAsiaTheme="minorEastAsia" w:hAnsiTheme="minorHAnsi" w:cstheme="minorBidi"/>
            <w:b w:val="0"/>
            <w:bCs w:val="0"/>
            <w:caps w:val="0"/>
            <w:kern w:val="2"/>
            <w:sz w:val="22"/>
            <w:szCs w:val="22"/>
            <w:lang w:eastAsia="en-AU"/>
            <w14:ligatures w14:val="standardContextual"/>
          </w:rPr>
          <w:tab/>
        </w:r>
        <w:r w:rsidR="001C77D5" w:rsidRPr="009E7F43">
          <w:rPr>
            <w:rStyle w:val="Hyperlink"/>
          </w:rPr>
          <w:t>Applicable terms</w:t>
        </w:r>
        <w:r w:rsidR="001C77D5">
          <w:rPr>
            <w:webHidden/>
          </w:rPr>
          <w:tab/>
        </w:r>
      </w:hyperlink>
      <w:r w:rsidR="00F50637">
        <w:t>3</w:t>
      </w:r>
    </w:p>
    <w:p w14:paraId="144C84FE" w14:textId="5BB98E11"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14" w:history="1">
        <w:r w:rsidRPr="009E7F43">
          <w:rPr>
            <w:rStyle w:val="Hyperlink"/>
          </w:rPr>
          <w:t>2</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Telstra Purple Managed Services</w:t>
        </w:r>
        <w:r>
          <w:rPr>
            <w:webHidden/>
          </w:rPr>
          <w:tab/>
        </w:r>
        <w:r>
          <w:rPr>
            <w:webHidden/>
          </w:rPr>
          <w:fldChar w:fldCharType="begin"/>
        </w:r>
        <w:r>
          <w:rPr>
            <w:webHidden/>
          </w:rPr>
          <w:instrText xml:space="preserve"> PAGEREF _Toc160009014 \h </w:instrText>
        </w:r>
        <w:r>
          <w:rPr>
            <w:webHidden/>
          </w:rPr>
        </w:r>
        <w:r>
          <w:rPr>
            <w:webHidden/>
          </w:rPr>
          <w:fldChar w:fldCharType="separate"/>
        </w:r>
        <w:r w:rsidR="00810AD0">
          <w:rPr>
            <w:webHidden/>
          </w:rPr>
          <w:t>3</w:t>
        </w:r>
        <w:r>
          <w:rPr>
            <w:webHidden/>
          </w:rPr>
          <w:fldChar w:fldCharType="end"/>
        </w:r>
      </w:hyperlink>
    </w:p>
    <w:p w14:paraId="5696B3DA" w14:textId="3B8FC7DB"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15" w:history="1">
        <w:r w:rsidRPr="009E7F43">
          <w:rPr>
            <w:rStyle w:val="Hyperlink"/>
          </w:rPr>
          <w:t>3</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SERVICE COMPONENTS</w:t>
        </w:r>
        <w:r>
          <w:rPr>
            <w:webHidden/>
          </w:rPr>
          <w:tab/>
        </w:r>
        <w:r>
          <w:rPr>
            <w:webHidden/>
          </w:rPr>
          <w:fldChar w:fldCharType="begin"/>
        </w:r>
        <w:r>
          <w:rPr>
            <w:webHidden/>
          </w:rPr>
          <w:instrText xml:space="preserve"> PAGEREF _Toc160009015 \h </w:instrText>
        </w:r>
        <w:r>
          <w:rPr>
            <w:webHidden/>
          </w:rPr>
        </w:r>
        <w:r>
          <w:rPr>
            <w:webHidden/>
          </w:rPr>
          <w:fldChar w:fldCharType="separate"/>
        </w:r>
        <w:r w:rsidR="00810AD0">
          <w:rPr>
            <w:webHidden/>
          </w:rPr>
          <w:t>3</w:t>
        </w:r>
        <w:r>
          <w:rPr>
            <w:webHidden/>
          </w:rPr>
          <w:fldChar w:fldCharType="end"/>
        </w:r>
      </w:hyperlink>
    </w:p>
    <w:p w14:paraId="6E7E9925" w14:textId="21572198"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16" w:history="1">
        <w:r w:rsidRPr="009E7F43">
          <w:rPr>
            <w:rStyle w:val="Hyperlink"/>
          </w:rPr>
          <w:t>4</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Fonts w:cs="Telstra Akkurat"/>
          </w:rPr>
          <w:t>Service</w:t>
        </w:r>
        <w:r w:rsidRPr="009E7F43">
          <w:rPr>
            <w:rStyle w:val="Hyperlink"/>
          </w:rPr>
          <w:t xml:space="preserve"> Configuration Management (SCM)</w:t>
        </w:r>
        <w:r>
          <w:rPr>
            <w:webHidden/>
          </w:rPr>
          <w:tab/>
        </w:r>
        <w:r>
          <w:rPr>
            <w:webHidden/>
          </w:rPr>
          <w:fldChar w:fldCharType="begin"/>
        </w:r>
        <w:r>
          <w:rPr>
            <w:webHidden/>
          </w:rPr>
          <w:instrText xml:space="preserve"> PAGEREF _Toc160009016 \h </w:instrText>
        </w:r>
        <w:r>
          <w:rPr>
            <w:webHidden/>
          </w:rPr>
        </w:r>
        <w:r>
          <w:rPr>
            <w:webHidden/>
          </w:rPr>
          <w:fldChar w:fldCharType="separate"/>
        </w:r>
        <w:r w:rsidR="00810AD0">
          <w:rPr>
            <w:webHidden/>
          </w:rPr>
          <w:t>4</w:t>
        </w:r>
        <w:r>
          <w:rPr>
            <w:webHidden/>
          </w:rPr>
          <w:fldChar w:fldCharType="end"/>
        </w:r>
      </w:hyperlink>
    </w:p>
    <w:p w14:paraId="09C61050" w14:textId="604ABB84"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17" w:history="1">
        <w:r w:rsidRPr="009E7F43">
          <w:rPr>
            <w:rStyle w:val="Hyperlink"/>
          </w:rPr>
          <w:t>5</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 xml:space="preserve">Monitoring and Event </w:t>
        </w:r>
        <w:r w:rsidRPr="009E7F43">
          <w:rPr>
            <w:rStyle w:val="Hyperlink"/>
            <w:rFonts w:cs="Telstra Akkurat"/>
          </w:rPr>
          <w:t>Management</w:t>
        </w:r>
        <w:r>
          <w:rPr>
            <w:webHidden/>
          </w:rPr>
          <w:tab/>
        </w:r>
        <w:r>
          <w:rPr>
            <w:webHidden/>
          </w:rPr>
          <w:fldChar w:fldCharType="begin"/>
        </w:r>
        <w:r>
          <w:rPr>
            <w:webHidden/>
          </w:rPr>
          <w:instrText xml:space="preserve"> PAGEREF _Toc160009017 \h </w:instrText>
        </w:r>
        <w:r>
          <w:rPr>
            <w:webHidden/>
          </w:rPr>
        </w:r>
        <w:r>
          <w:rPr>
            <w:webHidden/>
          </w:rPr>
          <w:fldChar w:fldCharType="separate"/>
        </w:r>
        <w:r w:rsidR="00810AD0">
          <w:rPr>
            <w:webHidden/>
          </w:rPr>
          <w:t>5</w:t>
        </w:r>
        <w:r>
          <w:rPr>
            <w:webHidden/>
          </w:rPr>
          <w:fldChar w:fldCharType="end"/>
        </w:r>
      </w:hyperlink>
    </w:p>
    <w:p w14:paraId="0E6C87E2" w14:textId="1D566300"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18" w:history="1">
        <w:r w:rsidRPr="009E7F43">
          <w:rPr>
            <w:rStyle w:val="Hyperlink"/>
          </w:rPr>
          <w:t>6</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 xml:space="preserve">Incident </w:t>
        </w:r>
        <w:r w:rsidRPr="009E7F43">
          <w:rPr>
            <w:rStyle w:val="Hyperlink"/>
            <w:rFonts w:cs="Telstra Akkurat"/>
          </w:rPr>
          <w:t>Management</w:t>
        </w:r>
        <w:r>
          <w:rPr>
            <w:webHidden/>
          </w:rPr>
          <w:tab/>
        </w:r>
        <w:r>
          <w:rPr>
            <w:webHidden/>
          </w:rPr>
          <w:fldChar w:fldCharType="begin"/>
        </w:r>
        <w:r>
          <w:rPr>
            <w:webHidden/>
          </w:rPr>
          <w:instrText xml:space="preserve"> PAGEREF _Toc160009018 \h </w:instrText>
        </w:r>
        <w:r>
          <w:rPr>
            <w:webHidden/>
          </w:rPr>
        </w:r>
        <w:r>
          <w:rPr>
            <w:webHidden/>
          </w:rPr>
          <w:fldChar w:fldCharType="separate"/>
        </w:r>
        <w:r w:rsidR="00810AD0">
          <w:rPr>
            <w:webHidden/>
          </w:rPr>
          <w:t>6</w:t>
        </w:r>
        <w:r>
          <w:rPr>
            <w:webHidden/>
          </w:rPr>
          <w:fldChar w:fldCharType="end"/>
        </w:r>
      </w:hyperlink>
    </w:p>
    <w:p w14:paraId="74A5B321" w14:textId="028E6A14"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19" w:history="1">
        <w:r w:rsidRPr="009E7F43">
          <w:rPr>
            <w:rStyle w:val="Hyperlink"/>
          </w:rPr>
          <w:t>Escalation to Third Party Providers</w:t>
        </w:r>
        <w:r>
          <w:rPr>
            <w:webHidden/>
          </w:rPr>
          <w:tab/>
        </w:r>
        <w:r>
          <w:rPr>
            <w:webHidden/>
          </w:rPr>
          <w:fldChar w:fldCharType="begin"/>
        </w:r>
        <w:r>
          <w:rPr>
            <w:webHidden/>
          </w:rPr>
          <w:instrText xml:space="preserve"> PAGEREF _Toc160009019 \h </w:instrText>
        </w:r>
        <w:r>
          <w:rPr>
            <w:webHidden/>
          </w:rPr>
        </w:r>
        <w:r>
          <w:rPr>
            <w:webHidden/>
          </w:rPr>
          <w:fldChar w:fldCharType="separate"/>
        </w:r>
        <w:r w:rsidR="00810AD0">
          <w:rPr>
            <w:webHidden/>
          </w:rPr>
          <w:t>8</w:t>
        </w:r>
        <w:r>
          <w:rPr>
            <w:webHidden/>
          </w:rPr>
          <w:fldChar w:fldCharType="end"/>
        </w:r>
      </w:hyperlink>
    </w:p>
    <w:p w14:paraId="13D5E483" w14:textId="7D9ECE40"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20" w:history="1">
        <w:r w:rsidRPr="009E7F43">
          <w:rPr>
            <w:rStyle w:val="Hyperlink"/>
          </w:rPr>
          <w:t>Escalation within Telstra</w:t>
        </w:r>
        <w:r>
          <w:rPr>
            <w:webHidden/>
          </w:rPr>
          <w:tab/>
        </w:r>
        <w:r>
          <w:rPr>
            <w:webHidden/>
          </w:rPr>
          <w:fldChar w:fldCharType="begin"/>
        </w:r>
        <w:r>
          <w:rPr>
            <w:webHidden/>
          </w:rPr>
          <w:instrText xml:space="preserve"> PAGEREF _Toc160009020 \h </w:instrText>
        </w:r>
        <w:r>
          <w:rPr>
            <w:webHidden/>
          </w:rPr>
        </w:r>
        <w:r>
          <w:rPr>
            <w:webHidden/>
          </w:rPr>
          <w:fldChar w:fldCharType="separate"/>
        </w:r>
        <w:r w:rsidR="00810AD0">
          <w:rPr>
            <w:webHidden/>
          </w:rPr>
          <w:t>8</w:t>
        </w:r>
        <w:r>
          <w:rPr>
            <w:webHidden/>
          </w:rPr>
          <w:fldChar w:fldCharType="end"/>
        </w:r>
      </w:hyperlink>
    </w:p>
    <w:p w14:paraId="0FAC423F" w14:textId="5D5ABA22"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21" w:history="1">
        <w:r w:rsidRPr="009E7F43">
          <w:rPr>
            <w:rStyle w:val="Hyperlink"/>
          </w:rPr>
          <w:t>Post Incident Review (PIR)</w:t>
        </w:r>
        <w:r>
          <w:rPr>
            <w:webHidden/>
          </w:rPr>
          <w:tab/>
        </w:r>
        <w:r>
          <w:rPr>
            <w:webHidden/>
          </w:rPr>
          <w:fldChar w:fldCharType="begin"/>
        </w:r>
        <w:r>
          <w:rPr>
            <w:webHidden/>
          </w:rPr>
          <w:instrText xml:space="preserve"> PAGEREF _Toc160009021 \h </w:instrText>
        </w:r>
        <w:r>
          <w:rPr>
            <w:webHidden/>
          </w:rPr>
        </w:r>
        <w:r>
          <w:rPr>
            <w:webHidden/>
          </w:rPr>
          <w:fldChar w:fldCharType="separate"/>
        </w:r>
        <w:r w:rsidR="00810AD0">
          <w:rPr>
            <w:webHidden/>
          </w:rPr>
          <w:t>8</w:t>
        </w:r>
        <w:r>
          <w:rPr>
            <w:webHidden/>
          </w:rPr>
          <w:fldChar w:fldCharType="end"/>
        </w:r>
      </w:hyperlink>
    </w:p>
    <w:p w14:paraId="5E761765" w14:textId="2860B9FC"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22" w:history="1">
        <w:r w:rsidRPr="009E7F43">
          <w:rPr>
            <w:rStyle w:val="Hyperlink"/>
          </w:rPr>
          <w:t>Your Responsibilities</w:t>
        </w:r>
        <w:r>
          <w:rPr>
            <w:webHidden/>
          </w:rPr>
          <w:tab/>
        </w:r>
        <w:r>
          <w:rPr>
            <w:webHidden/>
          </w:rPr>
          <w:fldChar w:fldCharType="begin"/>
        </w:r>
        <w:r>
          <w:rPr>
            <w:webHidden/>
          </w:rPr>
          <w:instrText xml:space="preserve"> PAGEREF _Toc160009022 \h </w:instrText>
        </w:r>
        <w:r>
          <w:rPr>
            <w:webHidden/>
          </w:rPr>
        </w:r>
        <w:r>
          <w:rPr>
            <w:webHidden/>
          </w:rPr>
          <w:fldChar w:fldCharType="separate"/>
        </w:r>
        <w:r w:rsidR="00810AD0">
          <w:rPr>
            <w:webHidden/>
          </w:rPr>
          <w:t>8</w:t>
        </w:r>
        <w:r>
          <w:rPr>
            <w:webHidden/>
          </w:rPr>
          <w:fldChar w:fldCharType="end"/>
        </w:r>
      </w:hyperlink>
    </w:p>
    <w:p w14:paraId="736C537B" w14:textId="1E176DE8"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23" w:history="1">
        <w:r w:rsidRPr="009E7F43">
          <w:rPr>
            <w:rStyle w:val="Hyperlink"/>
          </w:rPr>
          <w:t>7</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Problem Management</w:t>
        </w:r>
        <w:r>
          <w:rPr>
            <w:webHidden/>
          </w:rPr>
          <w:tab/>
        </w:r>
        <w:r>
          <w:rPr>
            <w:webHidden/>
          </w:rPr>
          <w:fldChar w:fldCharType="begin"/>
        </w:r>
        <w:r>
          <w:rPr>
            <w:webHidden/>
          </w:rPr>
          <w:instrText xml:space="preserve"> PAGEREF _Toc160009023 \h </w:instrText>
        </w:r>
        <w:r>
          <w:rPr>
            <w:webHidden/>
          </w:rPr>
        </w:r>
        <w:r>
          <w:rPr>
            <w:webHidden/>
          </w:rPr>
          <w:fldChar w:fldCharType="separate"/>
        </w:r>
        <w:r w:rsidR="00810AD0">
          <w:rPr>
            <w:webHidden/>
          </w:rPr>
          <w:t>8</w:t>
        </w:r>
        <w:r>
          <w:rPr>
            <w:webHidden/>
          </w:rPr>
          <w:fldChar w:fldCharType="end"/>
        </w:r>
      </w:hyperlink>
    </w:p>
    <w:p w14:paraId="1DCB9510" w14:textId="4634B10B"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24" w:history="1">
        <w:r w:rsidRPr="009E7F43">
          <w:rPr>
            <w:rStyle w:val="Hyperlink"/>
          </w:rPr>
          <w:t>Scheduled Maintenance</w:t>
        </w:r>
        <w:r>
          <w:rPr>
            <w:webHidden/>
          </w:rPr>
          <w:tab/>
        </w:r>
        <w:r>
          <w:rPr>
            <w:webHidden/>
          </w:rPr>
          <w:fldChar w:fldCharType="begin"/>
        </w:r>
        <w:r>
          <w:rPr>
            <w:webHidden/>
          </w:rPr>
          <w:instrText xml:space="preserve"> PAGEREF _Toc160009024 \h </w:instrText>
        </w:r>
        <w:r>
          <w:rPr>
            <w:webHidden/>
          </w:rPr>
        </w:r>
        <w:r>
          <w:rPr>
            <w:webHidden/>
          </w:rPr>
          <w:fldChar w:fldCharType="separate"/>
        </w:r>
        <w:r w:rsidR="00810AD0">
          <w:rPr>
            <w:webHidden/>
          </w:rPr>
          <w:t>9</w:t>
        </w:r>
        <w:r>
          <w:rPr>
            <w:webHidden/>
          </w:rPr>
          <w:fldChar w:fldCharType="end"/>
        </w:r>
      </w:hyperlink>
    </w:p>
    <w:p w14:paraId="26225890" w14:textId="2DB2A442"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25" w:history="1">
        <w:r w:rsidRPr="009E7F43">
          <w:rPr>
            <w:rStyle w:val="Hyperlink"/>
          </w:rPr>
          <w:t>Your Scheduled Maintenance</w:t>
        </w:r>
        <w:r>
          <w:rPr>
            <w:webHidden/>
          </w:rPr>
          <w:tab/>
        </w:r>
        <w:r>
          <w:rPr>
            <w:webHidden/>
          </w:rPr>
          <w:fldChar w:fldCharType="begin"/>
        </w:r>
        <w:r>
          <w:rPr>
            <w:webHidden/>
          </w:rPr>
          <w:instrText xml:space="preserve"> PAGEREF _Toc160009025 \h </w:instrText>
        </w:r>
        <w:r>
          <w:rPr>
            <w:webHidden/>
          </w:rPr>
        </w:r>
        <w:r>
          <w:rPr>
            <w:webHidden/>
          </w:rPr>
          <w:fldChar w:fldCharType="separate"/>
        </w:r>
        <w:r w:rsidR="00810AD0">
          <w:rPr>
            <w:webHidden/>
          </w:rPr>
          <w:t>9</w:t>
        </w:r>
        <w:r>
          <w:rPr>
            <w:webHidden/>
          </w:rPr>
          <w:fldChar w:fldCharType="end"/>
        </w:r>
      </w:hyperlink>
    </w:p>
    <w:p w14:paraId="0EAC464F" w14:textId="6F8C365C"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26" w:history="1">
        <w:r w:rsidRPr="009E7F43">
          <w:rPr>
            <w:rStyle w:val="Hyperlink"/>
          </w:rPr>
          <w:t>Our Scheduled Maintenance</w:t>
        </w:r>
        <w:r>
          <w:rPr>
            <w:webHidden/>
          </w:rPr>
          <w:tab/>
        </w:r>
        <w:r>
          <w:rPr>
            <w:webHidden/>
          </w:rPr>
          <w:fldChar w:fldCharType="begin"/>
        </w:r>
        <w:r>
          <w:rPr>
            <w:webHidden/>
          </w:rPr>
          <w:instrText xml:space="preserve"> PAGEREF _Toc160009026 \h </w:instrText>
        </w:r>
        <w:r>
          <w:rPr>
            <w:webHidden/>
          </w:rPr>
        </w:r>
        <w:r>
          <w:rPr>
            <w:webHidden/>
          </w:rPr>
          <w:fldChar w:fldCharType="separate"/>
        </w:r>
        <w:r w:rsidR="00810AD0">
          <w:rPr>
            <w:webHidden/>
          </w:rPr>
          <w:t>9</w:t>
        </w:r>
        <w:r>
          <w:rPr>
            <w:webHidden/>
          </w:rPr>
          <w:fldChar w:fldCharType="end"/>
        </w:r>
      </w:hyperlink>
    </w:p>
    <w:p w14:paraId="02120ECF" w14:textId="4CF5A18D"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27" w:history="1">
        <w:r w:rsidRPr="009E7F43">
          <w:rPr>
            <w:rStyle w:val="Hyperlink"/>
          </w:rPr>
          <w:t>Preventative Maintenance</w:t>
        </w:r>
        <w:r>
          <w:rPr>
            <w:webHidden/>
          </w:rPr>
          <w:tab/>
        </w:r>
        <w:r>
          <w:rPr>
            <w:webHidden/>
          </w:rPr>
          <w:fldChar w:fldCharType="begin"/>
        </w:r>
        <w:r>
          <w:rPr>
            <w:webHidden/>
          </w:rPr>
          <w:instrText xml:space="preserve"> PAGEREF _Toc160009027 \h </w:instrText>
        </w:r>
        <w:r>
          <w:rPr>
            <w:webHidden/>
          </w:rPr>
        </w:r>
        <w:r>
          <w:rPr>
            <w:webHidden/>
          </w:rPr>
          <w:fldChar w:fldCharType="separate"/>
        </w:r>
        <w:r w:rsidR="00810AD0">
          <w:rPr>
            <w:webHidden/>
          </w:rPr>
          <w:t>10</w:t>
        </w:r>
        <w:r>
          <w:rPr>
            <w:webHidden/>
          </w:rPr>
          <w:fldChar w:fldCharType="end"/>
        </w:r>
      </w:hyperlink>
    </w:p>
    <w:p w14:paraId="09CEC0F7" w14:textId="63342892"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28" w:history="1">
        <w:r w:rsidRPr="009E7F43">
          <w:rPr>
            <w:rStyle w:val="Hyperlink"/>
          </w:rPr>
          <w:t>8</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Service Request management</w:t>
        </w:r>
        <w:r>
          <w:rPr>
            <w:webHidden/>
          </w:rPr>
          <w:tab/>
        </w:r>
        <w:r>
          <w:rPr>
            <w:webHidden/>
          </w:rPr>
          <w:fldChar w:fldCharType="begin"/>
        </w:r>
        <w:r>
          <w:rPr>
            <w:webHidden/>
          </w:rPr>
          <w:instrText xml:space="preserve"> PAGEREF _Toc160009028 \h </w:instrText>
        </w:r>
        <w:r>
          <w:rPr>
            <w:webHidden/>
          </w:rPr>
        </w:r>
        <w:r>
          <w:rPr>
            <w:webHidden/>
          </w:rPr>
          <w:fldChar w:fldCharType="separate"/>
        </w:r>
        <w:r w:rsidR="00810AD0">
          <w:rPr>
            <w:webHidden/>
          </w:rPr>
          <w:t>10</w:t>
        </w:r>
        <w:r>
          <w:rPr>
            <w:webHidden/>
          </w:rPr>
          <w:fldChar w:fldCharType="end"/>
        </w:r>
      </w:hyperlink>
    </w:p>
    <w:p w14:paraId="5BCD8C30" w14:textId="60A64C93"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29" w:history="1">
        <w:r w:rsidRPr="009E7F43">
          <w:rPr>
            <w:rStyle w:val="Hyperlink"/>
          </w:rPr>
          <w:t>9</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Change Enablement</w:t>
        </w:r>
        <w:r>
          <w:rPr>
            <w:webHidden/>
          </w:rPr>
          <w:tab/>
        </w:r>
        <w:r>
          <w:rPr>
            <w:webHidden/>
          </w:rPr>
          <w:fldChar w:fldCharType="begin"/>
        </w:r>
        <w:r>
          <w:rPr>
            <w:webHidden/>
          </w:rPr>
          <w:instrText xml:space="preserve"> PAGEREF _Toc160009029 \h </w:instrText>
        </w:r>
        <w:r>
          <w:rPr>
            <w:webHidden/>
          </w:rPr>
        </w:r>
        <w:r>
          <w:rPr>
            <w:webHidden/>
          </w:rPr>
          <w:fldChar w:fldCharType="separate"/>
        </w:r>
        <w:r w:rsidR="00810AD0">
          <w:rPr>
            <w:webHidden/>
          </w:rPr>
          <w:t>11</w:t>
        </w:r>
        <w:r>
          <w:rPr>
            <w:webHidden/>
          </w:rPr>
          <w:fldChar w:fldCharType="end"/>
        </w:r>
      </w:hyperlink>
    </w:p>
    <w:p w14:paraId="7787F0B4" w14:textId="035F27F9"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30" w:history="1">
        <w:r w:rsidRPr="009E7F43">
          <w:rPr>
            <w:rStyle w:val="Hyperlink"/>
          </w:rPr>
          <w:t>Request for Change (RFC)</w:t>
        </w:r>
        <w:r>
          <w:rPr>
            <w:webHidden/>
          </w:rPr>
          <w:tab/>
        </w:r>
        <w:r>
          <w:rPr>
            <w:webHidden/>
          </w:rPr>
          <w:fldChar w:fldCharType="begin"/>
        </w:r>
        <w:r>
          <w:rPr>
            <w:webHidden/>
          </w:rPr>
          <w:instrText xml:space="preserve"> PAGEREF _Toc160009030 \h </w:instrText>
        </w:r>
        <w:r>
          <w:rPr>
            <w:webHidden/>
          </w:rPr>
        </w:r>
        <w:r>
          <w:rPr>
            <w:webHidden/>
          </w:rPr>
          <w:fldChar w:fldCharType="separate"/>
        </w:r>
        <w:r w:rsidR="00810AD0">
          <w:rPr>
            <w:webHidden/>
          </w:rPr>
          <w:t>11</w:t>
        </w:r>
        <w:r>
          <w:rPr>
            <w:webHidden/>
          </w:rPr>
          <w:fldChar w:fldCharType="end"/>
        </w:r>
      </w:hyperlink>
    </w:p>
    <w:p w14:paraId="352A3429" w14:textId="65A4EBA2"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31" w:history="1">
        <w:r w:rsidRPr="009E7F43">
          <w:rPr>
            <w:rStyle w:val="Hyperlink"/>
          </w:rPr>
          <w:t>Standard Changes</w:t>
        </w:r>
        <w:r>
          <w:rPr>
            <w:webHidden/>
          </w:rPr>
          <w:tab/>
        </w:r>
        <w:r>
          <w:rPr>
            <w:webHidden/>
          </w:rPr>
          <w:fldChar w:fldCharType="begin"/>
        </w:r>
        <w:r>
          <w:rPr>
            <w:webHidden/>
          </w:rPr>
          <w:instrText xml:space="preserve"> PAGEREF _Toc160009031 \h </w:instrText>
        </w:r>
        <w:r>
          <w:rPr>
            <w:webHidden/>
          </w:rPr>
        </w:r>
        <w:r>
          <w:rPr>
            <w:webHidden/>
          </w:rPr>
          <w:fldChar w:fldCharType="separate"/>
        </w:r>
        <w:r w:rsidR="00810AD0">
          <w:rPr>
            <w:webHidden/>
          </w:rPr>
          <w:t>11</w:t>
        </w:r>
        <w:r>
          <w:rPr>
            <w:webHidden/>
          </w:rPr>
          <w:fldChar w:fldCharType="end"/>
        </w:r>
      </w:hyperlink>
    </w:p>
    <w:p w14:paraId="2F1FCBA8" w14:textId="647E4000"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32" w:history="1">
        <w:r w:rsidRPr="009E7F43">
          <w:rPr>
            <w:rStyle w:val="Hyperlink"/>
          </w:rPr>
          <w:t>Emergency Changes</w:t>
        </w:r>
        <w:r>
          <w:rPr>
            <w:webHidden/>
          </w:rPr>
          <w:tab/>
        </w:r>
        <w:r>
          <w:rPr>
            <w:webHidden/>
          </w:rPr>
          <w:fldChar w:fldCharType="begin"/>
        </w:r>
        <w:r>
          <w:rPr>
            <w:webHidden/>
          </w:rPr>
          <w:instrText xml:space="preserve"> PAGEREF _Toc160009032 \h </w:instrText>
        </w:r>
        <w:r>
          <w:rPr>
            <w:webHidden/>
          </w:rPr>
        </w:r>
        <w:r>
          <w:rPr>
            <w:webHidden/>
          </w:rPr>
          <w:fldChar w:fldCharType="separate"/>
        </w:r>
        <w:r w:rsidR="00810AD0">
          <w:rPr>
            <w:webHidden/>
          </w:rPr>
          <w:t>12</w:t>
        </w:r>
        <w:r>
          <w:rPr>
            <w:webHidden/>
          </w:rPr>
          <w:fldChar w:fldCharType="end"/>
        </w:r>
      </w:hyperlink>
    </w:p>
    <w:p w14:paraId="71D4BFCC" w14:textId="3373F586"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33" w:history="1">
        <w:r w:rsidRPr="009E7F43">
          <w:rPr>
            <w:rStyle w:val="Hyperlink"/>
          </w:rPr>
          <w:t>Normal Changes</w:t>
        </w:r>
        <w:r>
          <w:rPr>
            <w:webHidden/>
          </w:rPr>
          <w:tab/>
        </w:r>
        <w:r>
          <w:rPr>
            <w:webHidden/>
          </w:rPr>
          <w:fldChar w:fldCharType="begin"/>
        </w:r>
        <w:r>
          <w:rPr>
            <w:webHidden/>
          </w:rPr>
          <w:instrText xml:space="preserve"> PAGEREF _Toc160009033 \h </w:instrText>
        </w:r>
        <w:r>
          <w:rPr>
            <w:webHidden/>
          </w:rPr>
        </w:r>
        <w:r>
          <w:rPr>
            <w:webHidden/>
          </w:rPr>
          <w:fldChar w:fldCharType="separate"/>
        </w:r>
        <w:r w:rsidR="00810AD0">
          <w:rPr>
            <w:webHidden/>
          </w:rPr>
          <w:t>12</w:t>
        </w:r>
        <w:r>
          <w:rPr>
            <w:webHidden/>
          </w:rPr>
          <w:fldChar w:fldCharType="end"/>
        </w:r>
      </w:hyperlink>
    </w:p>
    <w:p w14:paraId="09CEF82A" w14:textId="23AE51A4"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34" w:history="1">
        <w:r w:rsidRPr="009E7F43">
          <w:rPr>
            <w:rStyle w:val="Hyperlink"/>
          </w:rPr>
          <w:t>10</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Release Management</w:t>
        </w:r>
        <w:r>
          <w:rPr>
            <w:webHidden/>
          </w:rPr>
          <w:tab/>
        </w:r>
        <w:r>
          <w:rPr>
            <w:webHidden/>
          </w:rPr>
          <w:fldChar w:fldCharType="begin"/>
        </w:r>
        <w:r>
          <w:rPr>
            <w:webHidden/>
          </w:rPr>
          <w:instrText xml:space="preserve"> PAGEREF _Toc160009034 \h </w:instrText>
        </w:r>
        <w:r>
          <w:rPr>
            <w:webHidden/>
          </w:rPr>
        </w:r>
        <w:r>
          <w:rPr>
            <w:webHidden/>
          </w:rPr>
          <w:fldChar w:fldCharType="separate"/>
        </w:r>
        <w:r w:rsidR="00810AD0">
          <w:rPr>
            <w:webHidden/>
          </w:rPr>
          <w:t>13</w:t>
        </w:r>
        <w:r>
          <w:rPr>
            <w:webHidden/>
          </w:rPr>
          <w:fldChar w:fldCharType="end"/>
        </w:r>
      </w:hyperlink>
    </w:p>
    <w:p w14:paraId="64130AE5" w14:textId="2760A826"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35" w:history="1">
        <w:r w:rsidRPr="009E7F43">
          <w:rPr>
            <w:rStyle w:val="Hyperlink"/>
          </w:rPr>
          <w:t>11</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Deployment Management</w:t>
        </w:r>
        <w:r>
          <w:rPr>
            <w:webHidden/>
          </w:rPr>
          <w:tab/>
        </w:r>
        <w:r>
          <w:rPr>
            <w:webHidden/>
          </w:rPr>
          <w:fldChar w:fldCharType="begin"/>
        </w:r>
        <w:r>
          <w:rPr>
            <w:webHidden/>
          </w:rPr>
          <w:instrText xml:space="preserve"> PAGEREF _Toc160009035 \h </w:instrText>
        </w:r>
        <w:r>
          <w:rPr>
            <w:webHidden/>
          </w:rPr>
        </w:r>
        <w:r>
          <w:rPr>
            <w:webHidden/>
          </w:rPr>
          <w:fldChar w:fldCharType="separate"/>
        </w:r>
        <w:r w:rsidR="00810AD0">
          <w:rPr>
            <w:webHidden/>
          </w:rPr>
          <w:t>13</w:t>
        </w:r>
        <w:r>
          <w:rPr>
            <w:webHidden/>
          </w:rPr>
          <w:fldChar w:fldCharType="end"/>
        </w:r>
      </w:hyperlink>
    </w:p>
    <w:p w14:paraId="4995D067" w14:textId="4B962A7B"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36" w:history="1">
        <w:r w:rsidRPr="009E7F43">
          <w:rPr>
            <w:rStyle w:val="Hyperlink"/>
          </w:rPr>
          <w:t>12</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Capacity AND PERFORMANCE Management</w:t>
        </w:r>
        <w:r>
          <w:rPr>
            <w:webHidden/>
          </w:rPr>
          <w:tab/>
        </w:r>
        <w:r>
          <w:rPr>
            <w:webHidden/>
          </w:rPr>
          <w:fldChar w:fldCharType="begin"/>
        </w:r>
        <w:r>
          <w:rPr>
            <w:webHidden/>
          </w:rPr>
          <w:instrText xml:space="preserve"> PAGEREF _Toc160009036 \h </w:instrText>
        </w:r>
        <w:r>
          <w:rPr>
            <w:webHidden/>
          </w:rPr>
        </w:r>
        <w:r>
          <w:rPr>
            <w:webHidden/>
          </w:rPr>
          <w:fldChar w:fldCharType="separate"/>
        </w:r>
        <w:r w:rsidR="00810AD0">
          <w:rPr>
            <w:webHidden/>
          </w:rPr>
          <w:t>14</w:t>
        </w:r>
        <w:r>
          <w:rPr>
            <w:webHidden/>
          </w:rPr>
          <w:fldChar w:fldCharType="end"/>
        </w:r>
      </w:hyperlink>
    </w:p>
    <w:p w14:paraId="1368D7C3" w14:textId="285BAE3B"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37" w:history="1">
        <w:r w:rsidRPr="009E7F43">
          <w:rPr>
            <w:rStyle w:val="Hyperlink"/>
          </w:rPr>
          <w:t>13</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Service Level Management</w:t>
        </w:r>
        <w:r>
          <w:rPr>
            <w:webHidden/>
          </w:rPr>
          <w:tab/>
        </w:r>
        <w:r>
          <w:rPr>
            <w:webHidden/>
          </w:rPr>
          <w:fldChar w:fldCharType="begin"/>
        </w:r>
        <w:r>
          <w:rPr>
            <w:webHidden/>
          </w:rPr>
          <w:instrText xml:space="preserve"> PAGEREF _Toc160009037 \h </w:instrText>
        </w:r>
        <w:r>
          <w:rPr>
            <w:webHidden/>
          </w:rPr>
        </w:r>
        <w:r>
          <w:rPr>
            <w:webHidden/>
          </w:rPr>
          <w:fldChar w:fldCharType="separate"/>
        </w:r>
        <w:r w:rsidR="00810AD0">
          <w:rPr>
            <w:webHidden/>
          </w:rPr>
          <w:t>14</w:t>
        </w:r>
        <w:r>
          <w:rPr>
            <w:webHidden/>
          </w:rPr>
          <w:fldChar w:fldCharType="end"/>
        </w:r>
      </w:hyperlink>
    </w:p>
    <w:p w14:paraId="382A0D3C" w14:textId="5799E92D"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38" w:history="1">
        <w:r w:rsidRPr="009E7F43">
          <w:rPr>
            <w:rStyle w:val="Hyperlink"/>
          </w:rPr>
          <w:t>Service Level Commencement, Reporting and Application</w:t>
        </w:r>
        <w:r>
          <w:rPr>
            <w:webHidden/>
          </w:rPr>
          <w:tab/>
        </w:r>
        <w:r>
          <w:rPr>
            <w:webHidden/>
          </w:rPr>
          <w:fldChar w:fldCharType="begin"/>
        </w:r>
        <w:r>
          <w:rPr>
            <w:webHidden/>
          </w:rPr>
          <w:instrText xml:space="preserve"> PAGEREF _Toc160009038 \h </w:instrText>
        </w:r>
        <w:r>
          <w:rPr>
            <w:webHidden/>
          </w:rPr>
        </w:r>
        <w:r>
          <w:rPr>
            <w:webHidden/>
          </w:rPr>
          <w:fldChar w:fldCharType="separate"/>
        </w:r>
        <w:r w:rsidR="00810AD0">
          <w:rPr>
            <w:webHidden/>
          </w:rPr>
          <w:t>15</w:t>
        </w:r>
        <w:r>
          <w:rPr>
            <w:webHidden/>
          </w:rPr>
          <w:fldChar w:fldCharType="end"/>
        </w:r>
      </w:hyperlink>
    </w:p>
    <w:p w14:paraId="404A95E2" w14:textId="1A23662A"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39" w:history="1">
        <w:r w:rsidRPr="009E7F43">
          <w:rPr>
            <w:rStyle w:val="Hyperlink"/>
          </w:rPr>
          <w:t>Service Level Exclusions</w:t>
        </w:r>
        <w:r>
          <w:rPr>
            <w:webHidden/>
          </w:rPr>
          <w:tab/>
        </w:r>
        <w:r>
          <w:rPr>
            <w:webHidden/>
          </w:rPr>
          <w:fldChar w:fldCharType="begin"/>
        </w:r>
        <w:r>
          <w:rPr>
            <w:webHidden/>
          </w:rPr>
          <w:instrText xml:space="preserve"> PAGEREF _Toc160009039 \h </w:instrText>
        </w:r>
        <w:r>
          <w:rPr>
            <w:webHidden/>
          </w:rPr>
        </w:r>
        <w:r>
          <w:rPr>
            <w:webHidden/>
          </w:rPr>
          <w:fldChar w:fldCharType="separate"/>
        </w:r>
        <w:r w:rsidR="00810AD0">
          <w:rPr>
            <w:webHidden/>
          </w:rPr>
          <w:t>15</w:t>
        </w:r>
        <w:r>
          <w:rPr>
            <w:webHidden/>
          </w:rPr>
          <w:fldChar w:fldCharType="end"/>
        </w:r>
      </w:hyperlink>
    </w:p>
    <w:p w14:paraId="0864C5D6" w14:textId="052156DE"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40" w:history="1">
        <w:r w:rsidRPr="009E7F43">
          <w:rPr>
            <w:rStyle w:val="Hyperlink"/>
          </w:rPr>
          <w:t>14</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Measurement and Reporting</w:t>
        </w:r>
        <w:r>
          <w:rPr>
            <w:webHidden/>
          </w:rPr>
          <w:tab/>
        </w:r>
        <w:r>
          <w:rPr>
            <w:webHidden/>
          </w:rPr>
          <w:fldChar w:fldCharType="begin"/>
        </w:r>
        <w:r>
          <w:rPr>
            <w:webHidden/>
          </w:rPr>
          <w:instrText xml:space="preserve"> PAGEREF _Toc160009040 \h </w:instrText>
        </w:r>
        <w:r>
          <w:rPr>
            <w:webHidden/>
          </w:rPr>
        </w:r>
        <w:r>
          <w:rPr>
            <w:webHidden/>
          </w:rPr>
          <w:fldChar w:fldCharType="separate"/>
        </w:r>
        <w:r w:rsidR="00810AD0">
          <w:rPr>
            <w:webHidden/>
          </w:rPr>
          <w:t>16</w:t>
        </w:r>
        <w:r>
          <w:rPr>
            <w:webHidden/>
          </w:rPr>
          <w:fldChar w:fldCharType="end"/>
        </w:r>
      </w:hyperlink>
    </w:p>
    <w:p w14:paraId="1D066834" w14:textId="1D9AE024"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41" w:history="1">
        <w:r w:rsidRPr="009E7F43">
          <w:rPr>
            <w:rStyle w:val="Hyperlink"/>
          </w:rPr>
          <w:t>15</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relationship Management</w:t>
        </w:r>
        <w:r>
          <w:rPr>
            <w:webHidden/>
          </w:rPr>
          <w:tab/>
        </w:r>
        <w:r>
          <w:rPr>
            <w:webHidden/>
          </w:rPr>
          <w:fldChar w:fldCharType="begin"/>
        </w:r>
        <w:r>
          <w:rPr>
            <w:webHidden/>
          </w:rPr>
          <w:instrText xml:space="preserve"> PAGEREF _Toc160009041 \h </w:instrText>
        </w:r>
        <w:r>
          <w:rPr>
            <w:webHidden/>
          </w:rPr>
        </w:r>
        <w:r>
          <w:rPr>
            <w:webHidden/>
          </w:rPr>
          <w:fldChar w:fldCharType="separate"/>
        </w:r>
        <w:r w:rsidR="00810AD0">
          <w:rPr>
            <w:webHidden/>
          </w:rPr>
          <w:t>16</w:t>
        </w:r>
        <w:r>
          <w:rPr>
            <w:webHidden/>
          </w:rPr>
          <w:fldChar w:fldCharType="end"/>
        </w:r>
      </w:hyperlink>
    </w:p>
    <w:p w14:paraId="19D854FB" w14:textId="58B714CE"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42" w:history="1">
        <w:r w:rsidRPr="009E7F43">
          <w:rPr>
            <w:rStyle w:val="Hyperlink"/>
          </w:rPr>
          <w:t>Service Transition</w:t>
        </w:r>
        <w:r>
          <w:rPr>
            <w:webHidden/>
          </w:rPr>
          <w:tab/>
        </w:r>
        <w:r>
          <w:rPr>
            <w:webHidden/>
          </w:rPr>
          <w:fldChar w:fldCharType="begin"/>
        </w:r>
        <w:r>
          <w:rPr>
            <w:webHidden/>
          </w:rPr>
          <w:instrText xml:space="preserve"> PAGEREF _Toc160009042 \h </w:instrText>
        </w:r>
        <w:r>
          <w:rPr>
            <w:webHidden/>
          </w:rPr>
        </w:r>
        <w:r>
          <w:rPr>
            <w:webHidden/>
          </w:rPr>
          <w:fldChar w:fldCharType="separate"/>
        </w:r>
        <w:r w:rsidR="00810AD0">
          <w:rPr>
            <w:webHidden/>
          </w:rPr>
          <w:t>17</w:t>
        </w:r>
        <w:r>
          <w:rPr>
            <w:webHidden/>
          </w:rPr>
          <w:fldChar w:fldCharType="end"/>
        </w:r>
      </w:hyperlink>
    </w:p>
    <w:p w14:paraId="1B40DC9B" w14:textId="36E672FC"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43" w:history="1">
        <w:r w:rsidRPr="009E7F43">
          <w:rPr>
            <w:rStyle w:val="Hyperlink"/>
          </w:rPr>
          <w:t>Service Review</w:t>
        </w:r>
        <w:r>
          <w:rPr>
            <w:webHidden/>
          </w:rPr>
          <w:tab/>
        </w:r>
        <w:r>
          <w:rPr>
            <w:webHidden/>
          </w:rPr>
          <w:fldChar w:fldCharType="begin"/>
        </w:r>
        <w:r>
          <w:rPr>
            <w:webHidden/>
          </w:rPr>
          <w:instrText xml:space="preserve"> PAGEREF _Toc160009043 \h </w:instrText>
        </w:r>
        <w:r>
          <w:rPr>
            <w:webHidden/>
          </w:rPr>
        </w:r>
        <w:r>
          <w:rPr>
            <w:webHidden/>
          </w:rPr>
          <w:fldChar w:fldCharType="separate"/>
        </w:r>
        <w:r w:rsidR="00810AD0">
          <w:rPr>
            <w:webHidden/>
          </w:rPr>
          <w:t>17</w:t>
        </w:r>
        <w:r>
          <w:rPr>
            <w:webHidden/>
          </w:rPr>
          <w:fldChar w:fldCharType="end"/>
        </w:r>
      </w:hyperlink>
    </w:p>
    <w:p w14:paraId="225BDB5C" w14:textId="47AA6EE3"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44" w:history="1">
        <w:r w:rsidRPr="009E7F43">
          <w:rPr>
            <w:rStyle w:val="Hyperlink"/>
          </w:rPr>
          <w:t>Continual Service Improvement</w:t>
        </w:r>
        <w:r>
          <w:rPr>
            <w:webHidden/>
          </w:rPr>
          <w:tab/>
        </w:r>
        <w:r>
          <w:rPr>
            <w:webHidden/>
          </w:rPr>
          <w:fldChar w:fldCharType="begin"/>
        </w:r>
        <w:r>
          <w:rPr>
            <w:webHidden/>
          </w:rPr>
          <w:instrText xml:space="preserve"> PAGEREF _Toc160009044 \h </w:instrText>
        </w:r>
        <w:r>
          <w:rPr>
            <w:webHidden/>
          </w:rPr>
        </w:r>
        <w:r>
          <w:rPr>
            <w:webHidden/>
          </w:rPr>
          <w:fldChar w:fldCharType="separate"/>
        </w:r>
        <w:r w:rsidR="00810AD0">
          <w:rPr>
            <w:webHidden/>
          </w:rPr>
          <w:t>18</w:t>
        </w:r>
        <w:r>
          <w:rPr>
            <w:webHidden/>
          </w:rPr>
          <w:fldChar w:fldCharType="end"/>
        </w:r>
      </w:hyperlink>
    </w:p>
    <w:p w14:paraId="38FB22FA" w14:textId="18507A93"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45" w:history="1">
        <w:r w:rsidRPr="009E7F43">
          <w:rPr>
            <w:rStyle w:val="Hyperlink"/>
          </w:rPr>
          <w:t>16</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Telstra Purple Hosting and Connectivity Services</w:t>
        </w:r>
        <w:r>
          <w:rPr>
            <w:webHidden/>
          </w:rPr>
          <w:tab/>
        </w:r>
        <w:r>
          <w:rPr>
            <w:webHidden/>
          </w:rPr>
          <w:fldChar w:fldCharType="begin"/>
        </w:r>
        <w:r>
          <w:rPr>
            <w:webHidden/>
          </w:rPr>
          <w:instrText xml:space="preserve"> PAGEREF _Toc160009045 \h </w:instrText>
        </w:r>
        <w:r>
          <w:rPr>
            <w:webHidden/>
          </w:rPr>
        </w:r>
        <w:r>
          <w:rPr>
            <w:webHidden/>
          </w:rPr>
          <w:fldChar w:fldCharType="separate"/>
        </w:r>
        <w:r w:rsidR="00810AD0">
          <w:rPr>
            <w:webHidden/>
          </w:rPr>
          <w:t>18</w:t>
        </w:r>
        <w:r>
          <w:rPr>
            <w:webHidden/>
          </w:rPr>
          <w:fldChar w:fldCharType="end"/>
        </w:r>
      </w:hyperlink>
    </w:p>
    <w:p w14:paraId="1579A066" w14:textId="261160C2"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46" w:history="1">
        <w:r w:rsidRPr="009E7F43">
          <w:rPr>
            <w:rStyle w:val="Hyperlink"/>
          </w:rPr>
          <w:t>Pre-requisites and requirements</w:t>
        </w:r>
        <w:r>
          <w:rPr>
            <w:webHidden/>
          </w:rPr>
          <w:tab/>
        </w:r>
        <w:r>
          <w:rPr>
            <w:webHidden/>
          </w:rPr>
          <w:fldChar w:fldCharType="begin"/>
        </w:r>
        <w:r>
          <w:rPr>
            <w:webHidden/>
          </w:rPr>
          <w:instrText xml:space="preserve"> PAGEREF _Toc160009046 \h </w:instrText>
        </w:r>
        <w:r>
          <w:rPr>
            <w:webHidden/>
          </w:rPr>
        </w:r>
        <w:r>
          <w:rPr>
            <w:webHidden/>
          </w:rPr>
          <w:fldChar w:fldCharType="separate"/>
        </w:r>
        <w:r w:rsidR="00810AD0">
          <w:rPr>
            <w:webHidden/>
          </w:rPr>
          <w:t>18</w:t>
        </w:r>
        <w:r>
          <w:rPr>
            <w:webHidden/>
          </w:rPr>
          <w:fldChar w:fldCharType="end"/>
        </w:r>
      </w:hyperlink>
    </w:p>
    <w:p w14:paraId="760B18C8" w14:textId="04D28B4C"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47" w:history="1">
        <w:r w:rsidRPr="009E7F43">
          <w:rPr>
            <w:rStyle w:val="Hyperlink"/>
          </w:rPr>
          <w:t>Your responsibilities</w:t>
        </w:r>
        <w:r>
          <w:rPr>
            <w:webHidden/>
          </w:rPr>
          <w:tab/>
        </w:r>
        <w:r>
          <w:rPr>
            <w:webHidden/>
          </w:rPr>
          <w:fldChar w:fldCharType="begin"/>
        </w:r>
        <w:r>
          <w:rPr>
            <w:webHidden/>
          </w:rPr>
          <w:instrText xml:space="preserve"> PAGEREF _Toc160009047 \h </w:instrText>
        </w:r>
        <w:r>
          <w:rPr>
            <w:webHidden/>
          </w:rPr>
        </w:r>
        <w:r>
          <w:rPr>
            <w:webHidden/>
          </w:rPr>
          <w:fldChar w:fldCharType="separate"/>
        </w:r>
        <w:r w:rsidR="00810AD0">
          <w:rPr>
            <w:webHidden/>
          </w:rPr>
          <w:t>20</w:t>
        </w:r>
        <w:r>
          <w:rPr>
            <w:webHidden/>
          </w:rPr>
          <w:fldChar w:fldCharType="end"/>
        </w:r>
      </w:hyperlink>
    </w:p>
    <w:p w14:paraId="22C2A58C" w14:textId="770B85EF"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48" w:history="1">
        <w:r w:rsidRPr="009E7F43">
          <w:rPr>
            <w:rStyle w:val="Hyperlink"/>
          </w:rPr>
          <w:t>Restrictions and limitations</w:t>
        </w:r>
        <w:r>
          <w:rPr>
            <w:webHidden/>
          </w:rPr>
          <w:tab/>
        </w:r>
        <w:r>
          <w:rPr>
            <w:webHidden/>
          </w:rPr>
          <w:fldChar w:fldCharType="begin"/>
        </w:r>
        <w:r>
          <w:rPr>
            <w:webHidden/>
          </w:rPr>
          <w:instrText xml:space="preserve"> PAGEREF _Toc160009048 \h </w:instrText>
        </w:r>
        <w:r>
          <w:rPr>
            <w:webHidden/>
          </w:rPr>
        </w:r>
        <w:r>
          <w:rPr>
            <w:webHidden/>
          </w:rPr>
          <w:fldChar w:fldCharType="separate"/>
        </w:r>
        <w:r w:rsidR="00810AD0">
          <w:rPr>
            <w:webHidden/>
          </w:rPr>
          <w:t>21</w:t>
        </w:r>
        <w:r>
          <w:rPr>
            <w:webHidden/>
          </w:rPr>
          <w:fldChar w:fldCharType="end"/>
        </w:r>
      </w:hyperlink>
    </w:p>
    <w:p w14:paraId="2055AD20" w14:textId="6EB5FC2B"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49" w:history="1">
        <w:r w:rsidRPr="009E7F43">
          <w:rPr>
            <w:rStyle w:val="Hyperlink"/>
          </w:rPr>
          <w:t>Agreed Data Locations</w:t>
        </w:r>
        <w:r>
          <w:rPr>
            <w:webHidden/>
          </w:rPr>
          <w:tab/>
        </w:r>
        <w:r>
          <w:rPr>
            <w:webHidden/>
          </w:rPr>
          <w:fldChar w:fldCharType="begin"/>
        </w:r>
        <w:r>
          <w:rPr>
            <w:webHidden/>
          </w:rPr>
          <w:instrText xml:space="preserve"> PAGEREF _Toc160009049 \h </w:instrText>
        </w:r>
        <w:r>
          <w:rPr>
            <w:webHidden/>
          </w:rPr>
        </w:r>
        <w:r>
          <w:rPr>
            <w:webHidden/>
          </w:rPr>
          <w:fldChar w:fldCharType="separate"/>
        </w:r>
        <w:r w:rsidR="00810AD0">
          <w:rPr>
            <w:webHidden/>
          </w:rPr>
          <w:t>22</w:t>
        </w:r>
        <w:r>
          <w:rPr>
            <w:webHidden/>
          </w:rPr>
          <w:fldChar w:fldCharType="end"/>
        </w:r>
      </w:hyperlink>
    </w:p>
    <w:p w14:paraId="11DF601F" w14:textId="1C73618C"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50" w:history="1">
        <w:r w:rsidRPr="009E7F43">
          <w:rPr>
            <w:rStyle w:val="Hyperlink"/>
          </w:rPr>
          <w:t>Scheduled maintenance</w:t>
        </w:r>
        <w:r>
          <w:rPr>
            <w:webHidden/>
          </w:rPr>
          <w:tab/>
        </w:r>
        <w:r>
          <w:rPr>
            <w:webHidden/>
          </w:rPr>
          <w:fldChar w:fldCharType="begin"/>
        </w:r>
        <w:r>
          <w:rPr>
            <w:webHidden/>
          </w:rPr>
          <w:instrText xml:space="preserve"> PAGEREF _Toc160009050 \h </w:instrText>
        </w:r>
        <w:r>
          <w:rPr>
            <w:webHidden/>
          </w:rPr>
        </w:r>
        <w:r>
          <w:rPr>
            <w:webHidden/>
          </w:rPr>
          <w:fldChar w:fldCharType="separate"/>
        </w:r>
        <w:r w:rsidR="00810AD0">
          <w:rPr>
            <w:webHidden/>
          </w:rPr>
          <w:t>22</w:t>
        </w:r>
        <w:r>
          <w:rPr>
            <w:webHidden/>
          </w:rPr>
          <w:fldChar w:fldCharType="end"/>
        </w:r>
      </w:hyperlink>
    </w:p>
    <w:p w14:paraId="41774148" w14:textId="5CA599A9"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51" w:history="1">
        <w:r w:rsidRPr="009E7F43">
          <w:rPr>
            <w:rStyle w:val="Hyperlink"/>
          </w:rPr>
          <w:t>Disengagement services</w:t>
        </w:r>
        <w:r>
          <w:rPr>
            <w:webHidden/>
          </w:rPr>
          <w:tab/>
        </w:r>
        <w:r>
          <w:rPr>
            <w:webHidden/>
          </w:rPr>
          <w:fldChar w:fldCharType="begin"/>
        </w:r>
        <w:r>
          <w:rPr>
            <w:webHidden/>
          </w:rPr>
          <w:instrText xml:space="preserve"> PAGEREF _Toc160009051 \h </w:instrText>
        </w:r>
        <w:r>
          <w:rPr>
            <w:webHidden/>
          </w:rPr>
        </w:r>
        <w:r>
          <w:rPr>
            <w:webHidden/>
          </w:rPr>
          <w:fldChar w:fldCharType="separate"/>
        </w:r>
        <w:r w:rsidR="00810AD0">
          <w:rPr>
            <w:webHidden/>
          </w:rPr>
          <w:t>22</w:t>
        </w:r>
        <w:r>
          <w:rPr>
            <w:webHidden/>
          </w:rPr>
          <w:fldChar w:fldCharType="end"/>
        </w:r>
      </w:hyperlink>
    </w:p>
    <w:p w14:paraId="17102D97" w14:textId="4AA79D71"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52" w:history="1">
        <w:r w:rsidRPr="009E7F43">
          <w:rPr>
            <w:rStyle w:val="Hyperlink"/>
          </w:rPr>
          <w:t>17</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Your Obligations</w:t>
        </w:r>
        <w:r>
          <w:rPr>
            <w:webHidden/>
          </w:rPr>
          <w:tab/>
        </w:r>
        <w:r>
          <w:rPr>
            <w:webHidden/>
          </w:rPr>
          <w:fldChar w:fldCharType="begin"/>
        </w:r>
        <w:r>
          <w:rPr>
            <w:webHidden/>
          </w:rPr>
          <w:instrText xml:space="preserve"> PAGEREF _Toc160009052 \h </w:instrText>
        </w:r>
        <w:r>
          <w:rPr>
            <w:webHidden/>
          </w:rPr>
        </w:r>
        <w:r>
          <w:rPr>
            <w:webHidden/>
          </w:rPr>
          <w:fldChar w:fldCharType="separate"/>
        </w:r>
        <w:r w:rsidR="00810AD0">
          <w:rPr>
            <w:webHidden/>
          </w:rPr>
          <w:t>23</w:t>
        </w:r>
        <w:r>
          <w:rPr>
            <w:webHidden/>
          </w:rPr>
          <w:fldChar w:fldCharType="end"/>
        </w:r>
      </w:hyperlink>
    </w:p>
    <w:p w14:paraId="62B1C9CD" w14:textId="603109A1"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53" w:history="1">
        <w:r w:rsidRPr="009E7F43">
          <w:rPr>
            <w:rStyle w:val="Hyperlink"/>
          </w:rPr>
          <w:t>18</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Exclusions</w:t>
        </w:r>
        <w:r>
          <w:rPr>
            <w:webHidden/>
          </w:rPr>
          <w:tab/>
        </w:r>
        <w:r>
          <w:rPr>
            <w:webHidden/>
          </w:rPr>
          <w:fldChar w:fldCharType="begin"/>
        </w:r>
        <w:r>
          <w:rPr>
            <w:webHidden/>
          </w:rPr>
          <w:instrText xml:space="preserve"> PAGEREF _Toc160009053 \h </w:instrText>
        </w:r>
        <w:r>
          <w:rPr>
            <w:webHidden/>
          </w:rPr>
        </w:r>
        <w:r>
          <w:rPr>
            <w:webHidden/>
          </w:rPr>
          <w:fldChar w:fldCharType="separate"/>
        </w:r>
        <w:r w:rsidR="00810AD0">
          <w:rPr>
            <w:webHidden/>
          </w:rPr>
          <w:t>25</w:t>
        </w:r>
        <w:r>
          <w:rPr>
            <w:webHidden/>
          </w:rPr>
          <w:fldChar w:fldCharType="end"/>
        </w:r>
      </w:hyperlink>
    </w:p>
    <w:p w14:paraId="5997B668" w14:textId="665624D9"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54" w:history="1">
        <w:r w:rsidRPr="009E7F43">
          <w:rPr>
            <w:rStyle w:val="Hyperlink"/>
          </w:rPr>
          <w:t>19</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Charges</w:t>
        </w:r>
        <w:r>
          <w:rPr>
            <w:webHidden/>
          </w:rPr>
          <w:tab/>
        </w:r>
        <w:r>
          <w:rPr>
            <w:webHidden/>
          </w:rPr>
          <w:fldChar w:fldCharType="begin"/>
        </w:r>
        <w:r>
          <w:rPr>
            <w:webHidden/>
          </w:rPr>
          <w:instrText xml:space="preserve"> PAGEREF _Toc160009054 \h </w:instrText>
        </w:r>
        <w:r>
          <w:rPr>
            <w:webHidden/>
          </w:rPr>
        </w:r>
        <w:r>
          <w:rPr>
            <w:webHidden/>
          </w:rPr>
          <w:fldChar w:fldCharType="separate"/>
        </w:r>
        <w:r w:rsidR="00810AD0">
          <w:rPr>
            <w:webHidden/>
          </w:rPr>
          <w:t>26</w:t>
        </w:r>
        <w:r>
          <w:rPr>
            <w:webHidden/>
          </w:rPr>
          <w:fldChar w:fldCharType="end"/>
        </w:r>
      </w:hyperlink>
    </w:p>
    <w:p w14:paraId="2C3D9411" w14:textId="08F6722E"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55" w:history="1">
        <w:r w:rsidRPr="009E7F43">
          <w:rPr>
            <w:rStyle w:val="Hyperlink"/>
          </w:rPr>
          <w:t>Annual Rate Review</w:t>
        </w:r>
        <w:r>
          <w:rPr>
            <w:webHidden/>
          </w:rPr>
          <w:tab/>
        </w:r>
        <w:r>
          <w:rPr>
            <w:webHidden/>
          </w:rPr>
          <w:fldChar w:fldCharType="begin"/>
        </w:r>
        <w:r>
          <w:rPr>
            <w:webHidden/>
          </w:rPr>
          <w:instrText xml:space="preserve"> PAGEREF _Toc160009055 \h </w:instrText>
        </w:r>
        <w:r>
          <w:rPr>
            <w:webHidden/>
          </w:rPr>
        </w:r>
        <w:r>
          <w:rPr>
            <w:webHidden/>
          </w:rPr>
          <w:fldChar w:fldCharType="separate"/>
        </w:r>
        <w:r w:rsidR="00810AD0">
          <w:rPr>
            <w:webHidden/>
          </w:rPr>
          <w:t>26</w:t>
        </w:r>
        <w:r>
          <w:rPr>
            <w:webHidden/>
          </w:rPr>
          <w:fldChar w:fldCharType="end"/>
        </w:r>
      </w:hyperlink>
    </w:p>
    <w:p w14:paraId="51661350" w14:textId="6432142F"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56" w:history="1">
        <w:r w:rsidRPr="009E7F43">
          <w:rPr>
            <w:rStyle w:val="Hyperlink"/>
          </w:rPr>
          <w:t>Cost of Third Party Goods and Services</w:t>
        </w:r>
        <w:r>
          <w:rPr>
            <w:webHidden/>
          </w:rPr>
          <w:tab/>
        </w:r>
        <w:r>
          <w:rPr>
            <w:webHidden/>
          </w:rPr>
          <w:fldChar w:fldCharType="begin"/>
        </w:r>
        <w:r>
          <w:rPr>
            <w:webHidden/>
          </w:rPr>
          <w:instrText xml:space="preserve"> PAGEREF _Toc160009056 \h </w:instrText>
        </w:r>
        <w:r>
          <w:rPr>
            <w:webHidden/>
          </w:rPr>
        </w:r>
        <w:r>
          <w:rPr>
            <w:webHidden/>
          </w:rPr>
          <w:fldChar w:fldCharType="separate"/>
        </w:r>
        <w:r w:rsidR="00810AD0">
          <w:rPr>
            <w:webHidden/>
          </w:rPr>
          <w:t>27</w:t>
        </w:r>
        <w:r>
          <w:rPr>
            <w:webHidden/>
          </w:rPr>
          <w:fldChar w:fldCharType="end"/>
        </w:r>
      </w:hyperlink>
    </w:p>
    <w:p w14:paraId="53FFB44F" w14:textId="78AA4465"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57" w:history="1">
        <w:r w:rsidRPr="009E7F43">
          <w:rPr>
            <w:rStyle w:val="Hyperlink"/>
          </w:rPr>
          <w:t>20</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TERM, TERMINATION AND EARLY TERMINATION FEES</w:t>
        </w:r>
        <w:r>
          <w:rPr>
            <w:webHidden/>
          </w:rPr>
          <w:tab/>
        </w:r>
        <w:r>
          <w:rPr>
            <w:webHidden/>
          </w:rPr>
          <w:fldChar w:fldCharType="begin"/>
        </w:r>
        <w:r>
          <w:rPr>
            <w:webHidden/>
          </w:rPr>
          <w:instrText xml:space="preserve"> PAGEREF _Toc160009057 \h </w:instrText>
        </w:r>
        <w:r>
          <w:rPr>
            <w:webHidden/>
          </w:rPr>
        </w:r>
        <w:r>
          <w:rPr>
            <w:webHidden/>
          </w:rPr>
          <w:fldChar w:fldCharType="separate"/>
        </w:r>
        <w:r w:rsidR="00810AD0">
          <w:rPr>
            <w:webHidden/>
          </w:rPr>
          <w:t>27</w:t>
        </w:r>
        <w:r>
          <w:rPr>
            <w:webHidden/>
          </w:rPr>
          <w:fldChar w:fldCharType="end"/>
        </w:r>
      </w:hyperlink>
    </w:p>
    <w:p w14:paraId="13B52926" w14:textId="50765401"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58" w:history="1">
        <w:r w:rsidRPr="009E7F43">
          <w:rPr>
            <w:rStyle w:val="Hyperlink"/>
          </w:rPr>
          <w:t>Initial Term with a Commencement Date before 20 November 2023</w:t>
        </w:r>
        <w:r>
          <w:rPr>
            <w:webHidden/>
          </w:rPr>
          <w:tab/>
        </w:r>
        <w:r>
          <w:rPr>
            <w:webHidden/>
          </w:rPr>
          <w:fldChar w:fldCharType="begin"/>
        </w:r>
        <w:r>
          <w:rPr>
            <w:webHidden/>
          </w:rPr>
          <w:instrText xml:space="preserve"> PAGEREF _Toc160009058 \h </w:instrText>
        </w:r>
        <w:r>
          <w:rPr>
            <w:webHidden/>
          </w:rPr>
        </w:r>
        <w:r>
          <w:rPr>
            <w:webHidden/>
          </w:rPr>
          <w:fldChar w:fldCharType="separate"/>
        </w:r>
        <w:r w:rsidR="00810AD0">
          <w:rPr>
            <w:webHidden/>
          </w:rPr>
          <w:t>27</w:t>
        </w:r>
        <w:r>
          <w:rPr>
            <w:webHidden/>
          </w:rPr>
          <w:fldChar w:fldCharType="end"/>
        </w:r>
      </w:hyperlink>
    </w:p>
    <w:p w14:paraId="27F8403E" w14:textId="142F143E"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59" w:history="1">
        <w:r w:rsidRPr="009E7F43">
          <w:rPr>
            <w:rStyle w:val="Hyperlink"/>
          </w:rPr>
          <w:t>Initial Term with a Commencement Date on or after 20 November 2023</w:t>
        </w:r>
        <w:r>
          <w:rPr>
            <w:webHidden/>
          </w:rPr>
          <w:tab/>
        </w:r>
        <w:r>
          <w:rPr>
            <w:webHidden/>
          </w:rPr>
          <w:fldChar w:fldCharType="begin"/>
        </w:r>
        <w:r>
          <w:rPr>
            <w:webHidden/>
          </w:rPr>
          <w:instrText xml:space="preserve"> PAGEREF _Toc160009059 \h </w:instrText>
        </w:r>
        <w:r>
          <w:rPr>
            <w:webHidden/>
          </w:rPr>
        </w:r>
        <w:r>
          <w:rPr>
            <w:webHidden/>
          </w:rPr>
          <w:fldChar w:fldCharType="separate"/>
        </w:r>
        <w:r w:rsidR="00810AD0">
          <w:rPr>
            <w:webHidden/>
          </w:rPr>
          <w:t>27</w:t>
        </w:r>
        <w:r>
          <w:rPr>
            <w:webHidden/>
          </w:rPr>
          <w:fldChar w:fldCharType="end"/>
        </w:r>
      </w:hyperlink>
    </w:p>
    <w:p w14:paraId="79C54F28" w14:textId="3F220D06"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60" w:history="1">
        <w:r w:rsidRPr="009E7F43">
          <w:rPr>
            <w:rStyle w:val="Hyperlink"/>
          </w:rPr>
          <w:t>Fixed Term Termination</w:t>
        </w:r>
        <w:r>
          <w:rPr>
            <w:webHidden/>
          </w:rPr>
          <w:tab/>
        </w:r>
        <w:r>
          <w:rPr>
            <w:webHidden/>
          </w:rPr>
          <w:fldChar w:fldCharType="begin"/>
        </w:r>
        <w:r>
          <w:rPr>
            <w:webHidden/>
          </w:rPr>
          <w:instrText xml:space="preserve"> PAGEREF _Toc160009060 \h </w:instrText>
        </w:r>
        <w:r>
          <w:rPr>
            <w:webHidden/>
          </w:rPr>
        </w:r>
        <w:r>
          <w:rPr>
            <w:webHidden/>
          </w:rPr>
          <w:fldChar w:fldCharType="separate"/>
        </w:r>
        <w:r w:rsidR="00810AD0">
          <w:rPr>
            <w:webHidden/>
          </w:rPr>
          <w:t>27</w:t>
        </w:r>
        <w:r>
          <w:rPr>
            <w:webHidden/>
          </w:rPr>
          <w:fldChar w:fldCharType="end"/>
        </w:r>
      </w:hyperlink>
    </w:p>
    <w:p w14:paraId="217A9A0F" w14:textId="5F2FA586"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61" w:history="1">
        <w:r w:rsidRPr="009E7F43">
          <w:rPr>
            <w:rStyle w:val="Hyperlink"/>
          </w:rPr>
          <w:t>Minimum Commitment</w:t>
        </w:r>
        <w:r>
          <w:rPr>
            <w:webHidden/>
          </w:rPr>
          <w:tab/>
        </w:r>
        <w:r>
          <w:rPr>
            <w:webHidden/>
          </w:rPr>
          <w:fldChar w:fldCharType="begin"/>
        </w:r>
        <w:r>
          <w:rPr>
            <w:webHidden/>
          </w:rPr>
          <w:instrText xml:space="preserve"> PAGEREF _Toc160009061 \h </w:instrText>
        </w:r>
        <w:r>
          <w:rPr>
            <w:webHidden/>
          </w:rPr>
        </w:r>
        <w:r>
          <w:rPr>
            <w:webHidden/>
          </w:rPr>
          <w:fldChar w:fldCharType="separate"/>
        </w:r>
        <w:r w:rsidR="00810AD0">
          <w:rPr>
            <w:webHidden/>
          </w:rPr>
          <w:t>28</w:t>
        </w:r>
        <w:r>
          <w:rPr>
            <w:webHidden/>
          </w:rPr>
          <w:fldChar w:fldCharType="end"/>
        </w:r>
      </w:hyperlink>
    </w:p>
    <w:p w14:paraId="7774F3E8" w14:textId="62115008" w:rsidR="001C77D5" w:rsidRDefault="001C77D5" w:rsidP="008C5367">
      <w:pPr>
        <w:pStyle w:val="TOC2"/>
        <w:rPr>
          <w:rFonts w:asciiTheme="minorHAnsi" w:eastAsiaTheme="minorEastAsia" w:hAnsiTheme="minorHAnsi" w:cstheme="minorBidi"/>
          <w:kern w:val="2"/>
          <w:sz w:val="22"/>
          <w:szCs w:val="22"/>
          <w:lang w:eastAsia="en-AU"/>
          <w14:ligatures w14:val="standardContextual"/>
        </w:rPr>
      </w:pPr>
      <w:hyperlink w:anchor="_Toc160009062" w:history="1">
        <w:r w:rsidRPr="009E7F43">
          <w:rPr>
            <w:rStyle w:val="Hyperlink"/>
          </w:rPr>
          <w:t>Early Termination Charges</w:t>
        </w:r>
        <w:r>
          <w:rPr>
            <w:webHidden/>
          </w:rPr>
          <w:tab/>
        </w:r>
        <w:r>
          <w:rPr>
            <w:webHidden/>
          </w:rPr>
          <w:fldChar w:fldCharType="begin"/>
        </w:r>
        <w:r>
          <w:rPr>
            <w:webHidden/>
          </w:rPr>
          <w:instrText xml:space="preserve"> PAGEREF _Toc160009062 \h </w:instrText>
        </w:r>
        <w:r>
          <w:rPr>
            <w:webHidden/>
          </w:rPr>
        </w:r>
        <w:r>
          <w:rPr>
            <w:webHidden/>
          </w:rPr>
          <w:fldChar w:fldCharType="separate"/>
        </w:r>
        <w:r w:rsidR="00810AD0">
          <w:rPr>
            <w:webHidden/>
          </w:rPr>
          <w:t>28</w:t>
        </w:r>
        <w:r>
          <w:rPr>
            <w:webHidden/>
          </w:rPr>
          <w:fldChar w:fldCharType="end"/>
        </w:r>
      </w:hyperlink>
    </w:p>
    <w:p w14:paraId="5CBE0FE7" w14:textId="0084F118" w:rsidR="001C77D5" w:rsidRDefault="001C77D5">
      <w:pPr>
        <w:pStyle w:val="TOC1"/>
        <w:rPr>
          <w:rFonts w:asciiTheme="minorHAnsi" w:eastAsiaTheme="minorEastAsia" w:hAnsiTheme="minorHAnsi" w:cstheme="minorBidi"/>
          <w:b w:val="0"/>
          <w:bCs w:val="0"/>
          <w:caps w:val="0"/>
          <w:kern w:val="2"/>
          <w:sz w:val="22"/>
          <w:szCs w:val="22"/>
          <w:lang w:eastAsia="en-AU"/>
          <w14:ligatures w14:val="standardContextual"/>
        </w:rPr>
      </w:pPr>
      <w:hyperlink w:anchor="_Toc160009063" w:history="1">
        <w:r w:rsidRPr="009E7F43">
          <w:rPr>
            <w:rStyle w:val="Hyperlink"/>
          </w:rPr>
          <w:t>21</w:t>
        </w:r>
        <w:r>
          <w:rPr>
            <w:rFonts w:asciiTheme="minorHAnsi" w:eastAsiaTheme="minorEastAsia" w:hAnsiTheme="minorHAnsi" w:cstheme="minorBidi"/>
            <w:b w:val="0"/>
            <w:bCs w:val="0"/>
            <w:caps w:val="0"/>
            <w:kern w:val="2"/>
            <w:sz w:val="22"/>
            <w:szCs w:val="22"/>
            <w:lang w:eastAsia="en-AU"/>
            <w14:ligatures w14:val="standardContextual"/>
          </w:rPr>
          <w:tab/>
        </w:r>
        <w:r w:rsidRPr="009E7F43">
          <w:rPr>
            <w:rStyle w:val="Hyperlink"/>
          </w:rPr>
          <w:t>DEFINITIONS AND INTERPRETATION</w:t>
        </w:r>
        <w:r>
          <w:rPr>
            <w:webHidden/>
          </w:rPr>
          <w:tab/>
        </w:r>
        <w:r>
          <w:rPr>
            <w:webHidden/>
          </w:rPr>
          <w:fldChar w:fldCharType="begin"/>
        </w:r>
        <w:r>
          <w:rPr>
            <w:webHidden/>
          </w:rPr>
          <w:instrText xml:space="preserve"> PAGEREF _Toc160009063 \h </w:instrText>
        </w:r>
        <w:r>
          <w:rPr>
            <w:webHidden/>
          </w:rPr>
        </w:r>
        <w:r>
          <w:rPr>
            <w:webHidden/>
          </w:rPr>
          <w:fldChar w:fldCharType="separate"/>
        </w:r>
        <w:r w:rsidR="00810AD0">
          <w:rPr>
            <w:webHidden/>
          </w:rPr>
          <w:t>29</w:t>
        </w:r>
        <w:r>
          <w:rPr>
            <w:webHidden/>
          </w:rPr>
          <w:fldChar w:fldCharType="end"/>
        </w:r>
      </w:hyperlink>
    </w:p>
    <w:p w14:paraId="38C4D3E0" w14:textId="0274FE3E" w:rsidR="00795B8A" w:rsidRPr="00BC1AFF" w:rsidRDefault="00505A0B">
      <w:r w:rsidRPr="00BC1AFF">
        <w:fldChar w:fldCharType="end"/>
      </w:r>
    </w:p>
    <w:p w14:paraId="38C4D3E1" w14:textId="77777777" w:rsidR="00D94DAA" w:rsidRPr="00BC1AFF" w:rsidRDefault="00D94DAA" w:rsidP="00D94DAA">
      <w:pPr>
        <w:sectPr w:rsidR="00D94DAA" w:rsidRPr="00BC1AFF" w:rsidSect="003448A6">
          <w:headerReference w:type="default" r:id="rId12"/>
          <w:footerReference w:type="even" r:id="rId13"/>
          <w:footerReference w:type="default" r:id="rId14"/>
          <w:footerReference w:type="first" r:id="rId15"/>
          <w:pgSz w:w="11906" w:h="16838"/>
          <w:pgMar w:top="992" w:right="851" w:bottom="1418" w:left="851" w:header="737" w:footer="363" w:gutter="0"/>
          <w:cols w:space="720"/>
          <w:noEndnote/>
          <w:docGrid w:linePitch="360"/>
        </w:sectPr>
      </w:pPr>
    </w:p>
    <w:p w14:paraId="38C4D3E2" w14:textId="0768386B" w:rsidR="00831C1F" w:rsidRPr="00BC1AFF" w:rsidRDefault="00831C1F" w:rsidP="00831C1F">
      <w:r w:rsidRPr="00BC1AFF">
        <w:lastRenderedPageBreak/>
        <w:t xml:space="preserve">Certain words are used with the specific meanings set </w:t>
      </w:r>
      <w:r w:rsidR="00FE0B7D" w:rsidRPr="00BC1AFF">
        <w:t xml:space="preserve">out </w:t>
      </w:r>
      <w:r w:rsidRPr="00BC1AFF">
        <w:t xml:space="preserve">in </w:t>
      </w:r>
      <w:hyperlink r:id="rId16" w:history="1">
        <w:r w:rsidRPr="00BC1AFF">
          <w:t>the General Terms of Our Customer Terms</w:t>
        </w:r>
      </w:hyperlink>
      <w:r w:rsidRPr="00BC1AFF">
        <w:t xml:space="preserve"> at </w:t>
      </w:r>
      <w:hyperlink r:id="rId17" w:history="1">
        <w:r w:rsidRPr="00BC1AFF">
          <w:rPr>
            <w:rStyle w:val="Hyperlink"/>
          </w:rPr>
          <w:t>http://www.telstra.com.au/customer-terms/business-government/index.htm</w:t>
        </w:r>
      </w:hyperlink>
    </w:p>
    <w:p w14:paraId="270E9025" w14:textId="5E5E1470" w:rsidR="006B7715" w:rsidRPr="00BC1AFF" w:rsidRDefault="005240B5" w:rsidP="00802292">
      <w:pPr>
        <w:pStyle w:val="Heading1"/>
      </w:pPr>
      <w:bookmarkStart w:id="1" w:name="_Toc444098299"/>
      <w:bookmarkStart w:id="2" w:name="_Toc444098597"/>
      <w:bookmarkStart w:id="3" w:name="_Toc454446751"/>
      <w:r>
        <w:t>ABOUT THE TELSTRA PURPLE MANAGED SERVICES Section</w:t>
      </w:r>
    </w:p>
    <w:p w14:paraId="0D3C2C4F" w14:textId="6BDC55F5" w:rsidR="005240B5" w:rsidRPr="001727C0" w:rsidRDefault="005240B5" w:rsidP="001727C0">
      <w:pPr>
        <w:pStyle w:val="Heading2"/>
        <w:numPr>
          <w:ilvl w:val="0"/>
          <w:numId w:val="0"/>
        </w:numPr>
        <w:ind w:left="879"/>
        <w:rPr>
          <w:b/>
          <w:bCs/>
        </w:rPr>
      </w:pPr>
      <w:r w:rsidRPr="001727C0">
        <w:rPr>
          <w:b/>
          <w:bCs/>
        </w:rPr>
        <w:t>Applicable terms</w:t>
      </w:r>
    </w:p>
    <w:p w14:paraId="30ED5BDF" w14:textId="636AA4AB" w:rsidR="006B7715" w:rsidRPr="00BC1AFF" w:rsidRDefault="006B7715" w:rsidP="00C90281">
      <w:pPr>
        <w:pStyle w:val="Heading2"/>
      </w:pPr>
      <w:r w:rsidRPr="00BC1AFF">
        <w:t xml:space="preserve">In addition to this </w:t>
      </w:r>
      <w:r w:rsidR="00C53566" w:rsidRPr="00BC1AFF">
        <w:t xml:space="preserve">Telstra </w:t>
      </w:r>
      <w:r w:rsidR="6C20DAA3" w:rsidRPr="00BC1AFF">
        <w:t>Purple</w:t>
      </w:r>
      <w:r w:rsidR="003A06C3" w:rsidRPr="00BC1AFF">
        <w:t xml:space="preserve"> Managed Services</w:t>
      </w:r>
      <w:r w:rsidRPr="00BC1AFF">
        <w:t xml:space="preserve"> </w:t>
      </w:r>
      <w:r w:rsidR="6C20DAA3" w:rsidRPr="00BC1AFF">
        <w:t>s</w:t>
      </w:r>
      <w:r w:rsidR="7546C5B8" w:rsidRPr="00BC1AFF">
        <w:t>ection</w:t>
      </w:r>
      <w:r w:rsidRPr="00BC1AFF">
        <w:t xml:space="preserve"> of Our Customer Terms, unless we agree otherwise, the </w:t>
      </w:r>
      <w:r w:rsidR="000B0224" w:rsidRPr="00BC1AFF">
        <w:t xml:space="preserve">General Terms of Our Customer Terms (see </w:t>
      </w:r>
      <w:hyperlink r:id="rId18">
        <w:r w:rsidR="1AA45051" w:rsidRPr="00B60B52">
          <w:rPr>
            <w:rStyle w:val="Hyperlink"/>
          </w:rPr>
          <w:t>http://www.telstra.com.au/customer-terms/business-government/index.htm</w:t>
        </w:r>
      </w:hyperlink>
      <w:r w:rsidR="000B0224" w:rsidRPr="00BC1AFF">
        <w:t xml:space="preserve">) </w:t>
      </w:r>
      <w:bookmarkStart w:id="4" w:name="_Int_ZZSXxNAO"/>
      <w:r w:rsidRPr="00BC1AFF">
        <w:t>also</w:t>
      </w:r>
      <w:bookmarkEnd w:id="4"/>
      <w:r w:rsidRPr="00BC1AFF">
        <w:t xml:space="preserve"> apply.</w:t>
      </w:r>
    </w:p>
    <w:p w14:paraId="7DF11846" w14:textId="3EDE2B48" w:rsidR="006B7715" w:rsidRPr="001727C0" w:rsidRDefault="00E935AD" w:rsidP="00C90281">
      <w:pPr>
        <w:pStyle w:val="Heading2"/>
        <w:rPr>
          <w:b/>
          <w:bCs/>
          <w:caps/>
          <w:szCs w:val="20"/>
        </w:rPr>
      </w:pPr>
      <w:bookmarkStart w:id="5" w:name="_Toc454558305"/>
      <w:r w:rsidRPr="00BC1AFF">
        <w:t>See section one of the General Terms of Our Customer Terms for more detail on how the various sections of Our Customer Terms are to be read together.</w:t>
      </w:r>
      <w:bookmarkEnd w:id="5"/>
    </w:p>
    <w:p w14:paraId="7C2DD658" w14:textId="6EBD20E5" w:rsidR="005240B5" w:rsidRPr="001727C0" w:rsidRDefault="005240B5" w:rsidP="001727C0">
      <w:pPr>
        <w:pStyle w:val="Heading2"/>
        <w:numPr>
          <w:ilvl w:val="0"/>
          <w:numId w:val="0"/>
        </w:numPr>
        <w:ind w:left="879"/>
        <w:rPr>
          <w:b/>
          <w:bCs/>
        </w:rPr>
      </w:pPr>
      <w:r w:rsidRPr="001727C0">
        <w:rPr>
          <w:b/>
          <w:bCs/>
        </w:rPr>
        <w:t>Cease sale for MCN Services</w:t>
      </w:r>
    </w:p>
    <w:p w14:paraId="1CA455AD" w14:textId="1CC2E9A9" w:rsidR="005240B5" w:rsidRPr="006D7BC6" w:rsidRDefault="005240B5" w:rsidP="001727C0">
      <w:pPr>
        <w:pStyle w:val="Heading2"/>
      </w:pPr>
      <w:r w:rsidRPr="006D7BC6">
        <w:t>The MultiCloud Network</w:t>
      </w:r>
      <w:r w:rsidR="00113496">
        <w:t xml:space="preserve"> (MCN)</w:t>
      </w:r>
      <w:r w:rsidRPr="006D7BC6">
        <w:t xml:space="preserve"> platform and all related services (including Backup as a Service (BaaS), Disaster Recovery as a Service (DRaaS), Infrastructure as a Service (IaaS) and Storage as a Service (STaaS)) (together the </w:t>
      </w:r>
      <w:r>
        <w:t>“</w:t>
      </w:r>
      <w:r w:rsidRPr="00475775">
        <w:rPr>
          <w:b/>
          <w:bCs/>
        </w:rPr>
        <w:t>MCN Services</w:t>
      </w:r>
      <w:r w:rsidRPr="006D7BC6">
        <w:t xml:space="preserve">”) are not available for purchase by new customers. </w:t>
      </w:r>
      <w:r w:rsidR="00113496">
        <w:t>From 30 September 2025, e</w:t>
      </w:r>
      <w:r w:rsidRPr="006D7BC6">
        <w:t xml:space="preserve">xisting customers of the </w:t>
      </w:r>
      <w:r>
        <w:t xml:space="preserve">MCN Services </w:t>
      </w:r>
      <w:r w:rsidRPr="006D7BC6">
        <w:t xml:space="preserve">will no longer be able to add new services, make changes or recontract existing services. On and from </w:t>
      </w:r>
      <w:r w:rsidR="00113496">
        <w:t>30</w:t>
      </w:r>
      <w:r w:rsidRPr="006D7BC6">
        <w:t xml:space="preserve"> </w:t>
      </w:r>
      <w:r w:rsidR="00113496">
        <w:t>October</w:t>
      </w:r>
      <w:r w:rsidRPr="006D7BC6">
        <w:t xml:space="preserve"> 2025 the </w:t>
      </w:r>
      <w:r w:rsidR="00113496">
        <w:t>MCN Services</w:t>
      </w:r>
      <w:r w:rsidRPr="006D7BC6">
        <w:t xml:space="preserve"> will be withdrawn from the market and no longer be provided to customers, unless you are expressly notified otherwise in writing by Telstra.</w:t>
      </w:r>
    </w:p>
    <w:p w14:paraId="5BA5E96C" w14:textId="44AA658D" w:rsidR="00B74143" w:rsidRDefault="00B74143" w:rsidP="00A47532">
      <w:pPr>
        <w:pStyle w:val="Heading1"/>
        <w:tabs>
          <w:tab w:val="clear" w:pos="737"/>
        </w:tabs>
      </w:pPr>
      <w:bookmarkStart w:id="6" w:name="_Toc312857603"/>
      <w:bookmarkStart w:id="7" w:name="_Toc312857714"/>
      <w:bookmarkStart w:id="8" w:name="_Toc312857822"/>
      <w:bookmarkStart w:id="9" w:name="_Toc312857927"/>
      <w:bookmarkStart w:id="10" w:name="_Toc312858026"/>
      <w:bookmarkStart w:id="11" w:name="_Toc312873297"/>
      <w:bookmarkStart w:id="12" w:name="_Toc312873396"/>
      <w:bookmarkStart w:id="13" w:name="_Toc312873501"/>
      <w:bookmarkStart w:id="14" w:name="_Toc312873582"/>
      <w:bookmarkStart w:id="15" w:name="_Toc312873667"/>
      <w:bookmarkStart w:id="16" w:name="_Toc312873752"/>
      <w:bookmarkStart w:id="17" w:name="_Toc312873836"/>
      <w:bookmarkStart w:id="18" w:name="_Toc312873920"/>
      <w:bookmarkStart w:id="19" w:name="_Toc312874091"/>
      <w:bookmarkStart w:id="20" w:name="_Toc313003506"/>
      <w:bookmarkStart w:id="21" w:name="_Toc313003627"/>
      <w:bookmarkStart w:id="22" w:name="_Toc313003660"/>
      <w:bookmarkStart w:id="23" w:name="_Toc313003707"/>
      <w:bookmarkStart w:id="24" w:name="_Toc313014006"/>
      <w:bookmarkStart w:id="25" w:name="_Toc313017883"/>
      <w:bookmarkStart w:id="26" w:name="_Toc312857604"/>
      <w:bookmarkStart w:id="27" w:name="_Toc312857715"/>
      <w:bookmarkStart w:id="28" w:name="_Toc312857823"/>
      <w:bookmarkStart w:id="29" w:name="_Toc312857928"/>
      <w:bookmarkStart w:id="30" w:name="_Toc312858027"/>
      <w:bookmarkStart w:id="31" w:name="_Toc312873298"/>
      <w:bookmarkStart w:id="32" w:name="_Toc312873397"/>
      <w:bookmarkStart w:id="33" w:name="_Toc312873502"/>
      <w:bookmarkStart w:id="34" w:name="_Toc312873583"/>
      <w:bookmarkStart w:id="35" w:name="_Toc312873668"/>
      <w:bookmarkStart w:id="36" w:name="_Toc312873753"/>
      <w:bookmarkStart w:id="37" w:name="_Toc312873837"/>
      <w:bookmarkStart w:id="38" w:name="_Toc312873921"/>
      <w:bookmarkStart w:id="39" w:name="_Toc312874092"/>
      <w:bookmarkStart w:id="40" w:name="_Toc313003507"/>
      <w:bookmarkStart w:id="41" w:name="_Toc313003628"/>
      <w:bookmarkStart w:id="42" w:name="_Toc313003661"/>
      <w:bookmarkStart w:id="43" w:name="_Toc313003708"/>
      <w:bookmarkStart w:id="44" w:name="_Toc313014007"/>
      <w:bookmarkStart w:id="45" w:name="_Toc313017884"/>
      <w:bookmarkStart w:id="46" w:name="_Toc312857605"/>
      <w:bookmarkStart w:id="47" w:name="_Toc312857716"/>
      <w:bookmarkStart w:id="48" w:name="_Toc312857824"/>
      <w:bookmarkStart w:id="49" w:name="_Toc312857929"/>
      <w:bookmarkStart w:id="50" w:name="_Toc312858028"/>
      <w:bookmarkStart w:id="51" w:name="_Toc312873299"/>
      <w:bookmarkStart w:id="52" w:name="_Toc312873398"/>
      <w:bookmarkStart w:id="53" w:name="_Toc312873503"/>
      <w:bookmarkStart w:id="54" w:name="_Toc312873584"/>
      <w:bookmarkStart w:id="55" w:name="_Toc312873669"/>
      <w:bookmarkStart w:id="56" w:name="_Toc312873754"/>
      <w:bookmarkStart w:id="57" w:name="_Toc312873838"/>
      <w:bookmarkStart w:id="58" w:name="_Toc312873922"/>
      <w:bookmarkStart w:id="59" w:name="_Toc312874093"/>
      <w:bookmarkStart w:id="60" w:name="_Toc313003508"/>
      <w:bookmarkStart w:id="61" w:name="_Toc313003629"/>
      <w:bookmarkStart w:id="62" w:name="_Toc313003662"/>
      <w:bookmarkStart w:id="63" w:name="_Toc313003709"/>
      <w:bookmarkStart w:id="64" w:name="_Toc313014008"/>
      <w:bookmarkStart w:id="65" w:name="_Toc313017885"/>
      <w:bookmarkStart w:id="66" w:name="_Toc312857606"/>
      <w:bookmarkStart w:id="67" w:name="_Toc312857717"/>
      <w:bookmarkStart w:id="68" w:name="_Toc312857825"/>
      <w:bookmarkStart w:id="69" w:name="_Toc312857930"/>
      <w:bookmarkStart w:id="70" w:name="_Toc312858029"/>
      <w:bookmarkStart w:id="71" w:name="_Toc312873300"/>
      <w:bookmarkStart w:id="72" w:name="_Toc312873399"/>
      <w:bookmarkStart w:id="73" w:name="_Toc312873504"/>
      <w:bookmarkStart w:id="74" w:name="_Toc312873585"/>
      <w:bookmarkStart w:id="75" w:name="_Toc312873670"/>
      <w:bookmarkStart w:id="76" w:name="_Toc312873755"/>
      <w:bookmarkStart w:id="77" w:name="_Toc312873839"/>
      <w:bookmarkStart w:id="78" w:name="_Toc312873923"/>
      <w:bookmarkStart w:id="79" w:name="_Toc312874094"/>
      <w:bookmarkStart w:id="80" w:name="_Toc313003509"/>
      <w:bookmarkStart w:id="81" w:name="_Toc313003630"/>
      <w:bookmarkStart w:id="82" w:name="_Toc313003663"/>
      <w:bookmarkStart w:id="83" w:name="_Toc313003710"/>
      <w:bookmarkStart w:id="84" w:name="_Toc313014009"/>
      <w:bookmarkStart w:id="85" w:name="_Toc313017886"/>
      <w:bookmarkStart w:id="86" w:name="_Toc312857607"/>
      <w:bookmarkStart w:id="87" w:name="_Toc312857718"/>
      <w:bookmarkStart w:id="88" w:name="_Toc312857826"/>
      <w:bookmarkStart w:id="89" w:name="_Toc312857931"/>
      <w:bookmarkStart w:id="90" w:name="_Toc312858030"/>
      <w:bookmarkStart w:id="91" w:name="_Toc312873301"/>
      <w:bookmarkStart w:id="92" w:name="_Toc312873400"/>
      <w:bookmarkStart w:id="93" w:name="_Toc312873505"/>
      <w:bookmarkStart w:id="94" w:name="_Toc312873586"/>
      <w:bookmarkStart w:id="95" w:name="_Toc312873671"/>
      <w:bookmarkStart w:id="96" w:name="_Toc312873756"/>
      <w:bookmarkStart w:id="97" w:name="_Toc312873840"/>
      <w:bookmarkStart w:id="98" w:name="_Toc312873924"/>
      <w:bookmarkStart w:id="99" w:name="_Toc312874095"/>
      <w:bookmarkStart w:id="100" w:name="_Toc313003510"/>
      <w:bookmarkStart w:id="101" w:name="_Toc313003631"/>
      <w:bookmarkStart w:id="102" w:name="_Toc313003664"/>
      <w:bookmarkStart w:id="103" w:name="_Toc313003711"/>
      <w:bookmarkStart w:id="104" w:name="_Toc313014010"/>
      <w:bookmarkStart w:id="105" w:name="_Toc313017887"/>
      <w:bookmarkStart w:id="106" w:name="_Toc312857608"/>
      <w:bookmarkStart w:id="107" w:name="_Toc312857719"/>
      <w:bookmarkStart w:id="108" w:name="_Toc312857827"/>
      <w:bookmarkStart w:id="109" w:name="_Toc312857932"/>
      <w:bookmarkStart w:id="110" w:name="_Toc312858031"/>
      <w:bookmarkStart w:id="111" w:name="_Toc312873302"/>
      <w:bookmarkStart w:id="112" w:name="_Toc312873401"/>
      <w:bookmarkStart w:id="113" w:name="_Toc312873506"/>
      <w:bookmarkStart w:id="114" w:name="_Toc312873587"/>
      <w:bookmarkStart w:id="115" w:name="_Toc312873672"/>
      <w:bookmarkStart w:id="116" w:name="_Toc312873757"/>
      <w:bookmarkStart w:id="117" w:name="_Toc312873841"/>
      <w:bookmarkStart w:id="118" w:name="_Toc312873925"/>
      <w:bookmarkStart w:id="119" w:name="_Toc312874096"/>
      <w:bookmarkStart w:id="120" w:name="_Toc313003511"/>
      <w:bookmarkStart w:id="121" w:name="_Toc313003632"/>
      <w:bookmarkStart w:id="122" w:name="_Toc313003665"/>
      <w:bookmarkStart w:id="123" w:name="_Toc313003712"/>
      <w:bookmarkStart w:id="124" w:name="_Toc313014011"/>
      <w:bookmarkStart w:id="125" w:name="_Toc313017888"/>
      <w:bookmarkStart w:id="126" w:name="_Toc115217338"/>
      <w:bookmarkStart w:id="127" w:name="_Toc137461049"/>
      <w:bookmarkStart w:id="128" w:name="_Toc138241417"/>
      <w:bookmarkStart w:id="129" w:name="_Toc160009014"/>
      <w:bookmarkEnd w:id="1"/>
      <w:bookmarkEnd w:id="2"/>
      <w:bookmarkEnd w:id="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BC1AFF">
        <w:t>Telstra Purple Managed Services</w:t>
      </w:r>
      <w:bookmarkEnd w:id="126"/>
      <w:bookmarkEnd w:id="127"/>
      <w:bookmarkEnd w:id="128"/>
      <w:bookmarkEnd w:id="129"/>
    </w:p>
    <w:p w14:paraId="3B38888D" w14:textId="248F4956" w:rsidR="008E314D" w:rsidRPr="00BC1AFF" w:rsidRDefault="008E314D" w:rsidP="00C90281">
      <w:pPr>
        <w:pStyle w:val="Heading2"/>
      </w:pPr>
      <w:bookmarkStart w:id="130" w:name="_Ref130807480"/>
      <w:r w:rsidRPr="00BC1AFF">
        <w:t xml:space="preserve">Telstra Purple Managed Services </w:t>
      </w:r>
      <w:r w:rsidR="00D34015" w:rsidRPr="00BC1AFF">
        <w:t xml:space="preserve">manage </w:t>
      </w:r>
      <w:r w:rsidR="004B2E59" w:rsidRPr="00BC1AFF">
        <w:t xml:space="preserve">an </w:t>
      </w:r>
      <w:r w:rsidR="008834C6" w:rsidRPr="00BC1AFF">
        <w:t>agreed</w:t>
      </w:r>
      <w:r w:rsidR="004B2E59" w:rsidRPr="00BC1AFF">
        <w:t xml:space="preserve"> scope of your</w:t>
      </w:r>
      <w:r w:rsidRPr="00BC1AFF">
        <w:t xml:space="preserve"> IT </w:t>
      </w:r>
      <w:r w:rsidR="004B2E59" w:rsidRPr="00BC1AFF">
        <w:t>e</w:t>
      </w:r>
      <w:r w:rsidRPr="00BC1AFF">
        <w:t xml:space="preserve">nvironments and </w:t>
      </w:r>
      <w:r w:rsidR="004B2E59" w:rsidRPr="00BC1AFF">
        <w:t xml:space="preserve">associated </w:t>
      </w:r>
      <w:r w:rsidR="000E3E63" w:rsidRPr="00BC1AFF">
        <w:t>c</w:t>
      </w:r>
      <w:r w:rsidRPr="00BC1AFF">
        <w:t>omponents</w:t>
      </w:r>
      <w:r w:rsidR="00C90281" w:rsidRPr="00BC1AFF">
        <w:t xml:space="preserve"> </w:t>
      </w:r>
      <w:r w:rsidR="000E3E63" w:rsidRPr="00BC1AFF">
        <w:t>(</w:t>
      </w:r>
      <w:r w:rsidR="000E3E63" w:rsidRPr="00BC1AFF">
        <w:rPr>
          <w:b/>
          <w:bCs/>
        </w:rPr>
        <w:t>IT Environment</w:t>
      </w:r>
      <w:r w:rsidR="00EB071E" w:rsidRPr="00BC1AFF">
        <w:rPr>
          <w:b/>
          <w:bCs/>
        </w:rPr>
        <w:t>s</w:t>
      </w:r>
      <w:r w:rsidR="000E3E63" w:rsidRPr="00BC1AFF">
        <w:rPr>
          <w:b/>
          <w:bCs/>
        </w:rPr>
        <w:t xml:space="preserve"> and Components</w:t>
      </w:r>
      <w:r w:rsidR="000E3E63" w:rsidRPr="00BC1AFF">
        <w:t xml:space="preserve">) </w:t>
      </w:r>
      <w:r w:rsidRPr="00BC1AFF">
        <w:t>with comprehensive Information Technology Infrastructure Library 4 (</w:t>
      </w:r>
      <w:r w:rsidRPr="00BC1AFF">
        <w:rPr>
          <w:b/>
          <w:bCs/>
        </w:rPr>
        <w:t>ITIL</w:t>
      </w:r>
      <w:r w:rsidR="00D34015" w:rsidRPr="00BC1AFF">
        <w:rPr>
          <w:b/>
          <w:bCs/>
        </w:rPr>
        <w:t xml:space="preserve"> 4</w:t>
      </w:r>
      <w:r w:rsidRPr="00BC1AFF">
        <w:t>) aligned services</w:t>
      </w:r>
      <w:r w:rsidR="007B0E67" w:rsidRPr="00BC1AFF">
        <w:t>.</w:t>
      </w:r>
      <w:bookmarkEnd w:id="130"/>
      <w:r w:rsidR="00C90281" w:rsidRPr="00BC1AFF">
        <w:t xml:space="preserve"> Some of your IT environments and associated components may be hosted by us as part of the Telstra Hosting and Connectivity Services. </w:t>
      </w:r>
    </w:p>
    <w:p w14:paraId="35D8B169" w14:textId="77777777" w:rsidR="00E248BE" w:rsidRPr="00BC1AFF" w:rsidRDefault="00E12539" w:rsidP="00C90281">
      <w:pPr>
        <w:pStyle w:val="Heading2"/>
      </w:pPr>
      <w:bookmarkStart w:id="131" w:name="_Ref130807445"/>
      <w:r w:rsidRPr="00BC1AFF">
        <w:t xml:space="preserve">In addition to the terms set out in this section, service specific details </w:t>
      </w:r>
      <w:r w:rsidR="000A3BD5" w:rsidRPr="00BC1AFF">
        <w:t xml:space="preserve">for each component of your Telstra Purple Managed Service </w:t>
      </w:r>
      <w:r w:rsidRPr="00BC1AFF">
        <w:t>are</w:t>
      </w:r>
      <w:r w:rsidR="00EC78B8" w:rsidRPr="00BC1AFF">
        <w:t xml:space="preserve"> set out in</w:t>
      </w:r>
      <w:r w:rsidR="00E248BE" w:rsidRPr="00BC1AFF">
        <w:t>:</w:t>
      </w:r>
      <w:r w:rsidR="00EC78B8" w:rsidRPr="00BC1AFF">
        <w:t xml:space="preserve"> </w:t>
      </w:r>
    </w:p>
    <w:p w14:paraId="3A0C8633" w14:textId="27FD2922" w:rsidR="00E248BE" w:rsidRPr="00BC1AFF" w:rsidRDefault="00EC78B8" w:rsidP="00E248BE">
      <w:pPr>
        <w:pStyle w:val="Heading3"/>
      </w:pPr>
      <w:r w:rsidRPr="00BC1AFF">
        <w:t>the</w:t>
      </w:r>
      <w:r w:rsidR="00CE7911" w:rsidRPr="00BC1AFF">
        <w:t xml:space="preserve"> </w:t>
      </w:r>
      <w:r w:rsidR="00CE7911" w:rsidRPr="00BC1AFF">
        <w:rPr>
          <w:b/>
          <w:bCs/>
        </w:rPr>
        <w:t>Managed Service Description(s)</w:t>
      </w:r>
      <w:r w:rsidR="00CE7911" w:rsidRPr="00BC1AFF">
        <w:t xml:space="preserve"> (</w:t>
      </w:r>
      <w:r w:rsidR="00CE7911" w:rsidRPr="00BC1AFF">
        <w:rPr>
          <w:b/>
          <w:bCs/>
        </w:rPr>
        <w:t>MSD(s)</w:t>
      </w:r>
      <w:r w:rsidR="00CE7911" w:rsidRPr="00BC1AFF">
        <w:t>)</w:t>
      </w:r>
      <w:r w:rsidR="00E248BE" w:rsidRPr="00BC1AFF">
        <w:t>;</w:t>
      </w:r>
      <w:r w:rsidR="00CE7911" w:rsidRPr="00BC1AFF">
        <w:t xml:space="preserve"> </w:t>
      </w:r>
      <w:r w:rsidR="00C90281" w:rsidRPr="00BC1AFF">
        <w:t xml:space="preserve">and </w:t>
      </w:r>
    </w:p>
    <w:p w14:paraId="1AE2FC31" w14:textId="22CA9A7E" w:rsidR="00E248BE" w:rsidRPr="00BC1AFF" w:rsidRDefault="00C90281" w:rsidP="00E248BE">
      <w:pPr>
        <w:pStyle w:val="Heading3"/>
      </w:pPr>
      <w:r w:rsidRPr="00BC1AFF">
        <w:t xml:space="preserve">where you purchase the Telstra Purple Hosting </w:t>
      </w:r>
      <w:r w:rsidR="00E248BE" w:rsidRPr="00BC1AFF">
        <w:t xml:space="preserve">and Connectivity Service, the </w:t>
      </w:r>
      <w:r w:rsidR="000A3BD5" w:rsidRPr="00BC1AFF">
        <w:rPr>
          <w:b/>
          <w:bCs/>
        </w:rPr>
        <w:t>Service Description</w:t>
      </w:r>
      <w:r w:rsidR="000A3BD5" w:rsidRPr="00BC1AFF">
        <w:t xml:space="preserve"> (</w:t>
      </w:r>
      <w:r w:rsidR="000A3BD5" w:rsidRPr="00BC1AFF">
        <w:rPr>
          <w:b/>
          <w:bCs/>
        </w:rPr>
        <w:t>SD</w:t>
      </w:r>
      <w:r w:rsidR="00F22BD2" w:rsidRPr="00BC1AFF">
        <w:rPr>
          <w:b/>
          <w:bCs/>
        </w:rPr>
        <w:t>(s)</w:t>
      </w:r>
      <w:r w:rsidR="000A3BD5" w:rsidRPr="00BC1AFF">
        <w:t>)</w:t>
      </w:r>
      <w:r w:rsidR="00E248BE" w:rsidRPr="00BC1AFF">
        <w:t>,</w:t>
      </w:r>
      <w:r w:rsidR="000A3BD5" w:rsidRPr="00BC1AFF">
        <w:t xml:space="preserve"> </w:t>
      </w:r>
    </w:p>
    <w:p w14:paraId="7C41C991" w14:textId="5D72DF07" w:rsidR="00EC78B8" w:rsidRPr="00BC1AFF" w:rsidRDefault="00EC78B8" w:rsidP="00C90281">
      <w:pPr>
        <w:pStyle w:val="Heading3"/>
        <w:numPr>
          <w:ilvl w:val="0"/>
          <w:numId w:val="0"/>
        </w:numPr>
        <w:ind w:left="737"/>
      </w:pPr>
      <w:r w:rsidRPr="00BC1AFF">
        <w:t>attached to you</w:t>
      </w:r>
      <w:r w:rsidR="007B0E67" w:rsidRPr="00BC1AFF">
        <w:t>r</w:t>
      </w:r>
      <w:r w:rsidR="008E314D" w:rsidRPr="00BC1AFF">
        <w:t xml:space="preserve"> </w:t>
      </w:r>
      <w:r w:rsidRPr="00BC1AFF">
        <w:t xml:space="preserve">Telstra Purple Managed Services </w:t>
      </w:r>
      <w:r w:rsidR="002640EF" w:rsidRPr="00BC1AFF">
        <w:t>Order</w:t>
      </w:r>
      <w:r w:rsidRPr="00BC1AFF">
        <w:t>.</w:t>
      </w:r>
      <w:bookmarkEnd w:id="131"/>
    </w:p>
    <w:p w14:paraId="02DB6876" w14:textId="765D02D3" w:rsidR="008E314D" w:rsidRPr="00BC1AFF" w:rsidRDefault="008E314D" w:rsidP="00C90281">
      <w:pPr>
        <w:pStyle w:val="Heading2"/>
      </w:pPr>
      <w:r w:rsidRPr="00BC1AFF">
        <w:t xml:space="preserve">Unless otherwise stated all </w:t>
      </w:r>
      <w:r w:rsidR="00184F91" w:rsidRPr="00BC1AFF">
        <w:t>Telstra Purple Managed S</w:t>
      </w:r>
      <w:r w:rsidRPr="00BC1AFF">
        <w:t>ervices are delivered remotely.</w:t>
      </w:r>
    </w:p>
    <w:p w14:paraId="32068AC3" w14:textId="2ACAB823" w:rsidR="00B74143" w:rsidRPr="00BC1AFF" w:rsidRDefault="008E314D" w:rsidP="00C90281">
      <w:pPr>
        <w:pStyle w:val="Heading2"/>
      </w:pPr>
      <w:r w:rsidRPr="00BC1AFF">
        <w:t xml:space="preserve">The features and functionality of the </w:t>
      </w:r>
      <w:r w:rsidR="00C81A9A" w:rsidRPr="00BC1AFF">
        <w:t>Telstra Purple Managed Services</w:t>
      </w:r>
      <w:r w:rsidRPr="00BC1AFF">
        <w:t xml:space="preserve"> are dependent on the capabilities of the IT Environment and Components being managed and the ability of </w:t>
      </w:r>
      <w:r w:rsidR="00C81A9A" w:rsidRPr="00BC1AFF">
        <w:t>our</w:t>
      </w:r>
      <w:r w:rsidRPr="00BC1AFF">
        <w:t xml:space="preserve"> systems to connect to the </w:t>
      </w:r>
      <w:r w:rsidR="00C81A9A" w:rsidRPr="00BC1AFF">
        <w:t xml:space="preserve">IT Environment and Components </w:t>
      </w:r>
      <w:r w:rsidRPr="00BC1AFF">
        <w:t>to obtain information.</w:t>
      </w:r>
    </w:p>
    <w:p w14:paraId="26F6F557" w14:textId="02556579" w:rsidR="00C32AA7" w:rsidRPr="00BC1AFF" w:rsidRDefault="001F0949" w:rsidP="005A483F">
      <w:pPr>
        <w:pStyle w:val="Heading1"/>
      </w:pPr>
      <w:bookmarkStart w:id="132" w:name="_Toc115217339"/>
      <w:bookmarkStart w:id="133" w:name="_Toc137461050"/>
      <w:bookmarkStart w:id="134" w:name="_Toc138241418"/>
      <w:bookmarkStart w:id="135" w:name="_Toc160009015"/>
      <w:r w:rsidRPr="00BC1AFF">
        <w:t>SERVICE COMPONENTS</w:t>
      </w:r>
      <w:bookmarkEnd w:id="132"/>
      <w:bookmarkEnd w:id="133"/>
      <w:bookmarkEnd w:id="134"/>
      <w:bookmarkEnd w:id="135"/>
      <w:r w:rsidR="00D559A4" w:rsidRPr="00BC1AFF">
        <w:t xml:space="preserve"> </w:t>
      </w:r>
    </w:p>
    <w:p w14:paraId="575C764C" w14:textId="35828846" w:rsidR="00D56549" w:rsidRPr="00BC1AFF" w:rsidRDefault="000B1F93" w:rsidP="00C90281">
      <w:pPr>
        <w:pStyle w:val="Heading2"/>
      </w:pPr>
      <w:bookmarkStart w:id="136" w:name="_Ref130847658"/>
      <w:r w:rsidRPr="00BC1AFF">
        <w:t xml:space="preserve">Subject to clause </w:t>
      </w:r>
      <w:r w:rsidR="00E248BE" w:rsidRPr="00BC1AFF">
        <w:fldChar w:fldCharType="begin"/>
      </w:r>
      <w:r w:rsidR="00E248BE" w:rsidRPr="00BC1AFF">
        <w:instrText xml:space="preserve"> REF _Ref131504602 \r \h </w:instrText>
      </w:r>
      <w:r w:rsidR="00BC1AFF">
        <w:instrText xml:space="preserve"> \* MERGEFORMAT </w:instrText>
      </w:r>
      <w:r w:rsidR="00E248BE" w:rsidRPr="00BC1AFF">
        <w:fldChar w:fldCharType="separate"/>
      </w:r>
      <w:r w:rsidR="00810AD0">
        <w:t>3.3(a)</w:t>
      </w:r>
      <w:r w:rsidR="00E248BE" w:rsidRPr="00BC1AFF">
        <w:fldChar w:fldCharType="end"/>
      </w:r>
      <w:r w:rsidRPr="00BC1AFF">
        <w:t>, t</w:t>
      </w:r>
      <w:r w:rsidR="008200A9" w:rsidRPr="00BC1AFF">
        <w:t>h</w:t>
      </w:r>
      <w:r w:rsidR="002339B5" w:rsidRPr="00BC1AFF">
        <w:t>e following</w:t>
      </w:r>
      <w:r w:rsidR="006A62B8" w:rsidRPr="00BC1AFF">
        <w:t xml:space="preserve"> ITIL 4 Practices</w:t>
      </w:r>
      <w:r w:rsidR="008200A9" w:rsidRPr="00BC1AFF">
        <w:t xml:space="preserve"> </w:t>
      </w:r>
      <w:r w:rsidR="53D41F72" w:rsidRPr="00BC1AFF">
        <w:t>are</w:t>
      </w:r>
      <w:r w:rsidR="008200A9" w:rsidRPr="00BC1AFF">
        <w:t xml:space="preserve"> included as standard</w:t>
      </w:r>
      <w:r w:rsidR="00D56549" w:rsidRPr="00BC1AFF">
        <w:t xml:space="preserve"> in your Telstra Purple Managed Services:</w:t>
      </w:r>
      <w:bookmarkEnd w:id="136"/>
    </w:p>
    <w:p w14:paraId="1CBA2B21" w14:textId="5632A03A" w:rsidR="00B643BA" w:rsidRPr="00BC1AFF" w:rsidRDefault="00FC0EE3" w:rsidP="005A483F">
      <w:pPr>
        <w:pStyle w:val="Heading3"/>
      </w:pPr>
      <w:r w:rsidRPr="00BC1AFF">
        <w:lastRenderedPageBreak/>
        <w:t>Service Configuration Management;</w:t>
      </w:r>
    </w:p>
    <w:p w14:paraId="5BECC09E" w14:textId="3A3DE6BC" w:rsidR="00FC0EE3" w:rsidRPr="00BC1AFF" w:rsidRDefault="00FC0EE3" w:rsidP="00D56549">
      <w:pPr>
        <w:pStyle w:val="Heading3"/>
      </w:pPr>
      <w:r w:rsidRPr="00BC1AFF">
        <w:t>Monitoring and Event Management</w:t>
      </w:r>
      <w:r w:rsidR="006C10D4" w:rsidRPr="00BC1AFF">
        <w:t>;</w:t>
      </w:r>
    </w:p>
    <w:p w14:paraId="1CF85C6C" w14:textId="632406D8" w:rsidR="006C10D4" w:rsidRPr="00BC1AFF" w:rsidRDefault="00525AA0" w:rsidP="00D56549">
      <w:pPr>
        <w:pStyle w:val="Heading3"/>
      </w:pPr>
      <w:r w:rsidRPr="00BC1AFF">
        <w:t>Incident Management;</w:t>
      </w:r>
    </w:p>
    <w:p w14:paraId="707A06E1" w14:textId="2041537C" w:rsidR="00525AA0" w:rsidRPr="00BC1AFF" w:rsidRDefault="000D75D9" w:rsidP="00D56549">
      <w:pPr>
        <w:pStyle w:val="Heading3"/>
      </w:pPr>
      <w:r w:rsidRPr="00BC1AFF">
        <w:t>Problem Management</w:t>
      </w:r>
      <w:r w:rsidR="000D78A3" w:rsidRPr="00BC1AFF">
        <w:t>;</w:t>
      </w:r>
    </w:p>
    <w:p w14:paraId="3D033697" w14:textId="03D64531" w:rsidR="000D75D9" w:rsidRPr="00BC1AFF" w:rsidRDefault="0020643F" w:rsidP="00D56549">
      <w:pPr>
        <w:pStyle w:val="Heading3"/>
      </w:pPr>
      <w:r w:rsidRPr="00BC1AFF">
        <w:t xml:space="preserve">Service Request </w:t>
      </w:r>
      <w:r w:rsidR="7730F51B" w:rsidRPr="00BC1AFF">
        <w:t>Management</w:t>
      </w:r>
      <w:r w:rsidR="000D78A3" w:rsidRPr="00BC1AFF">
        <w:t>;</w:t>
      </w:r>
    </w:p>
    <w:p w14:paraId="3405DF10" w14:textId="4443F7CF" w:rsidR="0020643F" w:rsidRPr="00BC1AFF" w:rsidRDefault="0020643F" w:rsidP="00D56549">
      <w:pPr>
        <w:pStyle w:val="Heading3"/>
      </w:pPr>
      <w:r w:rsidRPr="00BC1AFF">
        <w:t>Change Enablement</w:t>
      </w:r>
      <w:r w:rsidR="000D78A3" w:rsidRPr="00BC1AFF">
        <w:t>;</w:t>
      </w:r>
    </w:p>
    <w:p w14:paraId="1B4C2480" w14:textId="25BB70B3" w:rsidR="0020643F" w:rsidRPr="00BC1AFF" w:rsidRDefault="0020643F" w:rsidP="00D56549">
      <w:pPr>
        <w:pStyle w:val="Heading3"/>
      </w:pPr>
      <w:r w:rsidRPr="00BC1AFF">
        <w:t>Release Management</w:t>
      </w:r>
      <w:r w:rsidR="000D78A3" w:rsidRPr="00BC1AFF">
        <w:t>;</w:t>
      </w:r>
    </w:p>
    <w:p w14:paraId="2E19C21C" w14:textId="34C57096" w:rsidR="0020643F" w:rsidRPr="00BC1AFF" w:rsidRDefault="0020643F" w:rsidP="00D56549">
      <w:pPr>
        <w:pStyle w:val="Heading3"/>
      </w:pPr>
      <w:r w:rsidRPr="00BC1AFF">
        <w:t>Dep</w:t>
      </w:r>
      <w:r w:rsidR="00121F7C" w:rsidRPr="00BC1AFF">
        <w:t>loyment Management</w:t>
      </w:r>
      <w:r w:rsidR="000D78A3" w:rsidRPr="00BC1AFF">
        <w:t>;</w:t>
      </w:r>
    </w:p>
    <w:p w14:paraId="53C8607F" w14:textId="1B554744" w:rsidR="006B7DF6" w:rsidRPr="00BC1AFF" w:rsidRDefault="006B7DF6" w:rsidP="00D56549">
      <w:pPr>
        <w:pStyle w:val="Heading3"/>
      </w:pPr>
      <w:r w:rsidRPr="00BC1AFF">
        <w:t xml:space="preserve">Capacity </w:t>
      </w:r>
      <w:r w:rsidR="5E630E43" w:rsidRPr="00BC1AFF">
        <w:t>and Performance Management</w:t>
      </w:r>
      <w:r w:rsidR="000D78A3" w:rsidRPr="00BC1AFF">
        <w:t>;</w:t>
      </w:r>
    </w:p>
    <w:p w14:paraId="68EB94C2" w14:textId="584F364F" w:rsidR="006B7DF6" w:rsidRPr="00BC1AFF" w:rsidRDefault="006B7DF6" w:rsidP="00D56549">
      <w:pPr>
        <w:pStyle w:val="Heading3"/>
      </w:pPr>
      <w:r w:rsidRPr="00BC1AFF">
        <w:t>Service Level Management</w:t>
      </w:r>
      <w:r w:rsidR="000D78A3" w:rsidRPr="00BC1AFF">
        <w:t>; and</w:t>
      </w:r>
    </w:p>
    <w:p w14:paraId="1D185F51" w14:textId="190F49E7" w:rsidR="006B7DF6" w:rsidRPr="00BC1AFF" w:rsidRDefault="001D182F" w:rsidP="00D56549">
      <w:pPr>
        <w:pStyle w:val="Heading3"/>
      </w:pPr>
      <w:r w:rsidRPr="00BC1AFF">
        <w:t>Measurement and Reporting</w:t>
      </w:r>
      <w:r w:rsidR="000D78A3" w:rsidRPr="00BC1AFF">
        <w:t xml:space="preserve">. </w:t>
      </w:r>
    </w:p>
    <w:p w14:paraId="21D08D49" w14:textId="77777777" w:rsidR="001D182F" w:rsidRPr="00BC1AFF" w:rsidRDefault="001D182F" w:rsidP="00C90281">
      <w:pPr>
        <w:pStyle w:val="Heading2"/>
      </w:pPr>
      <w:r w:rsidRPr="00BC1AFF">
        <w:t>You can also apply for the following optional service component (for an additional charge):</w:t>
      </w:r>
    </w:p>
    <w:p w14:paraId="4EEF669B" w14:textId="7ADD2BC4" w:rsidR="00C134D9" w:rsidRPr="00BC1AFF" w:rsidRDefault="6C42B52F" w:rsidP="005A483F">
      <w:pPr>
        <w:pStyle w:val="Heading3"/>
      </w:pPr>
      <w:r w:rsidRPr="00BC1AFF">
        <w:t>Relationship</w:t>
      </w:r>
      <w:r w:rsidR="00C134D9" w:rsidRPr="00BC1AFF">
        <w:t xml:space="preserve"> Management</w:t>
      </w:r>
      <w:r w:rsidR="005B6550" w:rsidRPr="00BC1AFF">
        <w:t>.</w:t>
      </w:r>
    </w:p>
    <w:p w14:paraId="2C173B87" w14:textId="42968782" w:rsidR="005A3061" w:rsidRPr="00BC1AFF" w:rsidRDefault="000D78A3" w:rsidP="00C90281">
      <w:pPr>
        <w:pStyle w:val="Heading2"/>
      </w:pPr>
      <w:r w:rsidRPr="00BC1AFF">
        <w:t>If you require hosting and connectivity services in connection with your IT Environments and Components, you can also apply for the Telstra Purple Hosting and Connectivity Services. If you apply for</w:t>
      </w:r>
      <w:r w:rsidR="005A3061" w:rsidRPr="00BC1AFF">
        <w:t>, and we agree to provide,</w:t>
      </w:r>
      <w:r w:rsidRPr="00BC1AFF">
        <w:t xml:space="preserve"> </w:t>
      </w:r>
      <w:r w:rsidR="00A20F1A" w:rsidRPr="00BC1AFF">
        <w:t>the Telstra Purple Hosting and Connectivity Services</w:t>
      </w:r>
      <w:r w:rsidRPr="00BC1AFF">
        <w:t xml:space="preserve">, </w:t>
      </w:r>
      <w:r w:rsidR="005A3061" w:rsidRPr="00BC1AFF">
        <w:t>then:</w:t>
      </w:r>
    </w:p>
    <w:p w14:paraId="32DA3F6C" w14:textId="77AAB59D" w:rsidR="00093A24" w:rsidRPr="00BC1AFF" w:rsidRDefault="00A20F1A" w:rsidP="005A483F">
      <w:pPr>
        <w:pStyle w:val="Heading3"/>
      </w:pPr>
      <w:bookmarkStart w:id="137" w:name="_Ref131504602"/>
      <w:r w:rsidRPr="00BC1AFF">
        <w:t xml:space="preserve">only </w:t>
      </w:r>
      <w:r w:rsidR="00093A24" w:rsidRPr="00BC1AFF">
        <w:t>the following ITIL 4 Practices</w:t>
      </w:r>
      <w:r w:rsidRPr="00BC1AFF">
        <w:t xml:space="preserve"> </w:t>
      </w:r>
      <w:r w:rsidR="00C90281" w:rsidRPr="00BC1AFF">
        <w:t xml:space="preserve">are included as standard in your Telstra Purple </w:t>
      </w:r>
      <w:r w:rsidR="00F152FD" w:rsidRPr="00BC1AFF">
        <w:t>Managed</w:t>
      </w:r>
      <w:r w:rsidR="00C90281" w:rsidRPr="00BC1AFF">
        <w:t xml:space="preserve"> Service</w:t>
      </w:r>
      <w:r w:rsidR="00EA2C28" w:rsidRPr="00BC1AFF">
        <w:t>s (unless otherwise set out in the</w:t>
      </w:r>
      <w:r w:rsidR="00A2599C" w:rsidRPr="00BC1AFF">
        <w:t xml:space="preserve"> applicable</w:t>
      </w:r>
      <w:r w:rsidR="00EA2C28" w:rsidRPr="00BC1AFF">
        <w:t xml:space="preserve"> SD)</w:t>
      </w:r>
      <w:r w:rsidR="00093A24" w:rsidRPr="00BC1AFF">
        <w:t>:</w:t>
      </w:r>
      <w:bookmarkEnd w:id="137"/>
    </w:p>
    <w:p w14:paraId="5C91D12C" w14:textId="2C3CC83B" w:rsidR="005A3061" w:rsidRPr="00BC1AFF" w:rsidRDefault="005A3061" w:rsidP="005A483F">
      <w:pPr>
        <w:pStyle w:val="Heading4"/>
      </w:pPr>
      <w:r w:rsidRPr="00BC1AFF">
        <w:t>Incident Management;</w:t>
      </w:r>
    </w:p>
    <w:p w14:paraId="417AC93A" w14:textId="77777777" w:rsidR="00E84793" w:rsidRPr="00BC1AFF" w:rsidRDefault="005A3061" w:rsidP="005A483F">
      <w:pPr>
        <w:pStyle w:val="Heading4"/>
      </w:pPr>
      <w:r w:rsidRPr="00BC1AFF">
        <w:t>Service Request Management;</w:t>
      </w:r>
    </w:p>
    <w:p w14:paraId="6D075ECE" w14:textId="46FC149B" w:rsidR="005A3061" w:rsidRPr="00BC1AFF" w:rsidRDefault="00E84793" w:rsidP="005A483F">
      <w:pPr>
        <w:pStyle w:val="Heading4"/>
      </w:pPr>
      <w:r w:rsidRPr="00BC1AFF">
        <w:t>Problem Management;</w:t>
      </w:r>
      <w:r w:rsidR="005A3061" w:rsidRPr="00BC1AFF">
        <w:t xml:space="preserve"> and</w:t>
      </w:r>
    </w:p>
    <w:p w14:paraId="75E58635" w14:textId="41D05526" w:rsidR="005B6550" w:rsidRPr="00BC1AFF" w:rsidRDefault="005A3061" w:rsidP="005A483F">
      <w:pPr>
        <w:pStyle w:val="Heading4"/>
      </w:pPr>
      <w:r w:rsidRPr="00BC1AFF">
        <w:t>Change Enablement</w:t>
      </w:r>
      <w:r w:rsidR="00093A24" w:rsidRPr="00BC1AFF">
        <w:t xml:space="preserve">; </w:t>
      </w:r>
      <w:r w:rsidRPr="00BC1AFF">
        <w:t xml:space="preserve">  </w:t>
      </w:r>
      <w:bookmarkStart w:id="138" w:name="_Ref130807789"/>
    </w:p>
    <w:p w14:paraId="334706B8" w14:textId="20CFB38D" w:rsidR="00752A37" w:rsidRPr="00BC1AFF" w:rsidRDefault="00752A37" w:rsidP="00093A24">
      <w:pPr>
        <w:pStyle w:val="Heading3"/>
      </w:pPr>
      <w:r w:rsidRPr="00BC1AFF">
        <w:t xml:space="preserve">for clarity, all other ITIL 4 Practices identified in clause </w:t>
      </w:r>
      <w:r w:rsidRPr="00BC1AFF">
        <w:fldChar w:fldCharType="begin"/>
      </w:r>
      <w:r w:rsidRPr="00BC1AFF">
        <w:instrText xml:space="preserve"> REF _Ref130847658 \r \h </w:instrText>
      </w:r>
      <w:r w:rsidR="00827914" w:rsidRPr="00BC1AFF">
        <w:instrText xml:space="preserve"> \* MERGEFORMAT </w:instrText>
      </w:r>
      <w:r w:rsidRPr="00BC1AFF">
        <w:fldChar w:fldCharType="separate"/>
      </w:r>
      <w:r w:rsidR="00810AD0">
        <w:t>3.1</w:t>
      </w:r>
      <w:r w:rsidRPr="00BC1AFF">
        <w:fldChar w:fldCharType="end"/>
      </w:r>
      <w:r w:rsidRPr="00BC1AFF">
        <w:t xml:space="preserve"> do not apply</w:t>
      </w:r>
      <w:r w:rsidR="00F152FD" w:rsidRPr="00BC1AFF">
        <w:t xml:space="preserve"> to the IT Environments and Components that are subject to the Telstra Purple Hosting and Connectivity Services</w:t>
      </w:r>
      <w:r w:rsidRPr="00BC1AFF">
        <w:t>;</w:t>
      </w:r>
      <w:r w:rsidR="00526B29" w:rsidRPr="00BC1AFF">
        <w:t xml:space="preserve"> and</w:t>
      </w:r>
    </w:p>
    <w:p w14:paraId="3AD5570F" w14:textId="2E70AA6E" w:rsidR="00093A24" w:rsidRPr="00BC1AFF" w:rsidRDefault="00A20F1A" w:rsidP="00093A24">
      <w:pPr>
        <w:pStyle w:val="Heading3"/>
      </w:pPr>
      <w:r w:rsidRPr="00BC1AFF">
        <w:t xml:space="preserve">we will provide </w:t>
      </w:r>
      <w:r w:rsidR="00093A24" w:rsidRPr="00BC1AFF">
        <w:t xml:space="preserve">the additional service components described in your Telstra Purple Hosting and Connectivity Services SD.   </w:t>
      </w:r>
    </w:p>
    <w:p w14:paraId="48180B5E" w14:textId="2BD7D631" w:rsidR="004B1EA3" w:rsidRPr="00BC1AFF" w:rsidRDefault="004B1EA3" w:rsidP="00802292">
      <w:pPr>
        <w:pStyle w:val="Heading1"/>
      </w:pPr>
      <w:bookmarkStart w:id="139" w:name="_Toc115217340"/>
      <w:bookmarkStart w:id="140" w:name="_Toc137461051"/>
      <w:bookmarkStart w:id="141" w:name="_Toc138241419"/>
      <w:bookmarkStart w:id="142" w:name="_Toc160009016"/>
      <w:bookmarkEnd w:id="138"/>
      <w:r w:rsidRPr="00BC1AFF">
        <w:rPr>
          <w:rFonts w:cs="Telstra Akkurat"/>
          <w:szCs w:val="20"/>
        </w:rPr>
        <w:t>Service</w:t>
      </w:r>
      <w:r w:rsidRPr="00BC1AFF">
        <w:t xml:space="preserve"> Configuration Management (SCM)</w:t>
      </w:r>
      <w:bookmarkEnd w:id="139"/>
      <w:bookmarkEnd w:id="140"/>
      <w:bookmarkEnd w:id="141"/>
      <w:bookmarkEnd w:id="142"/>
      <w:r w:rsidR="009F36C8" w:rsidRPr="00BC1AFF">
        <w:t xml:space="preserve">  </w:t>
      </w:r>
    </w:p>
    <w:p w14:paraId="680D845B" w14:textId="12AF1707" w:rsidR="009F36C8" w:rsidRPr="00BC1AFF" w:rsidRDefault="009F36C8" w:rsidP="00C90281">
      <w:pPr>
        <w:pStyle w:val="Heading2"/>
      </w:pPr>
      <w:r w:rsidRPr="00BC1AFF">
        <w:t xml:space="preserve">Based on the information supplied by </w:t>
      </w:r>
      <w:r w:rsidR="00756B5C" w:rsidRPr="00BC1AFF">
        <w:t>y</w:t>
      </w:r>
      <w:r w:rsidRPr="00BC1AFF">
        <w:t xml:space="preserve">ou and collected by </w:t>
      </w:r>
      <w:r w:rsidR="003A12A8" w:rsidRPr="00BC1AFF">
        <w:t xml:space="preserve">the systems we utilise to manage ITIL </w:t>
      </w:r>
      <w:r w:rsidR="00C73CFE" w:rsidRPr="00BC1AFF">
        <w:t xml:space="preserve">4 </w:t>
      </w:r>
      <w:r w:rsidR="003A12A8" w:rsidRPr="00BC1AFF">
        <w:t>processes (</w:t>
      </w:r>
      <w:r w:rsidRPr="00BC1AFF">
        <w:rPr>
          <w:b/>
        </w:rPr>
        <w:t>Service Management Systems</w:t>
      </w:r>
      <w:r w:rsidR="003A12A8" w:rsidRPr="00BC1AFF">
        <w:t>)</w:t>
      </w:r>
      <w:r w:rsidR="003A12A8" w:rsidRPr="00BC1AFF" w:rsidDel="003A12A8">
        <w:t xml:space="preserve"> </w:t>
      </w:r>
      <w:r w:rsidRPr="00BC1AFF">
        <w:t xml:space="preserve">or as agreed as part of an audit and within the capabilities of the Configuration Item (CI), </w:t>
      </w:r>
      <w:r w:rsidR="07305E70" w:rsidRPr="00BC1AFF">
        <w:t>we</w:t>
      </w:r>
      <w:r w:rsidRPr="00BC1AFF">
        <w:t xml:space="preserve"> will store and update a </w:t>
      </w:r>
      <w:r w:rsidR="009A6DA1" w:rsidRPr="00BC1AFF">
        <w:lastRenderedPageBreak/>
        <w:t>Configuration Management System (</w:t>
      </w:r>
      <w:r w:rsidR="009A6DA1" w:rsidRPr="00BC1AFF">
        <w:rPr>
          <w:b/>
          <w:bCs/>
        </w:rPr>
        <w:t>CMS</w:t>
      </w:r>
      <w:r w:rsidR="009A6DA1" w:rsidRPr="00BC1AFF">
        <w:t xml:space="preserve">) </w:t>
      </w:r>
      <w:r w:rsidRPr="00BC1AFF">
        <w:t xml:space="preserve">of CI’s relating </w:t>
      </w:r>
      <w:r w:rsidR="0D35138D" w:rsidRPr="00BC1AFF">
        <w:t>to</w:t>
      </w:r>
      <w:r w:rsidR="242ED529" w:rsidRPr="00BC1AFF">
        <w:t xml:space="preserve"> </w:t>
      </w:r>
      <w:r w:rsidR="006129BD" w:rsidRPr="00BC1AFF">
        <w:t xml:space="preserve">the managed </w:t>
      </w:r>
      <w:r w:rsidR="16CF78C2" w:rsidRPr="00BC1AFF">
        <w:t>IT Environment and Components</w:t>
      </w:r>
      <w:r w:rsidRPr="00BC1AFF">
        <w:t>.</w:t>
      </w:r>
    </w:p>
    <w:p w14:paraId="699B96A9" w14:textId="0E8EF451" w:rsidR="009F36C8" w:rsidRPr="00BC1AFF" w:rsidRDefault="009F36C8" w:rsidP="00C90281">
      <w:pPr>
        <w:pStyle w:val="Heading2"/>
      </w:pPr>
      <w:r w:rsidRPr="00BC1AFF">
        <w:t xml:space="preserve">Any Changes to the CI must be managed through the Change </w:t>
      </w:r>
      <w:r w:rsidR="7FFB29CB" w:rsidRPr="00BC1AFF">
        <w:t>Enablement</w:t>
      </w:r>
      <w:r w:rsidRPr="00BC1AFF">
        <w:t xml:space="preserve"> process to </w:t>
      </w:r>
      <w:r w:rsidR="000A404B" w:rsidRPr="00BC1AFF">
        <w:t xml:space="preserve">maintain </w:t>
      </w:r>
      <w:r w:rsidRPr="00BC1AFF">
        <w:t xml:space="preserve">the integrity of the </w:t>
      </w:r>
      <w:r w:rsidR="555D0C9B" w:rsidRPr="00BC1AFF">
        <w:t>CMS</w:t>
      </w:r>
      <w:r w:rsidRPr="00BC1AFF">
        <w:t>.</w:t>
      </w:r>
    </w:p>
    <w:p w14:paraId="10EFB80D" w14:textId="430C37B1" w:rsidR="009F36C8" w:rsidRPr="00BC1AFF" w:rsidRDefault="009F36C8" w:rsidP="00C90281">
      <w:pPr>
        <w:pStyle w:val="Heading2"/>
        <w:rPr>
          <w:rFonts w:cs="Telstra Akkurat"/>
        </w:rPr>
      </w:pPr>
      <w:r w:rsidRPr="00BC1AFF">
        <w:t xml:space="preserve">If </w:t>
      </w:r>
      <w:r w:rsidR="00570741" w:rsidRPr="00BC1AFF">
        <w:t>y</w:t>
      </w:r>
      <w:r w:rsidRPr="00BC1AFF">
        <w:t xml:space="preserve">ou are making changes to your self-managed environments, which may impact </w:t>
      </w:r>
      <w:r w:rsidR="005327E9" w:rsidRPr="00BC1AFF">
        <w:t xml:space="preserve">any Telstra Purple Managed </w:t>
      </w:r>
      <w:r w:rsidR="6114089F" w:rsidRPr="00BC1AFF">
        <w:t>S</w:t>
      </w:r>
      <w:r w:rsidR="0D35138D" w:rsidRPr="00BC1AFF">
        <w:t>ervice</w:t>
      </w:r>
      <w:r w:rsidR="00EC4D5E" w:rsidRPr="00BC1AFF">
        <w:t>s</w:t>
      </w:r>
      <w:r w:rsidRPr="00BC1AFF">
        <w:t xml:space="preserve"> provided by </w:t>
      </w:r>
      <w:r w:rsidR="6114089F" w:rsidRPr="00BC1AFF">
        <w:t>u</w:t>
      </w:r>
      <w:r w:rsidR="0D35138D" w:rsidRPr="00BC1AFF">
        <w:t xml:space="preserve">s, </w:t>
      </w:r>
      <w:r w:rsidR="6114089F" w:rsidRPr="00BC1AFF">
        <w:t>y</w:t>
      </w:r>
      <w:r w:rsidR="0D35138D" w:rsidRPr="00BC1AFF">
        <w:t>ou</w:t>
      </w:r>
      <w:r w:rsidRPr="00BC1AFF">
        <w:t xml:space="preserve"> are responsible for ensuring all updates are supplied to </w:t>
      </w:r>
      <w:r w:rsidR="39F3DCA4" w:rsidRPr="00BC1AFF">
        <w:t>us</w:t>
      </w:r>
      <w:r w:rsidRPr="00BC1AFF">
        <w:rPr>
          <w:rFonts w:cs="Telstra Akkurat"/>
        </w:rPr>
        <w:t xml:space="preserve">, for </w:t>
      </w:r>
      <w:r w:rsidR="4B17510F" w:rsidRPr="00BC1AFF">
        <w:rPr>
          <w:rFonts w:cs="Telstra Akkurat"/>
        </w:rPr>
        <w:t>SCM</w:t>
      </w:r>
      <w:r w:rsidRPr="00BC1AFF">
        <w:rPr>
          <w:rFonts w:cs="Telstra Akkurat"/>
        </w:rPr>
        <w:t>.</w:t>
      </w:r>
    </w:p>
    <w:p w14:paraId="2A3A064A" w14:textId="5100F663" w:rsidR="009F36C8" w:rsidRPr="00BC1AFF" w:rsidRDefault="35C04260" w:rsidP="00C90281">
      <w:pPr>
        <w:pStyle w:val="Heading2"/>
        <w:rPr>
          <w:rFonts w:cs="Telstra Akkurat"/>
        </w:rPr>
      </w:pPr>
      <w:r w:rsidRPr="00BC1AFF">
        <w:t>We</w:t>
      </w:r>
      <w:r w:rsidR="009F36C8" w:rsidRPr="00BC1AFF">
        <w:t xml:space="preserve"> will maintain a register and copies of relevant documentation associated with </w:t>
      </w:r>
      <w:r w:rsidR="00D96D9E" w:rsidRPr="00BC1AFF">
        <w:t xml:space="preserve">the </w:t>
      </w:r>
      <w:r w:rsidR="009F36C8" w:rsidRPr="00BC1AFF">
        <w:t xml:space="preserve">managed </w:t>
      </w:r>
      <w:r w:rsidR="00D96D9E" w:rsidRPr="00BC1AFF">
        <w:t xml:space="preserve">IT Environment and Components </w:t>
      </w:r>
      <w:r w:rsidR="009F36C8" w:rsidRPr="00BC1AFF">
        <w:rPr>
          <w:rFonts w:cs="Telstra Akkurat"/>
        </w:rPr>
        <w:t>and their configuration.</w:t>
      </w:r>
    </w:p>
    <w:p w14:paraId="633C414A" w14:textId="37F87011" w:rsidR="009F36C8" w:rsidRPr="00BC1AFF" w:rsidRDefault="005F4084" w:rsidP="00802292">
      <w:pPr>
        <w:pStyle w:val="Heading1"/>
      </w:pPr>
      <w:bookmarkStart w:id="143" w:name="_Toc115217341"/>
      <w:bookmarkStart w:id="144" w:name="_Toc137461052"/>
      <w:bookmarkStart w:id="145" w:name="_Toc138241420"/>
      <w:bookmarkStart w:id="146" w:name="_Toc160009017"/>
      <w:r w:rsidRPr="00BC1AFF">
        <w:t xml:space="preserve">Monitoring and Event </w:t>
      </w:r>
      <w:r w:rsidRPr="00BC1AFF">
        <w:rPr>
          <w:rFonts w:cs="Telstra Akkurat"/>
          <w:szCs w:val="20"/>
        </w:rPr>
        <w:t>Management</w:t>
      </w:r>
      <w:bookmarkEnd w:id="143"/>
      <w:bookmarkEnd w:id="144"/>
      <w:bookmarkEnd w:id="145"/>
      <w:bookmarkEnd w:id="146"/>
    </w:p>
    <w:p w14:paraId="673F2F98" w14:textId="3997B0F7" w:rsidR="00501971" w:rsidRPr="00BC1AFF" w:rsidRDefault="00501971" w:rsidP="00C90281">
      <w:pPr>
        <w:pStyle w:val="Heading2"/>
      </w:pPr>
      <w:r w:rsidRPr="00BC1AFF">
        <w:t xml:space="preserve">We will install a monitoring tool (supplied by </w:t>
      </w:r>
      <w:r w:rsidR="000471A9" w:rsidRPr="00BC1AFF">
        <w:t>us</w:t>
      </w:r>
      <w:r w:rsidRPr="00BC1AFF">
        <w:t xml:space="preserve"> to be installed within </w:t>
      </w:r>
      <w:r w:rsidR="000471A9" w:rsidRPr="00BC1AFF">
        <w:t>y</w:t>
      </w:r>
      <w:r w:rsidRPr="00BC1AFF">
        <w:t>our infrastructure</w:t>
      </w:r>
      <w:r w:rsidR="00820168" w:rsidRPr="00BC1AFF">
        <w:t xml:space="preserve"> which is</w:t>
      </w:r>
      <w:r w:rsidRPr="00BC1AFF">
        <w:t xml:space="preserve"> required to perform</w:t>
      </w:r>
      <w:r w:rsidR="008C57FB" w:rsidRPr="00BC1AFF">
        <w:t xml:space="preserve"> remot</w:t>
      </w:r>
      <w:r w:rsidR="00765B66" w:rsidRPr="00BC1AFF">
        <w:t xml:space="preserve">e </w:t>
      </w:r>
      <w:r w:rsidR="00765B66" w:rsidRPr="00BC1AFF">
        <w:rPr>
          <w:rFonts w:cs="Telstra Akkurat"/>
        </w:rPr>
        <w:t xml:space="preserve">monitoring of </w:t>
      </w:r>
      <w:r w:rsidR="00C80826" w:rsidRPr="00BC1AFF">
        <w:rPr>
          <w:rFonts w:cs="Telstra Akkurat"/>
        </w:rPr>
        <w:t xml:space="preserve">managed </w:t>
      </w:r>
      <w:r w:rsidR="00765B66" w:rsidRPr="00BC1AFF">
        <w:rPr>
          <w:rFonts w:cs="Telstra Akkurat"/>
        </w:rPr>
        <w:t xml:space="preserve">IT Environments </w:t>
      </w:r>
      <w:r w:rsidR="00C80826" w:rsidRPr="00BC1AFF">
        <w:rPr>
          <w:rFonts w:cs="Telstra Akkurat"/>
        </w:rPr>
        <w:t>and</w:t>
      </w:r>
      <w:r w:rsidR="00765B66" w:rsidRPr="00BC1AFF">
        <w:rPr>
          <w:rFonts w:cs="Telstra Akkurat"/>
        </w:rPr>
        <w:t xml:space="preserve"> Components</w:t>
      </w:r>
      <w:r w:rsidR="00765B66" w:rsidRPr="00BC1AFF">
        <w:t xml:space="preserve"> (</w:t>
      </w:r>
      <w:r w:rsidR="000471A9" w:rsidRPr="00BC1AFF">
        <w:rPr>
          <w:b/>
          <w:bCs/>
        </w:rPr>
        <w:t>Mon</w:t>
      </w:r>
      <w:r w:rsidR="00A03932" w:rsidRPr="00BC1AFF">
        <w:rPr>
          <w:b/>
          <w:bCs/>
        </w:rPr>
        <w:t>itoring and</w:t>
      </w:r>
      <w:r w:rsidRPr="00BC1AFF">
        <w:rPr>
          <w:b/>
          <w:bCs/>
        </w:rPr>
        <w:t xml:space="preserve"> Event Management</w:t>
      </w:r>
      <w:r w:rsidRPr="00BC1AFF">
        <w:t xml:space="preserve">). The monitoring tool connects back to </w:t>
      </w:r>
      <w:r w:rsidR="00A03932" w:rsidRPr="00BC1AFF">
        <w:t>a</w:t>
      </w:r>
      <w:r w:rsidRPr="00BC1AFF">
        <w:t xml:space="preserve"> central </w:t>
      </w:r>
      <w:r w:rsidR="006445AD" w:rsidRPr="00BC1AFF">
        <w:t xml:space="preserve">system </w:t>
      </w:r>
      <w:r w:rsidRPr="00BC1AFF">
        <w:t>using a secure encrypted connection, which allows for the delivery of system availability, performance</w:t>
      </w:r>
      <w:r w:rsidR="00765B66" w:rsidRPr="00BC1AFF">
        <w:t>,</w:t>
      </w:r>
      <w:r w:rsidRPr="00BC1AFF">
        <w:t xml:space="preserve"> and capacity information back to </w:t>
      </w:r>
      <w:r w:rsidR="00D57B25" w:rsidRPr="00BC1AFF">
        <w:t>our</w:t>
      </w:r>
      <w:r w:rsidRPr="00BC1AFF">
        <w:t xml:space="preserve"> </w:t>
      </w:r>
      <w:r w:rsidR="00913E68" w:rsidRPr="00BC1AFF">
        <w:t>Managed Services</w:t>
      </w:r>
      <w:r w:rsidRPr="00BC1AFF">
        <w:t xml:space="preserve"> </w:t>
      </w:r>
      <w:r w:rsidR="00E13C5D" w:rsidRPr="00BC1AFF">
        <w:t>T</w:t>
      </w:r>
      <w:r w:rsidRPr="00BC1AFF">
        <w:t>eam</w:t>
      </w:r>
      <w:r w:rsidR="006445AD" w:rsidRPr="00BC1AFF">
        <w:t xml:space="preserve"> (</w:t>
      </w:r>
      <w:r w:rsidR="006445AD" w:rsidRPr="00BC1AFF">
        <w:rPr>
          <w:b/>
        </w:rPr>
        <w:t>Monitoring and Event Management System</w:t>
      </w:r>
      <w:r w:rsidR="006445AD" w:rsidRPr="00BC1AFF">
        <w:t>)</w:t>
      </w:r>
      <w:r w:rsidRPr="00BC1AFF">
        <w:t xml:space="preserve">. This information is then fed through </w:t>
      </w:r>
      <w:r w:rsidR="004A0F39" w:rsidRPr="00BC1AFF">
        <w:t>our</w:t>
      </w:r>
      <w:r w:rsidRPr="00BC1AFF">
        <w:t xml:space="preserve"> custom filters, and events are created via rules and agreed thresholds which are either automatically dealt with by</w:t>
      </w:r>
      <w:r w:rsidR="00B3515D" w:rsidRPr="00BC1AFF">
        <w:t xml:space="preserve"> our</w:t>
      </w:r>
      <w:r w:rsidR="00EB2A1B" w:rsidRPr="00BC1AFF">
        <w:t xml:space="preserve"> </w:t>
      </w:r>
      <w:r w:rsidRPr="00BC1AFF">
        <w:t xml:space="preserve">Service Management System or reviewed by </w:t>
      </w:r>
      <w:r w:rsidR="004A2CC9" w:rsidRPr="00BC1AFF">
        <w:t>our</w:t>
      </w:r>
      <w:r w:rsidR="00FF44B4" w:rsidRPr="00BC1AFF">
        <w:t xml:space="preserve"> Managed </w:t>
      </w:r>
      <w:r w:rsidRPr="00BC1AFF">
        <w:t>Service</w:t>
      </w:r>
      <w:r w:rsidR="00FF44B4" w:rsidRPr="00BC1AFF">
        <w:t>s</w:t>
      </w:r>
      <w:r w:rsidRPr="00BC1AFF">
        <w:t xml:space="preserve"> </w:t>
      </w:r>
      <w:r w:rsidR="00E13C5D" w:rsidRPr="00BC1AFF">
        <w:t>T</w:t>
      </w:r>
      <w:r w:rsidR="00FF44B4" w:rsidRPr="00BC1AFF">
        <w:t xml:space="preserve">eam </w:t>
      </w:r>
      <w:r w:rsidRPr="00BC1AFF">
        <w:t>to determine if an Incident should be raised.</w:t>
      </w:r>
    </w:p>
    <w:p w14:paraId="36F83295" w14:textId="0B6CD8F6" w:rsidR="00A95CE6" w:rsidRPr="00BC1AFF" w:rsidRDefault="00A95CE6" w:rsidP="00C90281">
      <w:pPr>
        <w:pStyle w:val="Heading2"/>
      </w:pPr>
      <w:r w:rsidRPr="00BC1AFF">
        <w:rPr>
          <w:rFonts w:cs="Telstra Akkurat"/>
        </w:rPr>
        <w:t>Th</w:t>
      </w:r>
      <w:r w:rsidR="00BB0C55" w:rsidRPr="00BC1AFF">
        <w:rPr>
          <w:rFonts w:cs="Telstra Akkurat"/>
        </w:rPr>
        <w:t>e</w:t>
      </w:r>
      <w:r w:rsidRPr="00BC1AFF">
        <w:rPr>
          <w:rFonts w:cs="Telstra Akkurat"/>
        </w:rPr>
        <w:t xml:space="preserve"> </w:t>
      </w:r>
      <w:r w:rsidR="003A4C0F" w:rsidRPr="00BC1AFF">
        <w:rPr>
          <w:rFonts w:cs="Telstra Akkurat"/>
        </w:rPr>
        <w:t>monitoring tool</w:t>
      </w:r>
      <w:r w:rsidRPr="00BC1AFF">
        <w:rPr>
          <w:rFonts w:cs="Telstra Akkurat"/>
        </w:rPr>
        <w:t xml:space="preserve"> </w:t>
      </w:r>
      <w:r w:rsidR="00134E98" w:rsidRPr="00BC1AFF">
        <w:rPr>
          <w:rFonts w:cs="Telstra Akkurat"/>
        </w:rPr>
        <w:t>processes</w:t>
      </w:r>
      <w:r w:rsidRPr="00BC1AFF">
        <w:rPr>
          <w:rFonts w:cs="Telstra Akkurat"/>
        </w:rPr>
        <w:t xml:space="preserve"> alerts and is combined with built-in call-home features that generate </w:t>
      </w:r>
      <w:r w:rsidRPr="00BC1AFF">
        <w:t>automated alerts and tickets within the Service Management System</w:t>
      </w:r>
      <w:r w:rsidR="0069775F" w:rsidRPr="00BC1AFF">
        <w:t xml:space="preserve">, unless </w:t>
      </w:r>
      <w:r w:rsidR="005154A9" w:rsidRPr="00BC1AFF">
        <w:t>otherwise specified in the MSD</w:t>
      </w:r>
      <w:r w:rsidRPr="00BC1AFF">
        <w:t>.</w:t>
      </w:r>
    </w:p>
    <w:p w14:paraId="32A57FF2" w14:textId="31F7A029" w:rsidR="00A95CE6" w:rsidRPr="00BC1AFF" w:rsidRDefault="00A95CE6" w:rsidP="00C90281">
      <w:pPr>
        <w:pStyle w:val="Heading2"/>
      </w:pPr>
      <w:r w:rsidRPr="00BC1AFF">
        <w:t xml:space="preserve">The monitoring provided </w:t>
      </w:r>
      <w:r w:rsidR="006D56A7" w:rsidRPr="00BC1AFF">
        <w:t>with</w:t>
      </w:r>
      <w:r w:rsidR="005F57D2" w:rsidRPr="00BC1AFF">
        <w:t xml:space="preserve"> </w:t>
      </w:r>
      <w:r w:rsidRPr="00BC1AFF">
        <w:t xml:space="preserve">24 x 7 </w:t>
      </w:r>
      <w:r w:rsidR="00732FC6" w:rsidRPr="00BC1AFF">
        <w:t xml:space="preserve">x 365 </w:t>
      </w:r>
      <w:r w:rsidRPr="00BC1AFF">
        <w:t>support</w:t>
      </w:r>
      <w:r w:rsidR="00B5714F" w:rsidRPr="00BC1AFF">
        <w:t xml:space="preserve"> </w:t>
      </w:r>
      <w:r w:rsidR="004C7CFE" w:rsidRPr="00BC1AFF">
        <w:t>includes</w:t>
      </w:r>
      <w:r w:rsidRPr="00BC1AFF">
        <w:t xml:space="preserve"> manage</w:t>
      </w:r>
      <w:r w:rsidR="007A5203" w:rsidRPr="00BC1AFF">
        <w:t>ment of</w:t>
      </w:r>
      <w:r w:rsidRPr="00BC1AFF">
        <w:t xml:space="preserve"> any P1 or P2 events after hours and </w:t>
      </w:r>
      <w:r w:rsidR="003425B8" w:rsidRPr="00BC1AFF">
        <w:t xml:space="preserve">we will </w:t>
      </w:r>
      <w:r w:rsidRPr="00BC1AFF">
        <w:t xml:space="preserve">contact </w:t>
      </w:r>
      <w:r w:rsidR="00BE2919" w:rsidRPr="00BC1AFF">
        <w:t xml:space="preserve">you </w:t>
      </w:r>
      <w:r w:rsidRPr="00BC1AFF">
        <w:t>to confirm whether the incident requires investigat</w:t>
      </w:r>
      <w:r w:rsidR="003425B8" w:rsidRPr="00BC1AFF">
        <w:t>ion</w:t>
      </w:r>
      <w:r w:rsidRPr="00BC1AFF">
        <w:t xml:space="preserve"> </w:t>
      </w:r>
      <w:r w:rsidR="001C3B8F" w:rsidRPr="00BC1AFF">
        <w:t>inside or outside of</w:t>
      </w:r>
      <w:r w:rsidRPr="00BC1AFF">
        <w:t xml:space="preserve"> </w:t>
      </w:r>
      <w:r w:rsidR="00BE2919" w:rsidRPr="00BC1AFF">
        <w:t>B</w:t>
      </w:r>
      <w:r w:rsidRPr="00BC1AFF">
        <w:t xml:space="preserve">usiness </w:t>
      </w:r>
      <w:r w:rsidR="00BE2919" w:rsidRPr="00BC1AFF">
        <w:t>H</w:t>
      </w:r>
      <w:r w:rsidRPr="00BC1AFF">
        <w:t xml:space="preserve">ours.  </w:t>
      </w:r>
    </w:p>
    <w:p w14:paraId="6FDCE2EB" w14:textId="55C39DE3" w:rsidR="00CB4B5A" w:rsidRPr="00BC1AFF" w:rsidRDefault="00CB4B5A" w:rsidP="00C90281">
      <w:pPr>
        <w:pStyle w:val="Heading2"/>
      </w:pPr>
      <w:r w:rsidRPr="00BC1AFF">
        <w:t xml:space="preserve">The monitoring provided as part of </w:t>
      </w:r>
      <w:r w:rsidR="00F87588" w:rsidRPr="00BC1AFF">
        <w:t>your Monitoring and Event Management s</w:t>
      </w:r>
      <w:r w:rsidRPr="00BC1AFF">
        <w:t xml:space="preserve">ervices is further detailed </w:t>
      </w:r>
      <w:r w:rsidR="00B965B4" w:rsidRPr="00BC1AFF">
        <w:t>in the M</w:t>
      </w:r>
      <w:r w:rsidR="00FB1634" w:rsidRPr="00BC1AFF">
        <w:t>SD(s)</w:t>
      </w:r>
      <w:r w:rsidR="00373BF8" w:rsidRPr="00BC1AFF">
        <w:t xml:space="preserve"> </w:t>
      </w:r>
      <w:r w:rsidR="000B4CC8" w:rsidRPr="00BC1AFF">
        <w:t>and is</w:t>
      </w:r>
      <w:r w:rsidRPr="00BC1AFF" w:rsidDel="00373BF8">
        <w:t xml:space="preserve"> </w:t>
      </w:r>
      <w:r w:rsidRPr="00BC1AFF">
        <w:t xml:space="preserve">subject to the capabilities of the </w:t>
      </w:r>
      <w:r w:rsidR="00F87588" w:rsidRPr="00BC1AFF">
        <w:t xml:space="preserve">IT Environments </w:t>
      </w:r>
      <w:r w:rsidR="00D33B10" w:rsidRPr="00BC1AFF">
        <w:t xml:space="preserve">and </w:t>
      </w:r>
      <w:r w:rsidR="00F87588" w:rsidRPr="00BC1AFF">
        <w:t>Components</w:t>
      </w:r>
      <w:r w:rsidR="00F87588" w:rsidRPr="00BC1AFF" w:rsidDel="00F87588">
        <w:t xml:space="preserve"> </w:t>
      </w:r>
      <w:r w:rsidRPr="00BC1AFF">
        <w:t>being managed</w:t>
      </w:r>
      <w:r w:rsidR="00373BF8" w:rsidRPr="00BC1AFF">
        <w:t>.</w:t>
      </w:r>
    </w:p>
    <w:p w14:paraId="254CB1DD" w14:textId="67837C47" w:rsidR="00CB4B5A" w:rsidRPr="00BC1AFF" w:rsidRDefault="28161600" w:rsidP="00C90281">
      <w:pPr>
        <w:pStyle w:val="Heading2"/>
      </w:pPr>
      <w:r w:rsidRPr="00BC1AFF">
        <w:t>We</w:t>
      </w:r>
      <w:r w:rsidR="00CB4B5A" w:rsidRPr="00BC1AFF">
        <w:t xml:space="preserve"> will maintain the monitoring tool including patching, licensing and ongoing maintenance in line with </w:t>
      </w:r>
      <w:r w:rsidRPr="00BC1AFF">
        <w:t>our</w:t>
      </w:r>
      <w:r w:rsidR="00CB4B5A" w:rsidRPr="00BC1AFF">
        <w:t xml:space="preserve"> policies and procedures.</w:t>
      </w:r>
    </w:p>
    <w:p w14:paraId="0A50311F" w14:textId="4F89F22A" w:rsidR="00CB4B5A" w:rsidRPr="00BC1AFF" w:rsidRDefault="00CB4B5A" w:rsidP="00C90281">
      <w:pPr>
        <w:pStyle w:val="Heading2"/>
      </w:pPr>
      <w:r w:rsidRPr="00BC1AFF">
        <w:t>Each event collected by the monitoring tool and processed through the Service Management System is categorised as one of the three following types:</w:t>
      </w:r>
    </w:p>
    <w:p w14:paraId="417930D4" w14:textId="250D1A74" w:rsidR="00CB4B5A" w:rsidRPr="00BC1AFF" w:rsidRDefault="00CB4B5A" w:rsidP="317C4359">
      <w:pPr>
        <w:pStyle w:val="Heading3"/>
      </w:pPr>
      <w:r w:rsidRPr="00BC1AFF">
        <w:t xml:space="preserve">Informational – </w:t>
      </w:r>
      <w:r w:rsidR="00AE0F9E" w:rsidRPr="00BC1AFF">
        <w:t>i</w:t>
      </w:r>
      <w:r w:rsidR="09BD6E75" w:rsidRPr="00BC1AFF">
        <w:t>ncludes</w:t>
      </w:r>
      <w:r w:rsidRPr="00BC1AFF">
        <w:t xml:space="preserve"> confirmation of a batch job or backup completion. This information is fed into the </w:t>
      </w:r>
      <w:r w:rsidR="00CF6E71" w:rsidRPr="00BC1AFF">
        <w:t>Managed Service</w:t>
      </w:r>
      <w:r w:rsidR="00EC4D5E" w:rsidRPr="00BC1AFF">
        <w:t>s</w:t>
      </w:r>
      <w:r w:rsidR="00884294" w:rsidRPr="00BC1AFF">
        <w:t xml:space="preserve"> </w:t>
      </w:r>
      <w:r w:rsidR="00E13C5D" w:rsidRPr="00BC1AFF">
        <w:t>T</w:t>
      </w:r>
      <w:r w:rsidR="00884294" w:rsidRPr="00BC1AFF">
        <w:t xml:space="preserve">eam’s </w:t>
      </w:r>
      <w:r w:rsidRPr="00BC1AFF">
        <w:t xml:space="preserve">daily checks and on-going healthcare for </w:t>
      </w:r>
      <w:r w:rsidR="006C53A4" w:rsidRPr="00BC1AFF">
        <w:t xml:space="preserve">managed </w:t>
      </w:r>
      <w:r w:rsidR="001E43CC" w:rsidRPr="00BC1AFF">
        <w:t xml:space="preserve">IT </w:t>
      </w:r>
      <w:r w:rsidRPr="00BC1AFF">
        <w:t>Environments</w:t>
      </w:r>
      <w:r w:rsidR="006731A9" w:rsidRPr="00BC1AFF">
        <w:t xml:space="preserve"> </w:t>
      </w:r>
      <w:r w:rsidR="00CF6E71" w:rsidRPr="00BC1AFF">
        <w:t>and</w:t>
      </w:r>
      <w:r w:rsidR="006731A9" w:rsidRPr="00BC1AFF">
        <w:t xml:space="preserve"> Components</w:t>
      </w:r>
      <w:r w:rsidR="00B87400" w:rsidRPr="00BC1AFF">
        <w:t>;</w:t>
      </w:r>
    </w:p>
    <w:p w14:paraId="61530231" w14:textId="02BC9B07" w:rsidR="00CB4B5A" w:rsidRPr="00BC1AFF" w:rsidRDefault="00CB4B5A" w:rsidP="317C4359">
      <w:pPr>
        <w:pStyle w:val="Heading3"/>
      </w:pPr>
      <w:r w:rsidRPr="00BC1AFF">
        <w:t xml:space="preserve">Warning – </w:t>
      </w:r>
      <w:r w:rsidR="36105F82" w:rsidRPr="00BC1AFF">
        <w:t>includes</w:t>
      </w:r>
      <w:r w:rsidRPr="00BC1AFF">
        <w:t xml:space="preserve"> potential imminent failures or systems and processes that may have reached a predefined warning threshold, such as storage volume capacity reaching 80%. </w:t>
      </w:r>
      <w:r w:rsidR="00CF6E71" w:rsidRPr="00BC1AFF">
        <w:t>Managed Service</w:t>
      </w:r>
      <w:r w:rsidR="00FE0E65" w:rsidRPr="00BC1AFF">
        <w:t>s</w:t>
      </w:r>
      <w:r w:rsidR="00CF6E71" w:rsidRPr="00BC1AFF">
        <w:t xml:space="preserve"> </w:t>
      </w:r>
      <w:r w:rsidR="00E13C5D" w:rsidRPr="00BC1AFF">
        <w:t>T</w:t>
      </w:r>
      <w:r w:rsidR="00CF6E71" w:rsidRPr="00BC1AFF">
        <w:t>eam</w:t>
      </w:r>
      <w:r w:rsidRPr="00BC1AFF">
        <w:t xml:space="preserve"> will then review and assess if any further preventative action is required in order to mitigate possible impact</w:t>
      </w:r>
      <w:r w:rsidR="00B87400" w:rsidRPr="00BC1AFF">
        <w:t>; and</w:t>
      </w:r>
    </w:p>
    <w:p w14:paraId="4887EF16" w14:textId="4C8CEE46" w:rsidR="00CB4B5A" w:rsidRPr="00BC1AFF" w:rsidRDefault="00CB4B5A" w:rsidP="317C4359">
      <w:pPr>
        <w:pStyle w:val="Heading3"/>
      </w:pPr>
      <w:r w:rsidRPr="00BC1AFF">
        <w:t xml:space="preserve">Critical – </w:t>
      </w:r>
      <w:r w:rsidR="00AE0F9E" w:rsidRPr="00BC1AFF">
        <w:t>i</w:t>
      </w:r>
      <w:r w:rsidR="067851FA" w:rsidRPr="00BC1AFF">
        <w:t>ncludes</w:t>
      </w:r>
      <w:r w:rsidRPr="00BC1AFF">
        <w:t xml:space="preserve"> a system or process that has either reached a predefined critical warning level such as a storage volume capacity reaching 90%, or a system, service, </w:t>
      </w:r>
      <w:r w:rsidRPr="00BC1AFF">
        <w:lastRenderedPageBreak/>
        <w:t xml:space="preserve">environment or </w:t>
      </w:r>
      <w:r w:rsidR="00E16F27" w:rsidRPr="00BC1AFF">
        <w:t>component</w:t>
      </w:r>
      <w:r w:rsidRPr="00BC1AFF">
        <w:t xml:space="preserve"> down. </w:t>
      </w:r>
      <w:r w:rsidR="00914DE9" w:rsidRPr="00BC1AFF">
        <w:t xml:space="preserve"> </w:t>
      </w:r>
      <w:r w:rsidR="00977D92" w:rsidRPr="00BC1AFF">
        <w:t>The</w:t>
      </w:r>
      <w:r w:rsidR="00914DE9" w:rsidRPr="00BC1AFF">
        <w:t xml:space="preserve"> </w:t>
      </w:r>
      <w:r w:rsidR="00256A31" w:rsidRPr="00BC1AFF">
        <w:t>Managed Service</w:t>
      </w:r>
      <w:r w:rsidR="00EC4D5E" w:rsidRPr="00BC1AFF">
        <w:t>s</w:t>
      </w:r>
      <w:r w:rsidR="00256A31" w:rsidRPr="00BC1AFF">
        <w:t xml:space="preserve"> </w:t>
      </w:r>
      <w:r w:rsidR="00E13C5D" w:rsidRPr="00BC1AFF">
        <w:t>T</w:t>
      </w:r>
      <w:r w:rsidR="00256A31" w:rsidRPr="00BC1AFF">
        <w:t>eam</w:t>
      </w:r>
      <w:r w:rsidRPr="00BC1AFF">
        <w:t xml:space="preserve"> will first assess the event to ensure that it is a genuine alert before initiating the Incident Management process.</w:t>
      </w:r>
    </w:p>
    <w:p w14:paraId="63939C9D" w14:textId="09260C12" w:rsidR="00CB4B5A" w:rsidRPr="00BC1AFF" w:rsidRDefault="00CB4B5A" w:rsidP="00C90281">
      <w:pPr>
        <w:pStyle w:val="Heading2"/>
        <w:rPr>
          <w:rFonts w:cs="Telstra Akkurat"/>
        </w:rPr>
      </w:pPr>
      <w:r w:rsidRPr="00BC1AFF">
        <w:t xml:space="preserve">All monitored metrics are dependent on the capabilities of the </w:t>
      </w:r>
      <w:r w:rsidR="00E16F27" w:rsidRPr="00BC1AFF">
        <w:t>IT Environment</w:t>
      </w:r>
      <w:r w:rsidR="001932B3" w:rsidRPr="00BC1AFF">
        <w:t>s</w:t>
      </w:r>
      <w:r w:rsidR="00E16F27" w:rsidRPr="00BC1AFF">
        <w:t xml:space="preserve"> </w:t>
      </w:r>
      <w:r w:rsidR="008B0812" w:rsidRPr="00BC1AFF">
        <w:t>and</w:t>
      </w:r>
      <w:r w:rsidR="00E16F27" w:rsidRPr="00BC1AFF">
        <w:t xml:space="preserve"> Component</w:t>
      </w:r>
      <w:r w:rsidR="001932B3" w:rsidRPr="00BC1AFF">
        <w:t>s</w:t>
      </w:r>
      <w:r w:rsidRPr="00BC1AFF">
        <w:t xml:space="preserve"> under management to present the information, which will be determined during the on-boarding of the </w:t>
      </w:r>
      <w:r w:rsidR="008B0812" w:rsidRPr="00BC1AFF">
        <w:t xml:space="preserve">managed </w:t>
      </w:r>
      <w:r w:rsidR="00BD4463" w:rsidRPr="00BC1AFF">
        <w:t>IT Environment</w:t>
      </w:r>
      <w:r w:rsidR="008B0812" w:rsidRPr="00BC1AFF">
        <w:t>s and</w:t>
      </w:r>
      <w:r w:rsidR="00BD4463" w:rsidRPr="00BC1AFF" w:rsidDel="008B0812">
        <w:t xml:space="preserve"> </w:t>
      </w:r>
      <w:r w:rsidR="00BD4463" w:rsidRPr="00BC1AFF">
        <w:t>Components</w:t>
      </w:r>
      <w:r w:rsidRPr="00BC1AFF">
        <w:t xml:space="preserve">.  </w:t>
      </w:r>
      <w:r w:rsidR="0048641D" w:rsidRPr="00BC1AFF">
        <w:t>We will advise you if your</w:t>
      </w:r>
      <w:r w:rsidR="00FE0F6B" w:rsidRPr="00BC1AFF">
        <w:t xml:space="preserve"> IT Environment</w:t>
      </w:r>
      <w:r w:rsidR="00EC4990" w:rsidRPr="00BC1AFF">
        <w:t>s</w:t>
      </w:r>
      <w:r w:rsidR="00FE0F6B" w:rsidRPr="00BC1AFF">
        <w:t xml:space="preserve"> </w:t>
      </w:r>
      <w:r w:rsidR="00EB4AA1" w:rsidRPr="00BC1AFF">
        <w:t>and</w:t>
      </w:r>
      <w:r w:rsidR="00FE0F6B" w:rsidRPr="00BC1AFF">
        <w:t xml:space="preserve"> Component</w:t>
      </w:r>
      <w:r w:rsidR="00F4448D" w:rsidRPr="00BC1AFF">
        <w:t>s</w:t>
      </w:r>
      <w:r w:rsidRPr="00BC1AFF">
        <w:t xml:space="preserve"> do not have the capability to support</w:t>
      </w:r>
      <w:r w:rsidRPr="00BC1AFF">
        <w:rPr>
          <w:rFonts w:cs="Telstra Akkurat"/>
        </w:rPr>
        <w:t xml:space="preserve"> a significant metric.</w:t>
      </w:r>
    </w:p>
    <w:p w14:paraId="50EFFDBD" w14:textId="7991A037" w:rsidR="00A95CE6" w:rsidRPr="00BC1AFF" w:rsidRDefault="00132585" w:rsidP="00802292">
      <w:pPr>
        <w:pStyle w:val="Heading1"/>
      </w:pPr>
      <w:bookmarkStart w:id="147" w:name="_Toc115217342"/>
      <w:bookmarkStart w:id="148" w:name="_Toc137461053"/>
      <w:bookmarkStart w:id="149" w:name="_Toc138241421"/>
      <w:bookmarkStart w:id="150" w:name="_Toc160009018"/>
      <w:r w:rsidRPr="00BC1AFF">
        <w:t xml:space="preserve">Incident </w:t>
      </w:r>
      <w:r w:rsidRPr="00BC1AFF">
        <w:rPr>
          <w:rFonts w:cs="Telstra Akkurat"/>
        </w:rPr>
        <w:t>Management</w:t>
      </w:r>
      <w:bookmarkEnd w:id="147"/>
      <w:bookmarkEnd w:id="148"/>
      <w:bookmarkEnd w:id="149"/>
      <w:bookmarkEnd w:id="150"/>
    </w:p>
    <w:p w14:paraId="297C8C94" w14:textId="6D321887" w:rsidR="000A210F" w:rsidRPr="00BC1AFF" w:rsidRDefault="000A210F" w:rsidP="00C90281">
      <w:pPr>
        <w:pStyle w:val="Heading2"/>
      </w:pPr>
      <w:r w:rsidRPr="00BC1AFF">
        <w:t>All new Incidents will undergo an initial assessment of impact and urgency to determine the priority level</w:t>
      </w:r>
      <w:r w:rsidR="003116E8" w:rsidRPr="00BC1AFF">
        <w:t xml:space="preserve"> using the matrix</w:t>
      </w:r>
      <w:r w:rsidR="00C8688C" w:rsidRPr="00BC1AFF">
        <w:t xml:space="preserve"> </w:t>
      </w:r>
      <w:r w:rsidR="00453E3C" w:rsidRPr="00BC1AFF">
        <w:t>set out below</w:t>
      </w:r>
      <w:r w:rsidRPr="00BC1AFF">
        <w:t xml:space="preserve">. </w:t>
      </w:r>
      <w:r w:rsidR="004E050D" w:rsidRPr="00BC1AFF">
        <w:t>We</w:t>
      </w:r>
      <w:r w:rsidRPr="00BC1AFF">
        <w:t xml:space="preserve"> will</w:t>
      </w:r>
      <w:r w:rsidRPr="00BC1AFF" w:rsidDel="004452BE">
        <w:t xml:space="preserve"> </w:t>
      </w:r>
      <w:r w:rsidR="004452BE" w:rsidRPr="00BC1AFF">
        <w:t xml:space="preserve">try </w:t>
      </w:r>
      <w:r w:rsidRPr="00BC1AFF">
        <w:t>to determine the number of users</w:t>
      </w:r>
      <w:r w:rsidR="00375473" w:rsidRPr="00BC1AFF">
        <w:t xml:space="preserve"> and</w:t>
      </w:r>
      <w:r w:rsidRPr="00BC1AFF">
        <w:t>/</w:t>
      </w:r>
      <w:r w:rsidR="00375473" w:rsidRPr="00BC1AFF">
        <w:t xml:space="preserve">or </w:t>
      </w:r>
      <w:r w:rsidRPr="00BC1AFF">
        <w:t xml:space="preserve">systems affected and establish the impact to </w:t>
      </w:r>
      <w:r w:rsidR="004452BE" w:rsidRPr="00BC1AFF">
        <w:t>y</w:t>
      </w:r>
      <w:r w:rsidRPr="00BC1AFF">
        <w:t xml:space="preserve">our </w:t>
      </w:r>
      <w:r w:rsidR="00DD1FEC" w:rsidRPr="00BC1AFF">
        <w:t xml:space="preserve">managed </w:t>
      </w:r>
      <w:r w:rsidR="004452BE" w:rsidRPr="00BC1AFF">
        <w:t xml:space="preserve">IT </w:t>
      </w:r>
      <w:r w:rsidRPr="00BC1AFF">
        <w:t>Environment</w:t>
      </w:r>
      <w:r w:rsidR="00DD1FEC" w:rsidRPr="00BC1AFF">
        <w:t>s and</w:t>
      </w:r>
      <w:r w:rsidR="00615D3A" w:rsidRPr="00BC1AFF">
        <w:t xml:space="preserve"> Components</w:t>
      </w:r>
      <w:r w:rsidRPr="00BC1AFF">
        <w:t xml:space="preserve">. If a common position </w:t>
      </w:r>
      <w:r w:rsidR="00DD1FEC" w:rsidRPr="00BC1AFF">
        <w:t xml:space="preserve">on the priority of the Incident </w:t>
      </w:r>
      <w:r w:rsidRPr="00BC1AFF">
        <w:t xml:space="preserve">cannot be agreed </w:t>
      </w:r>
      <w:r w:rsidR="00DD1FEC" w:rsidRPr="00BC1AFF">
        <w:t>upon</w:t>
      </w:r>
      <w:r w:rsidR="00E82C2D" w:rsidRPr="00BC1AFF">
        <w:t>,</w:t>
      </w:r>
      <w:r w:rsidRPr="00BC1AFF">
        <w:t xml:space="preserve"> </w:t>
      </w:r>
      <w:r w:rsidRPr="00BC1AFF" w:rsidDel="003E377A">
        <w:t xml:space="preserve">your </w:t>
      </w:r>
      <w:r w:rsidR="003E377A" w:rsidRPr="00BC1AFF">
        <w:t>requested</w:t>
      </w:r>
      <w:r w:rsidRPr="00BC1AFF">
        <w:t xml:space="preserve"> status will be used until an agreed </w:t>
      </w:r>
      <w:r w:rsidR="001F6CCB" w:rsidRPr="00BC1AFF">
        <w:t>priority status</w:t>
      </w:r>
      <w:r w:rsidRPr="00BC1AFF">
        <w:t xml:space="preserve"> is met</w:t>
      </w:r>
      <w:r w:rsidR="006F13BD" w:rsidRPr="00BC1AFF">
        <w:t>.</w:t>
      </w:r>
    </w:p>
    <w:p w14:paraId="2A29DF69" w14:textId="5DB9A523" w:rsidR="000A210F" w:rsidRPr="00BC1AFF" w:rsidRDefault="000A210F" w:rsidP="00C90281">
      <w:pPr>
        <w:pStyle w:val="Heading2"/>
      </w:pPr>
      <w:r w:rsidRPr="00BC1AFF">
        <w:t xml:space="preserve">All Incidents will be recorded in </w:t>
      </w:r>
      <w:r w:rsidR="00FF4922" w:rsidRPr="00BC1AFF">
        <w:t>our</w:t>
      </w:r>
      <w:r w:rsidRPr="00BC1AFF">
        <w:t xml:space="preserve"> Service Management System under the incident management workflow.</w:t>
      </w:r>
    </w:p>
    <w:p w14:paraId="5D507B6D" w14:textId="0219CF9E" w:rsidR="006A32DF" w:rsidRPr="00BC1AFF" w:rsidRDefault="00003DF0" w:rsidP="00C90281">
      <w:pPr>
        <w:pStyle w:val="Heading2"/>
      </w:pPr>
      <w:r w:rsidRPr="00BC1AFF">
        <w:t xml:space="preserve">The criteria for resolution are agreed as part of the initial impact assessment. </w:t>
      </w:r>
      <w:r w:rsidR="006A32DF" w:rsidRPr="00BC1AFF">
        <w:t>Upon resolution</w:t>
      </w:r>
      <w:r w:rsidR="7810E058" w:rsidRPr="00BC1AFF">
        <w:t>,</w:t>
      </w:r>
      <w:r w:rsidR="006A32DF" w:rsidRPr="00BC1AFF">
        <w:t xml:space="preserve"> the </w:t>
      </w:r>
      <w:r w:rsidR="006352E6" w:rsidRPr="00BC1AFF">
        <w:t>Managed Service</w:t>
      </w:r>
      <w:r w:rsidR="000221CA" w:rsidRPr="00BC1AFF">
        <w:t>s</w:t>
      </w:r>
      <w:r w:rsidR="006A32DF" w:rsidRPr="00BC1AFF">
        <w:t xml:space="preserve"> </w:t>
      </w:r>
      <w:r w:rsidR="00E13C5D" w:rsidRPr="00BC1AFF">
        <w:t>T</w:t>
      </w:r>
      <w:r w:rsidR="006A32DF" w:rsidRPr="00BC1AFF">
        <w:t>eam will contact the originator or your specified contact to advise of the resolution and confirm the criteria for resolution have been met prior to closing the ticket.</w:t>
      </w:r>
    </w:p>
    <w:p w14:paraId="739BF9DC" w14:textId="559DC0FB" w:rsidR="006A32DF" w:rsidRPr="00BC1AFF" w:rsidRDefault="006A32DF" w:rsidP="00C90281">
      <w:pPr>
        <w:pStyle w:val="Heading2"/>
      </w:pPr>
      <w:r w:rsidRPr="00BC1AFF">
        <w:t xml:space="preserve">If </w:t>
      </w:r>
      <w:r w:rsidR="00977D92" w:rsidRPr="00BC1AFF">
        <w:t>the</w:t>
      </w:r>
      <w:r w:rsidR="007C6054" w:rsidRPr="00BC1AFF">
        <w:t xml:space="preserve"> Managed Service</w:t>
      </w:r>
      <w:r w:rsidR="00085E9A" w:rsidRPr="00BC1AFF">
        <w:t>s</w:t>
      </w:r>
      <w:r w:rsidR="007C6054" w:rsidRPr="00BC1AFF">
        <w:t xml:space="preserve"> </w:t>
      </w:r>
      <w:r w:rsidR="00E13C5D" w:rsidRPr="00BC1AFF">
        <w:t>T</w:t>
      </w:r>
      <w:r w:rsidR="007C6054" w:rsidRPr="00BC1AFF">
        <w:t>eam</w:t>
      </w:r>
      <w:r w:rsidRPr="00BC1AFF">
        <w:t xml:space="preserve"> are unable to </w:t>
      </w:r>
      <w:r w:rsidR="0322C311" w:rsidRPr="00BC1AFF">
        <w:t>contact</w:t>
      </w:r>
      <w:r w:rsidRPr="00BC1AFF" w:rsidDel="005D7C2F">
        <w:t xml:space="preserve"> </w:t>
      </w:r>
      <w:r w:rsidRPr="00BC1AFF">
        <w:t xml:space="preserve">the originator or your specified contact, a notification will be sent through to the Authorised </w:t>
      </w:r>
      <w:r w:rsidR="00CB7876" w:rsidRPr="00BC1AFF">
        <w:t>Purchaser</w:t>
      </w:r>
      <w:r w:rsidRPr="00BC1AFF">
        <w:t xml:space="preserve"> and the ticket automatically closed after 24 hours.</w:t>
      </w:r>
    </w:p>
    <w:p w14:paraId="41CD5107" w14:textId="4169C4FA" w:rsidR="006A32DF" w:rsidRPr="00BC1AFF" w:rsidRDefault="00EA3280" w:rsidP="00C90281">
      <w:pPr>
        <w:pStyle w:val="Heading2"/>
      </w:pPr>
      <w:r w:rsidRPr="00BC1AFF">
        <w:t>For Priority 1 Incidents</w:t>
      </w:r>
      <w:r w:rsidR="00301650" w:rsidRPr="00BC1AFF">
        <w:t xml:space="preserve"> we will facilitate, manage and co</w:t>
      </w:r>
      <w:r w:rsidR="00743BDB" w:rsidRPr="00BC1AFF">
        <w:t>-ordinate the triage, escalation and notification functions in line with our Incident Management process</w:t>
      </w:r>
      <w:r w:rsidR="001978D9" w:rsidRPr="00BC1AFF">
        <w:t xml:space="preserve"> for managed IT Environment</w:t>
      </w:r>
      <w:r w:rsidR="00223DCD" w:rsidRPr="00BC1AFF">
        <w:t>s</w:t>
      </w:r>
      <w:r w:rsidR="001978D9" w:rsidRPr="00BC1AFF">
        <w:t xml:space="preserve"> and Components.  </w:t>
      </w:r>
    </w:p>
    <w:p w14:paraId="12BA364C" w14:textId="5C259688" w:rsidR="00AF73DF" w:rsidRPr="00BC1AFF" w:rsidRDefault="00C559B1" w:rsidP="00C90281">
      <w:pPr>
        <w:pStyle w:val="Heading2"/>
      </w:pPr>
      <w:r w:rsidRPr="00BC1AFF">
        <w:t xml:space="preserve">Below is the </w:t>
      </w:r>
      <w:r w:rsidR="4FDE85D6" w:rsidRPr="00BC1AFF">
        <w:t>m</w:t>
      </w:r>
      <w:r w:rsidR="2AB6DB4A" w:rsidRPr="00BC1AFF">
        <w:t>atrix</w:t>
      </w:r>
      <w:r w:rsidR="00CC5CD8" w:rsidRPr="00BC1AFF">
        <w:t xml:space="preserve"> we use to assess Incidents</w:t>
      </w:r>
      <w:r w:rsidR="004B0362" w:rsidRPr="00BC1AFF">
        <w:t>:</w:t>
      </w:r>
    </w:p>
    <w:p w14:paraId="404AABE0" w14:textId="31BFB92A" w:rsidR="00C559B1" w:rsidRPr="00BC1AFF" w:rsidRDefault="00C559B1" w:rsidP="000A210F">
      <w:pPr>
        <w:pStyle w:val="NormalWeb"/>
        <w:rPr>
          <w:rFonts w:ascii="Verdana" w:hAnsi="Verdana" w:cs="Telstra Akkurat"/>
          <w:sz w:val="20"/>
          <w:szCs w:val="20"/>
        </w:rPr>
      </w:pPr>
      <w:r w:rsidRPr="00BC1AFF">
        <w:rPr>
          <w:noProof/>
        </w:rPr>
        <w:drawing>
          <wp:inline distT="0" distB="0" distL="0" distR="0" wp14:anchorId="232F3E27" wp14:editId="4794B956">
            <wp:extent cx="6400800" cy="2390775"/>
            <wp:effectExtent l="0" t="0" r="0" b="9525"/>
            <wp:docPr id="4" name="Picture 4" descr="Matrix that is used to assess incidents. Business impact versus Urgency.&#10;BI Low, Urgency Low = Service Request&#10;BI Medium, Urgency Low = Minor P4&#10;BI High, Urgency Low = Significant P3&#10;BI Low, Urgency Medium = Minor P4&#10;BI Medium, Urgency Medium = Significant P3&#10;BI High, Urgency Medium = Major P2&#10;BI Low, Urgency High = Significant P3&#10;BI Medium, Urgency High = Major P2&#10;BI High, Urgency High - Critical P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trix that is used to assess incidents. Business impact versus Urgency.&#10;BI Low, Urgency Low = Service Request&#10;BI Medium, Urgency Low = Minor P4&#10;BI High, Urgency Low = Significant P3&#10;BI Low, Urgency Medium = Minor P4&#10;BI Medium, Urgency Medium = Significant P3&#10;BI High, Urgency Medium = Major P2&#10;BI Low, Urgency High = Significant P3&#10;BI Medium, Urgency High = Major P2&#10;BI High, Urgency High - Critical P1">
                      <a:extLst>
                        <a:ext uri="{C183D7F6-B498-43B3-948B-1728B52AA6E4}">
                          <adec:decorative xmlns:adec="http://schemas.microsoft.com/office/drawing/2017/decorative" val="0"/>
                        </a:ext>
                      </a:extLst>
                    </pic:cNvPr>
                    <pic:cNvPicPr/>
                  </pic:nvPicPr>
                  <pic:blipFill>
                    <a:blip r:embed="rId19"/>
                    <a:stretch>
                      <a:fillRect/>
                    </a:stretch>
                  </pic:blipFill>
                  <pic:spPr>
                    <a:xfrm>
                      <a:off x="0" y="0"/>
                      <a:ext cx="6400800" cy="2390775"/>
                    </a:xfrm>
                    <a:prstGeom prst="rect">
                      <a:avLst/>
                    </a:prstGeom>
                  </pic:spPr>
                </pic:pic>
              </a:graphicData>
            </a:graphic>
          </wp:inline>
        </w:drawing>
      </w:r>
    </w:p>
    <w:p w14:paraId="14063BAD" w14:textId="77777777" w:rsidR="004742D9" w:rsidRPr="00BC1AFF" w:rsidRDefault="004742D9" w:rsidP="00C90281">
      <w:pPr>
        <w:pStyle w:val="Heading2"/>
      </w:pPr>
      <w:r w:rsidRPr="00BC1AFF">
        <w:t>The above priorities are defined as follows:</w:t>
      </w:r>
    </w:p>
    <w:p w14:paraId="4E2C29B3" w14:textId="77777777" w:rsidR="004742D9" w:rsidRPr="00BC1AFF" w:rsidRDefault="004742D9" w:rsidP="00BC5242">
      <w:pPr>
        <w:spacing w:before="120" w:after="120" w:line="264" w:lineRule="auto"/>
        <w:ind w:left="1162" w:hanging="425"/>
        <w:jc w:val="both"/>
        <w:rPr>
          <w:b/>
          <w:szCs w:val="20"/>
        </w:rPr>
      </w:pPr>
      <w:r w:rsidRPr="00BC1AFF">
        <w:rPr>
          <w:b/>
          <w:szCs w:val="20"/>
        </w:rPr>
        <w:lastRenderedPageBreak/>
        <w:t>Priority 1 (P1)</w:t>
      </w:r>
    </w:p>
    <w:p w14:paraId="0F48874E" w14:textId="77777777" w:rsidR="004742D9" w:rsidRPr="00BC1AFF" w:rsidRDefault="004742D9" w:rsidP="76F136A2">
      <w:pPr>
        <w:pStyle w:val="Heading3"/>
      </w:pPr>
      <w:r w:rsidRPr="00BC1AFF">
        <w:t>To be classified as a P1 there must be an interruption impacting the whole organisation, a critical business application, or is causing a major commercial or publicity impact.</w:t>
      </w:r>
    </w:p>
    <w:p w14:paraId="6C7B758E" w14:textId="77777777" w:rsidR="004742D9" w:rsidRPr="00BC1AFF" w:rsidRDefault="004742D9" w:rsidP="76F136A2">
      <w:pPr>
        <w:pStyle w:val="Heading3"/>
      </w:pPr>
      <w:r w:rsidRPr="00BC1AFF">
        <w:t xml:space="preserve">At this priority level both parties must commit to response times during Support Hours and involvement by all necessary and appropriate personnel until a mutually agreeable workaround is provided and the priority is no longer considered to be P1. </w:t>
      </w:r>
    </w:p>
    <w:p w14:paraId="5759A798" w14:textId="718CBF40" w:rsidR="004742D9" w:rsidRPr="00BC1AFF" w:rsidRDefault="004742D9" w:rsidP="76F136A2">
      <w:pPr>
        <w:pStyle w:val="Heading3"/>
      </w:pPr>
      <w:r w:rsidRPr="00BC1AFF">
        <w:t xml:space="preserve">You must telephone through a P1 Incident for this to be accepted by </w:t>
      </w:r>
      <w:r w:rsidR="0036499E" w:rsidRPr="00BC1AFF">
        <w:t>us</w:t>
      </w:r>
      <w:r w:rsidRPr="00BC1AFF">
        <w:t xml:space="preserve"> as a P1 Incident. </w:t>
      </w:r>
    </w:p>
    <w:p w14:paraId="257F5859" w14:textId="77777777" w:rsidR="004742D9" w:rsidRPr="00BC1AFF" w:rsidRDefault="004742D9" w:rsidP="00BC5242">
      <w:pPr>
        <w:spacing w:before="120" w:after="120" w:line="264" w:lineRule="auto"/>
        <w:ind w:left="1162" w:hanging="425"/>
        <w:jc w:val="both"/>
        <w:rPr>
          <w:b/>
          <w:szCs w:val="20"/>
        </w:rPr>
      </w:pPr>
      <w:r w:rsidRPr="00BC1AFF">
        <w:rPr>
          <w:b/>
          <w:szCs w:val="20"/>
        </w:rPr>
        <w:t>Priority 2 (P2)</w:t>
      </w:r>
    </w:p>
    <w:p w14:paraId="216D17EA" w14:textId="6852DBA2" w:rsidR="004742D9" w:rsidRPr="00BC1AFF" w:rsidRDefault="004742D9">
      <w:pPr>
        <w:pStyle w:val="Heading3"/>
        <w:numPr>
          <w:ilvl w:val="2"/>
          <w:numId w:val="6"/>
        </w:numPr>
      </w:pPr>
      <w:r w:rsidRPr="00BC1AFF">
        <w:t xml:space="preserve">To be classified as a P2, </w:t>
      </w:r>
      <w:r w:rsidR="005E7330" w:rsidRPr="00BC1AFF">
        <w:t>we</w:t>
      </w:r>
      <w:r w:rsidRPr="00BC1AFF">
        <w:t xml:space="preserve"> must have lost access to a</w:t>
      </w:r>
      <w:r w:rsidR="008043BD" w:rsidRPr="00BC1AFF">
        <w:t xml:space="preserve"> managed </w:t>
      </w:r>
      <w:r w:rsidR="00D60471" w:rsidRPr="00BC1AFF">
        <w:t xml:space="preserve">IT Environment or Component </w:t>
      </w:r>
      <w:r w:rsidRPr="00BC1AFF">
        <w:t xml:space="preserve">that is causing major impact to the business or in a state of degraded performance severely impacting business operations with no work around available.  </w:t>
      </w:r>
    </w:p>
    <w:p w14:paraId="713B2DB8" w14:textId="232C001A" w:rsidR="004742D9" w:rsidRPr="00BC1AFF" w:rsidRDefault="004742D9" w:rsidP="285EE94F">
      <w:pPr>
        <w:pStyle w:val="Heading3"/>
      </w:pPr>
      <w:r w:rsidRPr="00BC1AFF">
        <w:t xml:space="preserve">At this priority level </w:t>
      </w:r>
      <w:r w:rsidR="008043BD" w:rsidRPr="00BC1AFF">
        <w:t>we</w:t>
      </w:r>
      <w:r w:rsidRPr="00BC1AFF">
        <w:t xml:space="preserve"> are committed to provide a workaround and/or restore normal operations as quickly as possible </w:t>
      </w:r>
      <w:r w:rsidR="00B375DE" w:rsidRPr="00BC1AFF">
        <w:t>during</w:t>
      </w:r>
      <w:r w:rsidRPr="00BC1AFF">
        <w:t xml:space="preserve"> </w:t>
      </w:r>
      <w:r w:rsidR="00970C98" w:rsidRPr="00BC1AFF">
        <w:t>S</w:t>
      </w:r>
      <w:r w:rsidRPr="00BC1AFF">
        <w:t xml:space="preserve">upport </w:t>
      </w:r>
      <w:r w:rsidR="00970C98" w:rsidRPr="00BC1AFF">
        <w:t>H</w:t>
      </w:r>
      <w:r w:rsidRPr="00BC1AFF">
        <w:t>ours.</w:t>
      </w:r>
    </w:p>
    <w:p w14:paraId="0655D127" w14:textId="0C43BA50" w:rsidR="004742D9" w:rsidRPr="00BC1AFF" w:rsidRDefault="004742D9" w:rsidP="285EE94F">
      <w:pPr>
        <w:pStyle w:val="Heading3"/>
      </w:pPr>
      <w:r w:rsidRPr="00BC1AFF">
        <w:t xml:space="preserve">You must telephone through a P2 Incident for this to be accepted as a P2 Incident by </w:t>
      </w:r>
      <w:r w:rsidR="009B3139" w:rsidRPr="00BC1AFF">
        <w:t>us</w:t>
      </w:r>
      <w:r w:rsidR="00395036" w:rsidRPr="00BC1AFF">
        <w:t>.</w:t>
      </w:r>
    </w:p>
    <w:p w14:paraId="25456876" w14:textId="77777777" w:rsidR="004742D9" w:rsidRPr="00BC1AFF" w:rsidRDefault="004742D9" w:rsidP="00BC5242">
      <w:pPr>
        <w:spacing w:before="120" w:after="120" w:line="264" w:lineRule="auto"/>
        <w:ind w:left="1162" w:hanging="425"/>
        <w:jc w:val="both"/>
        <w:rPr>
          <w:b/>
          <w:szCs w:val="20"/>
        </w:rPr>
      </w:pPr>
      <w:r w:rsidRPr="00BC1AFF">
        <w:rPr>
          <w:b/>
          <w:szCs w:val="20"/>
        </w:rPr>
        <w:t>Priority 3 (P3)</w:t>
      </w:r>
    </w:p>
    <w:p w14:paraId="72C53F8B" w14:textId="77777777" w:rsidR="004742D9" w:rsidRPr="00BC1AFF" w:rsidRDefault="004742D9">
      <w:pPr>
        <w:pStyle w:val="Heading3"/>
        <w:numPr>
          <w:ilvl w:val="2"/>
          <w:numId w:val="7"/>
        </w:numPr>
        <w:rPr>
          <w:szCs w:val="20"/>
        </w:rPr>
      </w:pPr>
      <w:r w:rsidRPr="00BC1AFF">
        <w:rPr>
          <w:szCs w:val="20"/>
        </w:rPr>
        <w:t>A P3 classification would include a degradation in performance with operational impact, however remains operational due to a workaround in place or an outage impacting a non-critical function or procedure.</w:t>
      </w:r>
    </w:p>
    <w:p w14:paraId="1423BF0B" w14:textId="2045ED81" w:rsidR="004742D9" w:rsidRPr="00BC1AFF" w:rsidRDefault="004742D9">
      <w:pPr>
        <w:pStyle w:val="Heading3"/>
        <w:numPr>
          <w:ilvl w:val="2"/>
          <w:numId w:val="6"/>
        </w:numPr>
      </w:pPr>
      <w:r w:rsidRPr="00BC1AFF">
        <w:t xml:space="preserve">At this priority level </w:t>
      </w:r>
      <w:r w:rsidR="00FA6E00" w:rsidRPr="00BC1AFF">
        <w:t>we</w:t>
      </w:r>
      <w:r w:rsidRPr="00BC1AFF">
        <w:t xml:space="preserve"> will, during </w:t>
      </w:r>
      <w:r w:rsidR="005D317B" w:rsidRPr="00BC1AFF">
        <w:t>Business Hours</w:t>
      </w:r>
      <w:r w:rsidRPr="00BC1AFF">
        <w:t>, work towards a viable and mutually agreeable workaround or resolution or propose an upgrade or replacement to mitigate the problem.</w:t>
      </w:r>
    </w:p>
    <w:p w14:paraId="3A64D31A" w14:textId="77777777" w:rsidR="004742D9" w:rsidRPr="00BC1AFF" w:rsidRDefault="004742D9" w:rsidP="00BC5242">
      <w:pPr>
        <w:spacing w:before="120" w:after="120" w:line="264" w:lineRule="auto"/>
        <w:ind w:left="1162" w:hanging="425"/>
        <w:jc w:val="both"/>
        <w:rPr>
          <w:b/>
          <w:szCs w:val="20"/>
        </w:rPr>
      </w:pPr>
      <w:r w:rsidRPr="00BC1AFF">
        <w:rPr>
          <w:b/>
          <w:szCs w:val="20"/>
        </w:rPr>
        <w:t>Priority 4 (P4)</w:t>
      </w:r>
    </w:p>
    <w:p w14:paraId="2B9CC33C" w14:textId="7B4755A5" w:rsidR="00634A50" w:rsidRPr="00BC1AFF" w:rsidRDefault="004742D9">
      <w:pPr>
        <w:pStyle w:val="Heading3"/>
        <w:numPr>
          <w:ilvl w:val="2"/>
          <w:numId w:val="8"/>
        </w:numPr>
      </w:pPr>
      <w:r w:rsidRPr="00BC1AFF">
        <w:t>A P4 classification has minimal business risk and</w:t>
      </w:r>
      <w:r w:rsidR="000F65AB" w:rsidRPr="00BC1AFF">
        <w:t xml:space="preserve"> is</w:t>
      </w:r>
      <w:r w:rsidRPr="00BC1AFF">
        <w:t xml:space="preserve"> isolated to a non-critical business function. At this priority level </w:t>
      </w:r>
      <w:r w:rsidR="000F65AB" w:rsidRPr="00BC1AFF">
        <w:t>we</w:t>
      </w:r>
      <w:r w:rsidRPr="00BC1AFF">
        <w:t xml:space="preserve"> will, during </w:t>
      </w:r>
      <w:r w:rsidR="008F31B5" w:rsidRPr="00BC1AFF">
        <w:t xml:space="preserve">Business </w:t>
      </w:r>
      <w:r w:rsidRPr="00BC1AFF">
        <w:t>Hours</w:t>
      </w:r>
      <w:r w:rsidR="00634A50" w:rsidRPr="00BC1AFF">
        <w:t>:</w:t>
      </w:r>
    </w:p>
    <w:p w14:paraId="6DBF2484" w14:textId="1064108A" w:rsidR="002C072C" w:rsidRPr="00BC1AFF" w:rsidRDefault="004742D9" w:rsidP="003A620A">
      <w:pPr>
        <w:pStyle w:val="Heading4"/>
      </w:pPr>
      <w:r w:rsidRPr="00BC1AFF">
        <w:t>resolve the Incident</w:t>
      </w:r>
      <w:r w:rsidR="002C072C" w:rsidRPr="00BC1AFF">
        <w:t>;</w:t>
      </w:r>
      <w:r w:rsidRPr="00BC1AFF">
        <w:t xml:space="preserve"> or </w:t>
      </w:r>
    </w:p>
    <w:p w14:paraId="2069C7DC" w14:textId="7586435A" w:rsidR="004742D9" w:rsidRPr="00BC1AFF" w:rsidRDefault="004742D9" w:rsidP="003A620A">
      <w:pPr>
        <w:pStyle w:val="Heading4"/>
      </w:pPr>
      <w:r w:rsidRPr="00BC1AFF">
        <w:t>provide advice on whether a workaround, upgrade or replacement to mitigate the Incident is available</w:t>
      </w:r>
      <w:r w:rsidR="002C072C" w:rsidRPr="00BC1AFF">
        <w:t xml:space="preserve"> and </w:t>
      </w:r>
      <w:r w:rsidR="007772F5" w:rsidRPr="00BC1AFF">
        <w:t>work towards a viable and mutually agreeable workaround or resolution or propose an upgrade or replacement to mitigate the problem</w:t>
      </w:r>
      <w:r w:rsidRPr="00BC1AFF">
        <w:t>.</w:t>
      </w:r>
    </w:p>
    <w:p w14:paraId="15250F34" w14:textId="77777777" w:rsidR="004742D9" w:rsidRPr="00BC1AFF" w:rsidRDefault="004742D9" w:rsidP="00BC5242">
      <w:pPr>
        <w:spacing w:before="120" w:after="120" w:line="264" w:lineRule="auto"/>
        <w:ind w:left="1162" w:hanging="425"/>
        <w:jc w:val="both"/>
        <w:rPr>
          <w:b/>
          <w:szCs w:val="20"/>
        </w:rPr>
      </w:pPr>
      <w:r w:rsidRPr="00BC1AFF">
        <w:rPr>
          <w:b/>
          <w:szCs w:val="20"/>
        </w:rPr>
        <w:t>Service Request</w:t>
      </w:r>
    </w:p>
    <w:p w14:paraId="49C4EDEB" w14:textId="77777777" w:rsidR="004742D9" w:rsidRPr="00BC1AFF" w:rsidRDefault="004742D9">
      <w:pPr>
        <w:pStyle w:val="Heading3"/>
        <w:numPr>
          <w:ilvl w:val="2"/>
          <w:numId w:val="9"/>
        </w:numPr>
      </w:pPr>
      <w:r w:rsidRPr="00BC1AFF">
        <w:t>A Service Request or request for information can be logged where there is no immediate impact to the business.</w:t>
      </w:r>
    </w:p>
    <w:p w14:paraId="22E83AC5" w14:textId="3181963F" w:rsidR="004742D9" w:rsidRPr="00BC1AFF" w:rsidRDefault="004742D9">
      <w:pPr>
        <w:pStyle w:val="Heading3"/>
        <w:numPr>
          <w:ilvl w:val="2"/>
          <w:numId w:val="9"/>
        </w:numPr>
      </w:pPr>
      <w:r w:rsidRPr="00BC1AFF">
        <w:t xml:space="preserve">At this priority level </w:t>
      </w:r>
      <w:r w:rsidR="00F7224F" w:rsidRPr="00BC1AFF">
        <w:t>we</w:t>
      </w:r>
      <w:r w:rsidRPr="00BC1AFF">
        <w:t xml:space="preserve"> will, during </w:t>
      </w:r>
      <w:r w:rsidR="005A44F9" w:rsidRPr="00BC1AFF">
        <w:t>Business Hours</w:t>
      </w:r>
      <w:r w:rsidRPr="00BC1AFF">
        <w:t>, respond to the request and provide the requested information or advice.</w:t>
      </w:r>
    </w:p>
    <w:p w14:paraId="42236EB5" w14:textId="77777777" w:rsidR="004742D9" w:rsidRPr="00BC1AFF" w:rsidRDefault="004742D9" w:rsidP="00BC5242">
      <w:pPr>
        <w:pStyle w:val="SubHead"/>
      </w:pPr>
      <w:bookmarkStart w:id="151" w:name="_Toc115217343"/>
      <w:bookmarkStart w:id="152" w:name="_Toc137461054"/>
      <w:bookmarkStart w:id="153" w:name="_Toc138241422"/>
      <w:bookmarkStart w:id="154" w:name="_Toc160009019"/>
      <w:r w:rsidRPr="00BC1AFF">
        <w:lastRenderedPageBreak/>
        <w:t>Escalation to Third Party Providers</w:t>
      </w:r>
      <w:bookmarkEnd w:id="151"/>
      <w:bookmarkEnd w:id="152"/>
      <w:bookmarkEnd w:id="153"/>
      <w:bookmarkEnd w:id="154"/>
    </w:p>
    <w:p w14:paraId="645AF91B" w14:textId="59BC6969" w:rsidR="004742D9" w:rsidRPr="00BC1AFF" w:rsidRDefault="00E85526" w:rsidP="00C90281">
      <w:pPr>
        <w:pStyle w:val="Heading2"/>
      </w:pPr>
      <w:r w:rsidRPr="00BC1AFF">
        <w:t>We</w:t>
      </w:r>
      <w:r w:rsidR="004742D9" w:rsidRPr="00BC1AFF">
        <w:t xml:space="preserve"> will escalate to a Vendor Incidents relating to </w:t>
      </w:r>
      <w:r w:rsidR="00955E45" w:rsidRPr="00BC1AFF">
        <w:t xml:space="preserve">managed </w:t>
      </w:r>
      <w:r w:rsidRPr="00BC1AFF">
        <w:t xml:space="preserve">IT </w:t>
      </w:r>
      <w:r w:rsidR="004742D9" w:rsidRPr="00BC1AFF">
        <w:t>Environments</w:t>
      </w:r>
      <w:r w:rsidRPr="00BC1AFF">
        <w:t xml:space="preserve"> </w:t>
      </w:r>
      <w:r w:rsidR="000B13B7" w:rsidRPr="00BC1AFF">
        <w:t xml:space="preserve">and </w:t>
      </w:r>
      <w:r w:rsidRPr="00BC1AFF">
        <w:t>Components</w:t>
      </w:r>
      <w:r w:rsidR="004742D9" w:rsidRPr="00BC1AFF">
        <w:t xml:space="preserve"> in accordance with the agreed priority and the terms of the Vendor support agreement held by </w:t>
      </w:r>
      <w:r w:rsidRPr="00BC1AFF">
        <w:t>you</w:t>
      </w:r>
      <w:r w:rsidR="0096181A" w:rsidRPr="00BC1AFF">
        <w:t>.</w:t>
      </w:r>
    </w:p>
    <w:p w14:paraId="11137B78" w14:textId="4F6896EB" w:rsidR="004742D9" w:rsidRPr="00BC1AFF" w:rsidRDefault="00C41354" w:rsidP="00C90281">
      <w:pPr>
        <w:pStyle w:val="Heading2"/>
      </w:pPr>
      <w:r w:rsidRPr="00BC1AFF">
        <w:t>We</w:t>
      </w:r>
      <w:r w:rsidR="004742D9" w:rsidRPr="00BC1AFF">
        <w:t xml:space="preserve"> will provide updates to </w:t>
      </w:r>
      <w:r w:rsidRPr="00BC1AFF">
        <w:t xml:space="preserve">you </w:t>
      </w:r>
      <w:r w:rsidR="004742D9" w:rsidRPr="00BC1AFF">
        <w:t xml:space="preserve">as they are made available to </w:t>
      </w:r>
      <w:r w:rsidRPr="00BC1AFF">
        <w:t>us</w:t>
      </w:r>
      <w:r w:rsidR="004742D9" w:rsidRPr="00BC1AFF">
        <w:t xml:space="preserve"> by the Vendor.  </w:t>
      </w:r>
      <w:r w:rsidRPr="00BC1AFF">
        <w:t>We</w:t>
      </w:r>
      <w:r w:rsidR="004742D9" w:rsidRPr="00BC1AFF">
        <w:t xml:space="preserve"> will provide updates to </w:t>
      </w:r>
      <w:r w:rsidRPr="00BC1AFF">
        <w:t xml:space="preserve">you </w:t>
      </w:r>
      <w:r w:rsidR="004742D9" w:rsidRPr="00BC1AFF">
        <w:t xml:space="preserve">after </w:t>
      </w:r>
      <w:r w:rsidRPr="00BC1AFF">
        <w:t>Business H</w:t>
      </w:r>
      <w:r w:rsidR="004742D9" w:rsidRPr="00BC1AFF">
        <w:t xml:space="preserve">ours for Priority </w:t>
      </w:r>
      <w:r w:rsidRPr="00BC1AFF">
        <w:t>1</w:t>
      </w:r>
      <w:r w:rsidR="004742D9" w:rsidRPr="00BC1AFF">
        <w:t xml:space="preserve"> </w:t>
      </w:r>
      <w:r w:rsidR="00C5719C" w:rsidRPr="00BC1AFF">
        <w:t>I</w:t>
      </w:r>
      <w:r w:rsidR="004742D9" w:rsidRPr="00BC1AFF">
        <w:t>ncidents only.</w:t>
      </w:r>
    </w:p>
    <w:p w14:paraId="33746B55" w14:textId="3CCF02E6" w:rsidR="004742D9" w:rsidRPr="00BC1AFF" w:rsidRDefault="004742D9" w:rsidP="00C90281">
      <w:pPr>
        <w:pStyle w:val="Heading2"/>
      </w:pPr>
      <w:r w:rsidRPr="00BC1AFF">
        <w:t xml:space="preserve">You acknowledge, </w:t>
      </w:r>
      <w:r w:rsidR="00C5719C" w:rsidRPr="00BC1AFF">
        <w:t>we</w:t>
      </w:r>
      <w:r w:rsidRPr="00BC1AFF">
        <w:t xml:space="preserve"> may be constrained by the level of Vendor support </w:t>
      </w:r>
      <w:r w:rsidR="00C5719C" w:rsidRPr="00BC1AFF">
        <w:t>y</w:t>
      </w:r>
      <w:r w:rsidRPr="00BC1AFF">
        <w:t xml:space="preserve">ou have in place as </w:t>
      </w:r>
      <w:r w:rsidR="00C5719C" w:rsidRPr="00BC1AFF">
        <w:t>we</w:t>
      </w:r>
      <w:r w:rsidRPr="00BC1AFF">
        <w:t xml:space="preserve"> have no control of Vendor </w:t>
      </w:r>
      <w:r w:rsidR="00C5719C" w:rsidRPr="00BC1AFF">
        <w:t xml:space="preserve">service levels </w:t>
      </w:r>
      <w:r w:rsidRPr="00BC1AFF">
        <w:t xml:space="preserve">or response obligations. Where </w:t>
      </w:r>
      <w:r w:rsidR="00C5719C" w:rsidRPr="00BC1AFF">
        <w:t>y</w:t>
      </w:r>
      <w:r w:rsidRPr="00BC1AFF">
        <w:t>ou do not have an agreement in place</w:t>
      </w:r>
      <w:r w:rsidR="00C5719C" w:rsidRPr="00BC1AFF">
        <w:t xml:space="preserve"> with a Vendor,</w:t>
      </w:r>
      <w:r w:rsidRPr="00BC1AFF">
        <w:t xml:space="preserve"> </w:t>
      </w:r>
      <w:r w:rsidR="00E7713C" w:rsidRPr="00BC1AFF">
        <w:t>we</w:t>
      </w:r>
      <w:r w:rsidRPr="00BC1AFF">
        <w:t xml:space="preserve"> cannot act on </w:t>
      </w:r>
      <w:r w:rsidR="00E7713C" w:rsidRPr="00BC1AFF">
        <w:t>y</w:t>
      </w:r>
      <w:r w:rsidRPr="00BC1AFF">
        <w:t xml:space="preserve">our behalf, and this will be </w:t>
      </w:r>
      <w:r w:rsidR="00E7713C" w:rsidRPr="00BC1AFF">
        <w:t>y</w:t>
      </w:r>
      <w:r w:rsidRPr="00BC1AFF">
        <w:t>our responsibility to engage the Vendor on any Incidents.</w:t>
      </w:r>
    </w:p>
    <w:p w14:paraId="14467353" w14:textId="77777777" w:rsidR="004742D9" w:rsidRPr="00BC1AFF" w:rsidRDefault="004742D9" w:rsidP="00C56FE1">
      <w:pPr>
        <w:pStyle w:val="SubHead"/>
      </w:pPr>
      <w:bookmarkStart w:id="155" w:name="_Toc115217344"/>
      <w:bookmarkStart w:id="156" w:name="_Toc137461055"/>
      <w:bookmarkStart w:id="157" w:name="_Toc138241423"/>
      <w:bookmarkStart w:id="158" w:name="_Toc160009020"/>
      <w:r w:rsidRPr="00BC1AFF">
        <w:rPr>
          <w:bCs w:val="0"/>
        </w:rPr>
        <w:t>Escalation within Telstra</w:t>
      </w:r>
      <w:bookmarkEnd w:id="155"/>
      <w:bookmarkEnd w:id="156"/>
      <w:bookmarkEnd w:id="157"/>
      <w:bookmarkEnd w:id="158"/>
      <w:r w:rsidRPr="00BC1AFF">
        <w:rPr>
          <w:bCs w:val="0"/>
        </w:rPr>
        <w:t xml:space="preserve"> </w:t>
      </w:r>
    </w:p>
    <w:p w14:paraId="6DC2E9A7" w14:textId="200136F3" w:rsidR="004742D9" w:rsidRPr="00BC1AFF" w:rsidRDefault="00BC15AD" w:rsidP="00C90281">
      <w:pPr>
        <w:pStyle w:val="Heading2"/>
        <w:rPr>
          <w:strike/>
        </w:rPr>
      </w:pPr>
      <w:r w:rsidRPr="00BC1AFF">
        <w:t>For an additional charge</w:t>
      </w:r>
      <w:r w:rsidR="00C56F8B" w:rsidRPr="00BC1AFF">
        <w:t>,</w:t>
      </w:r>
      <w:r w:rsidRPr="00BC1AFF">
        <w:t xml:space="preserve"> </w:t>
      </w:r>
      <w:r w:rsidR="00A04B3B" w:rsidRPr="00BC1AFF">
        <w:t>w</w:t>
      </w:r>
      <w:r w:rsidR="4D87CAE0" w:rsidRPr="00BC1AFF">
        <w:t xml:space="preserve">here an </w:t>
      </w:r>
      <w:r w:rsidR="0010428C" w:rsidRPr="00BC1AFF">
        <w:t>I</w:t>
      </w:r>
      <w:r w:rsidR="004742D9" w:rsidRPr="00BC1AFF">
        <w:t>ncident</w:t>
      </w:r>
      <w:r w:rsidR="4D87CAE0" w:rsidRPr="00BC1AFF">
        <w:t xml:space="preserve"> </w:t>
      </w:r>
      <w:r w:rsidR="00134E98" w:rsidRPr="00BC1AFF">
        <w:t xml:space="preserve">is </w:t>
      </w:r>
      <w:r w:rsidR="4D87CAE0" w:rsidRPr="00BC1AFF">
        <w:t xml:space="preserve">raised by </w:t>
      </w:r>
      <w:r w:rsidR="33CCB11A" w:rsidRPr="00BC1AFF">
        <w:t>y</w:t>
      </w:r>
      <w:r w:rsidR="4D87CAE0" w:rsidRPr="00BC1AFF">
        <w:t xml:space="preserve">ou, or detected by </w:t>
      </w:r>
      <w:r w:rsidR="33CCB11A" w:rsidRPr="00BC1AFF">
        <w:t>our</w:t>
      </w:r>
      <w:r w:rsidR="4D87CAE0" w:rsidRPr="00BC1AFF">
        <w:t xml:space="preserve"> </w:t>
      </w:r>
      <w:r w:rsidR="64699AAA" w:rsidRPr="00BC1AFF">
        <w:t>M</w:t>
      </w:r>
      <w:r w:rsidR="4D87CAE0" w:rsidRPr="00BC1AFF">
        <w:t>onitoring</w:t>
      </w:r>
      <w:r w:rsidR="64699AAA" w:rsidRPr="00BC1AFF">
        <w:t xml:space="preserve"> and Event Management</w:t>
      </w:r>
      <w:r w:rsidR="4D87CAE0" w:rsidRPr="00BC1AFF">
        <w:t xml:space="preserve"> </w:t>
      </w:r>
      <w:r w:rsidR="64699AAA" w:rsidRPr="00BC1AFF">
        <w:t>S</w:t>
      </w:r>
      <w:r w:rsidR="4D87CAE0" w:rsidRPr="00BC1AFF">
        <w:t>ystem, relat</w:t>
      </w:r>
      <w:r w:rsidR="00FB51F5" w:rsidRPr="00BC1AFF">
        <w:t>ing</w:t>
      </w:r>
      <w:r w:rsidR="4D87CAE0" w:rsidRPr="00BC1AFF">
        <w:t xml:space="preserve"> to a Telstra </w:t>
      </w:r>
      <w:r w:rsidR="00534BDA" w:rsidRPr="00BC1AFF">
        <w:t xml:space="preserve">service that is outside the Telstra </w:t>
      </w:r>
      <w:r w:rsidR="00820791" w:rsidRPr="00BC1AFF">
        <w:t xml:space="preserve">Purple </w:t>
      </w:r>
      <w:r w:rsidR="00534BDA" w:rsidRPr="00BC1AFF">
        <w:t>Managed Service</w:t>
      </w:r>
      <w:r w:rsidR="00820791" w:rsidRPr="00BC1AFF">
        <w:t>s</w:t>
      </w:r>
      <w:r w:rsidR="00534BDA" w:rsidRPr="00BC1AFF">
        <w:t xml:space="preserve">, we will refer the incident to the </w:t>
      </w:r>
      <w:r w:rsidR="007C3DB5" w:rsidRPr="00BC1AFF">
        <w:t xml:space="preserve">relevant </w:t>
      </w:r>
      <w:r w:rsidR="00534BDA" w:rsidRPr="00BC1AFF">
        <w:t xml:space="preserve">area and provide updates as per your </w:t>
      </w:r>
      <w:r w:rsidR="00820791" w:rsidRPr="00BC1AFF">
        <w:t>support hours for that</w:t>
      </w:r>
      <w:r w:rsidR="007C3C9E" w:rsidRPr="00BC1AFF">
        <w:t xml:space="preserve"> service</w:t>
      </w:r>
      <w:r w:rsidR="00534BDA" w:rsidRPr="00BC1AFF">
        <w:t xml:space="preserve">. </w:t>
      </w:r>
      <w:r w:rsidR="4D87CAE0" w:rsidRPr="00BC1AFF">
        <w:t>This</w:t>
      </w:r>
      <w:r w:rsidR="007503A6" w:rsidRPr="00BC1AFF">
        <w:t xml:space="preserve"> is limited to impacted managed IT Environments and Components</w:t>
      </w:r>
      <w:r w:rsidR="00B26496" w:rsidRPr="00BC1AFF">
        <w:t xml:space="preserve"> listed within </w:t>
      </w:r>
      <w:r w:rsidR="007504E4" w:rsidRPr="00BC1AFF">
        <w:t xml:space="preserve">the </w:t>
      </w:r>
      <w:r w:rsidR="00180262" w:rsidRPr="00BC1AFF">
        <w:t xml:space="preserve">Order </w:t>
      </w:r>
      <w:r w:rsidR="007504E4" w:rsidRPr="00BC1AFF">
        <w:t xml:space="preserve">and </w:t>
      </w:r>
      <w:r w:rsidR="00211111" w:rsidRPr="00BC1AFF">
        <w:t>MSD</w:t>
      </w:r>
      <w:r w:rsidR="00134E98" w:rsidRPr="00BC1AFF">
        <w:t>(</w:t>
      </w:r>
      <w:r w:rsidR="00211111" w:rsidRPr="00BC1AFF">
        <w:t>s</w:t>
      </w:r>
      <w:r w:rsidR="00134E98" w:rsidRPr="00BC1AFF">
        <w:t>)</w:t>
      </w:r>
      <w:r w:rsidR="00211111" w:rsidRPr="00BC1AFF">
        <w:t>.</w:t>
      </w:r>
      <w:r w:rsidR="4D87CAE0" w:rsidRPr="00BC1AFF">
        <w:t xml:space="preserve"> </w:t>
      </w:r>
    </w:p>
    <w:p w14:paraId="698A95D7" w14:textId="086AF42B" w:rsidR="004742D9" w:rsidRPr="00BC1AFF" w:rsidRDefault="002E579E" w:rsidP="00C90281">
      <w:pPr>
        <w:pStyle w:val="Heading2"/>
      </w:pPr>
      <w:r w:rsidRPr="00BC1AFF">
        <w:t>Service Levels for a</w:t>
      </w:r>
      <w:r w:rsidR="008F4D76" w:rsidRPr="00BC1AFF">
        <w:t xml:space="preserve">ny Telstra services outside the Telstra </w:t>
      </w:r>
      <w:r w:rsidR="007C3C9E" w:rsidRPr="00BC1AFF">
        <w:t xml:space="preserve">Purple </w:t>
      </w:r>
      <w:r w:rsidR="008F4D76" w:rsidRPr="00BC1AFF">
        <w:t>Managed Service</w:t>
      </w:r>
      <w:r w:rsidR="007C3C9E" w:rsidRPr="00BC1AFF">
        <w:t>s</w:t>
      </w:r>
      <w:r w:rsidR="008F4D76" w:rsidRPr="00BC1AFF">
        <w:t xml:space="preserve"> </w:t>
      </w:r>
      <w:r w:rsidRPr="00BC1AFF">
        <w:t>apply</w:t>
      </w:r>
      <w:r w:rsidR="007C3C9E" w:rsidRPr="00BC1AFF">
        <w:t xml:space="preserve"> to resolution of the Incident</w:t>
      </w:r>
      <w:r w:rsidR="4D87CAE0" w:rsidRPr="00BC1AFF">
        <w:t>.</w:t>
      </w:r>
    </w:p>
    <w:p w14:paraId="04A341C9" w14:textId="77777777" w:rsidR="004742D9" w:rsidRPr="00BC1AFF" w:rsidRDefault="004742D9" w:rsidP="00C56FE1">
      <w:pPr>
        <w:pStyle w:val="SubHead"/>
      </w:pPr>
      <w:bookmarkStart w:id="159" w:name="_Toc115217345"/>
      <w:bookmarkStart w:id="160" w:name="_Toc137461056"/>
      <w:bookmarkStart w:id="161" w:name="_Toc138241424"/>
      <w:bookmarkStart w:id="162" w:name="_Toc160009021"/>
      <w:r w:rsidRPr="00BC1AFF">
        <w:rPr>
          <w:bCs w:val="0"/>
        </w:rPr>
        <w:t>Post Incident Review (PIR)</w:t>
      </w:r>
      <w:bookmarkEnd w:id="159"/>
      <w:bookmarkEnd w:id="160"/>
      <w:bookmarkEnd w:id="161"/>
      <w:bookmarkEnd w:id="162"/>
    </w:p>
    <w:p w14:paraId="061F65FC" w14:textId="5C67C6B0" w:rsidR="004742D9" w:rsidRPr="00BC1AFF" w:rsidRDefault="4D87CAE0" w:rsidP="00C90281">
      <w:pPr>
        <w:pStyle w:val="Heading2"/>
      </w:pPr>
      <w:r w:rsidRPr="00BC1AFF">
        <w:t>On resolution of a Priority 1 Incident</w:t>
      </w:r>
      <w:r w:rsidR="521BF257" w:rsidRPr="00BC1AFF">
        <w:t>,</w:t>
      </w:r>
      <w:r w:rsidRPr="00BC1AFF">
        <w:t xml:space="preserve"> </w:t>
      </w:r>
      <w:r w:rsidR="008F4D76" w:rsidRPr="00BC1AFF">
        <w:t>w</w:t>
      </w:r>
      <w:r w:rsidR="521BF257" w:rsidRPr="00BC1AFF">
        <w:t>e</w:t>
      </w:r>
      <w:r w:rsidRPr="00BC1AFF">
        <w:t xml:space="preserve"> will </w:t>
      </w:r>
      <w:r w:rsidR="00134E98" w:rsidRPr="00BC1AFF">
        <w:t xml:space="preserve">conduct </w:t>
      </w:r>
      <w:r w:rsidRPr="00BC1AFF">
        <w:t xml:space="preserve">a PIR. Due to the complexities of root cause analysis this process can take time and may require support from </w:t>
      </w:r>
      <w:r w:rsidR="10ADC9A4" w:rsidRPr="00BC1AFF">
        <w:t>y</w:t>
      </w:r>
      <w:r w:rsidRPr="00BC1AFF">
        <w:t xml:space="preserve">ou and Vendors, and there will be occasions where a root cause is not determined. Typically, a PIR will include a sequence of events from notification of a failure until resolution or a work around is put in place, any actions or changes implemented, determination of the root cause and any recommendations </w:t>
      </w:r>
      <w:r w:rsidR="00134E98" w:rsidRPr="00BC1AFF">
        <w:t xml:space="preserve">to </w:t>
      </w:r>
      <w:r w:rsidR="080A139E" w:rsidRPr="00BC1AFF">
        <w:t>help prevent</w:t>
      </w:r>
      <w:r w:rsidRPr="00BC1AFF">
        <w:t xml:space="preserve"> the Incident </w:t>
      </w:r>
      <w:r w:rsidR="080A139E" w:rsidRPr="00BC1AFF">
        <w:t>from</w:t>
      </w:r>
      <w:r w:rsidRPr="00BC1AFF">
        <w:t xml:space="preserve"> re-occur</w:t>
      </w:r>
      <w:r w:rsidR="080A139E" w:rsidRPr="00BC1AFF">
        <w:t>ring</w:t>
      </w:r>
      <w:r w:rsidRPr="00BC1AFF">
        <w:t>.</w:t>
      </w:r>
    </w:p>
    <w:p w14:paraId="7D981D3B" w14:textId="18A9FA86" w:rsidR="004742D9" w:rsidRPr="00BC1AFF" w:rsidRDefault="4D87CAE0" w:rsidP="00865B70">
      <w:pPr>
        <w:pStyle w:val="SubHead"/>
        <w:keepLines/>
      </w:pPr>
      <w:bookmarkStart w:id="163" w:name="_Toc115217346"/>
      <w:bookmarkStart w:id="164" w:name="_Toc137461057"/>
      <w:bookmarkStart w:id="165" w:name="_Toc138241425"/>
      <w:bookmarkStart w:id="166" w:name="_Toc160009022"/>
      <w:r w:rsidRPr="00BC1AFF">
        <w:t>Your Responsibilities</w:t>
      </w:r>
      <w:bookmarkEnd w:id="163"/>
      <w:bookmarkEnd w:id="164"/>
      <w:bookmarkEnd w:id="165"/>
      <w:bookmarkEnd w:id="166"/>
    </w:p>
    <w:p w14:paraId="4FA65279" w14:textId="143E4214" w:rsidR="004742D9" w:rsidRPr="00BC1AFF" w:rsidRDefault="4D87CAE0" w:rsidP="00C90281">
      <w:pPr>
        <w:pStyle w:val="Heading2"/>
      </w:pPr>
      <w:r w:rsidRPr="00BC1AFF">
        <w:t xml:space="preserve">You must have an established </w:t>
      </w:r>
      <w:r w:rsidR="00134E98" w:rsidRPr="00BC1AFF">
        <w:t xml:space="preserve">first </w:t>
      </w:r>
      <w:r w:rsidRPr="00BC1AFF">
        <w:t xml:space="preserve">line support function that handles all contact with end users and carries out a technical triage of any issues reported. </w:t>
      </w:r>
    </w:p>
    <w:p w14:paraId="3AB6D77B" w14:textId="68675602" w:rsidR="004742D9" w:rsidRPr="00BC1AFF" w:rsidRDefault="4D87CAE0" w:rsidP="00C90281">
      <w:pPr>
        <w:pStyle w:val="Heading2"/>
      </w:pPr>
      <w:r w:rsidRPr="00BC1AFF">
        <w:t xml:space="preserve">You must undertake appropriate triage methods to ascertain the </w:t>
      </w:r>
      <w:r w:rsidR="3BB764FF" w:rsidRPr="00BC1AFF">
        <w:t>b</w:t>
      </w:r>
      <w:r w:rsidRPr="00BC1AFF">
        <w:t xml:space="preserve">usiness </w:t>
      </w:r>
      <w:r w:rsidR="3BB764FF" w:rsidRPr="00BC1AFF">
        <w:t>i</w:t>
      </w:r>
      <w:r w:rsidRPr="00BC1AFF">
        <w:t>mpact of an Incident and confirm the Incident is related to the</w:t>
      </w:r>
      <w:r w:rsidR="00142F3A" w:rsidRPr="00BC1AFF">
        <w:t xml:space="preserve"> m</w:t>
      </w:r>
      <w:r w:rsidR="0C9EA3C5" w:rsidRPr="00BC1AFF">
        <w:t>anaged IT Environment</w:t>
      </w:r>
      <w:r w:rsidR="00142F3A" w:rsidRPr="00BC1AFF">
        <w:t>s</w:t>
      </w:r>
      <w:r w:rsidR="0C9EA3C5" w:rsidRPr="00BC1AFF">
        <w:t xml:space="preserve"> and Components</w:t>
      </w:r>
      <w:r w:rsidRPr="00BC1AFF">
        <w:t xml:space="preserve"> before contacting </w:t>
      </w:r>
      <w:r w:rsidR="00A21413" w:rsidRPr="00BC1AFF">
        <w:t>us</w:t>
      </w:r>
      <w:r w:rsidRPr="00BC1AFF">
        <w:t>.</w:t>
      </w:r>
    </w:p>
    <w:p w14:paraId="13755643" w14:textId="56790D67" w:rsidR="004742D9" w:rsidRPr="00BC1AFF" w:rsidRDefault="4D87CAE0" w:rsidP="00C90281">
      <w:pPr>
        <w:pStyle w:val="Heading2"/>
      </w:pPr>
      <w:r w:rsidRPr="00BC1AFF">
        <w:t xml:space="preserve">Where requested, </w:t>
      </w:r>
      <w:r w:rsidR="643B79CE" w:rsidRPr="00BC1AFF">
        <w:t>y</w:t>
      </w:r>
      <w:r w:rsidRPr="00BC1AFF">
        <w:t>ou must make available appropriately skilled persons while an Incident is being managed during Support Hours.</w:t>
      </w:r>
    </w:p>
    <w:p w14:paraId="5F7CDDE9" w14:textId="479A591B" w:rsidR="000A210F" w:rsidRPr="00BC1AFF" w:rsidRDefault="64BEDE08" w:rsidP="00802292">
      <w:pPr>
        <w:pStyle w:val="Heading1"/>
      </w:pPr>
      <w:bookmarkStart w:id="167" w:name="_Toc115217347"/>
      <w:bookmarkStart w:id="168" w:name="_Toc137461058"/>
      <w:bookmarkStart w:id="169" w:name="_Toc138241426"/>
      <w:bookmarkStart w:id="170" w:name="_Toc160009023"/>
      <w:r w:rsidRPr="00BC1AFF">
        <w:t>Problem Management</w:t>
      </w:r>
      <w:bookmarkEnd w:id="167"/>
      <w:bookmarkEnd w:id="168"/>
      <w:bookmarkEnd w:id="169"/>
      <w:bookmarkEnd w:id="170"/>
    </w:p>
    <w:p w14:paraId="5CE7C967" w14:textId="3379C193" w:rsidR="006C08F7" w:rsidRPr="00BC1AFF" w:rsidRDefault="0062640A" w:rsidP="00C90281">
      <w:pPr>
        <w:pStyle w:val="Heading2"/>
      </w:pPr>
      <w:r w:rsidRPr="00BC1AFF">
        <w:t xml:space="preserve">Problem </w:t>
      </w:r>
      <w:r w:rsidR="00B0648F" w:rsidRPr="00BC1AFF">
        <w:t>m</w:t>
      </w:r>
      <w:r w:rsidRPr="00BC1AFF">
        <w:t xml:space="preserve">anagement </w:t>
      </w:r>
      <w:r w:rsidR="00EF6E64" w:rsidRPr="00BC1AFF">
        <w:t xml:space="preserve">is the determination of </w:t>
      </w:r>
      <w:r w:rsidR="00B0648F" w:rsidRPr="00BC1AFF">
        <w:t xml:space="preserve">the </w:t>
      </w:r>
      <w:r w:rsidR="00EF6E64" w:rsidRPr="00BC1AFF">
        <w:t>root cause</w:t>
      </w:r>
      <w:r w:rsidR="00B0648F" w:rsidRPr="00BC1AFF">
        <w:t xml:space="preserve"> of an Incident</w:t>
      </w:r>
      <w:r w:rsidR="00EF6E64" w:rsidRPr="00BC1AFF">
        <w:t xml:space="preserve"> </w:t>
      </w:r>
      <w:r w:rsidR="006C08F7" w:rsidRPr="00BC1AFF">
        <w:t>to</w:t>
      </w:r>
      <w:r w:rsidR="00B0648F" w:rsidRPr="00BC1AFF">
        <w:t xml:space="preserve"> help</w:t>
      </w:r>
      <w:r w:rsidR="006C08F7" w:rsidRPr="00BC1AFF">
        <w:t xml:space="preserve"> reduce the chance of incident recurrence </w:t>
      </w:r>
      <w:r w:rsidR="006C4FE4" w:rsidRPr="00BC1AFF">
        <w:t>(</w:t>
      </w:r>
      <w:r w:rsidR="006C4FE4" w:rsidRPr="00BC1AFF">
        <w:rPr>
          <w:b/>
          <w:bCs/>
        </w:rPr>
        <w:t>Problem Management</w:t>
      </w:r>
      <w:r w:rsidR="006C4FE4" w:rsidRPr="00BC1AFF">
        <w:t>).</w:t>
      </w:r>
    </w:p>
    <w:p w14:paraId="34A2F92F" w14:textId="2612D0A3" w:rsidR="00043BB3" w:rsidRPr="00BC1AFF" w:rsidRDefault="006C4FE4" w:rsidP="00C90281">
      <w:pPr>
        <w:pStyle w:val="Heading2"/>
      </w:pPr>
      <w:r w:rsidRPr="00BC1AFF">
        <w:t>The Problem Management</w:t>
      </w:r>
      <w:r w:rsidR="5C5FCB61" w:rsidRPr="00BC1AFF">
        <w:t xml:space="preserve"> </w:t>
      </w:r>
      <w:r w:rsidR="64BEDE08" w:rsidRPr="00BC1AFF">
        <w:t xml:space="preserve">process will be instigated when a work around is put in place for an Incident where the root cause is either not known or requires further work to implement the final resolution. Problem Management for P1 Incidents is provided by default, whilst P2 </w:t>
      </w:r>
      <w:r w:rsidR="64BEDE08" w:rsidRPr="00BC1AFF">
        <w:lastRenderedPageBreak/>
        <w:t>Incidents require a request</w:t>
      </w:r>
      <w:r w:rsidR="39F357A1" w:rsidRPr="00BC1AFF">
        <w:t xml:space="preserve"> from you</w:t>
      </w:r>
      <w:r w:rsidR="64BEDE08" w:rsidRPr="00BC1AFF">
        <w:t xml:space="preserve"> before analysis </w:t>
      </w:r>
      <w:r w:rsidR="00B0648F" w:rsidRPr="00BC1AFF">
        <w:t xml:space="preserve">will </w:t>
      </w:r>
      <w:r w:rsidR="64BEDE08" w:rsidRPr="00BC1AFF">
        <w:t>be performed.</w:t>
      </w:r>
    </w:p>
    <w:p w14:paraId="4F7CD52A" w14:textId="34EF7F6C" w:rsidR="00043BB3" w:rsidRPr="00BC1AFF" w:rsidRDefault="64BEDE08" w:rsidP="00C90281">
      <w:pPr>
        <w:pStyle w:val="Heading2"/>
      </w:pPr>
      <w:r w:rsidRPr="00BC1AFF">
        <w:t xml:space="preserve">A </w:t>
      </w:r>
      <w:r w:rsidR="00134E98" w:rsidRPr="00BC1AFF">
        <w:t>P</w:t>
      </w:r>
      <w:r w:rsidRPr="00BC1AFF">
        <w:t>roblem can be detected by a number of sources, including but not limited to:</w:t>
      </w:r>
    </w:p>
    <w:p w14:paraId="030A98AF" w14:textId="69A5D2FB" w:rsidR="00043BB3" w:rsidRPr="00BC1AFF" w:rsidRDefault="00886AED">
      <w:pPr>
        <w:pStyle w:val="Heading3"/>
        <w:numPr>
          <w:ilvl w:val="2"/>
          <w:numId w:val="9"/>
        </w:numPr>
      </w:pPr>
      <w:r w:rsidRPr="00BC1AFF">
        <w:t>the</w:t>
      </w:r>
      <w:r w:rsidR="00D606AE" w:rsidRPr="00BC1AFF">
        <w:t xml:space="preserve"> </w:t>
      </w:r>
      <w:r w:rsidR="00856EF0" w:rsidRPr="00BC1AFF">
        <w:t>Managed Service</w:t>
      </w:r>
      <w:r w:rsidR="00027E00" w:rsidRPr="00BC1AFF">
        <w:t>s</w:t>
      </w:r>
      <w:r w:rsidR="64BEDE08" w:rsidRPr="00BC1AFF">
        <w:t xml:space="preserve"> </w:t>
      </w:r>
      <w:r w:rsidR="00E13C5D" w:rsidRPr="00BC1AFF">
        <w:t>T</w:t>
      </w:r>
      <w:r w:rsidR="64BEDE08" w:rsidRPr="00BC1AFF">
        <w:t>eam from a specific Incident;</w:t>
      </w:r>
    </w:p>
    <w:p w14:paraId="48901EAE" w14:textId="093038B7" w:rsidR="00043BB3" w:rsidRPr="00BC1AFF" w:rsidRDefault="64BEDE08">
      <w:pPr>
        <w:pStyle w:val="Heading3"/>
        <w:numPr>
          <w:ilvl w:val="2"/>
          <w:numId w:val="9"/>
        </w:numPr>
      </w:pPr>
      <w:r w:rsidRPr="00BC1AFF">
        <w:t>monitoring and alerting;</w:t>
      </w:r>
    </w:p>
    <w:p w14:paraId="5BF5E063" w14:textId="2CECA0CC" w:rsidR="00043BB3" w:rsidRPr="00BC1AFF" w:rsidRDefault="64BEDE08">
      <w:pPr>
        <w:pStyle w:val="Heading3"/>
        <w:numPr>
          <w:ilvl w:val="2"/>
          <w:numId w:val="9"/>
        </w:numPr>
      </w:pPr>
      <w:r w:rsidRPr="00BC1AFF">
        <w:t>Incident trend analysis;</w:t>
      </w:r>
    </w:p>
    <w:p w14:paraId="02AE2B62" w14:textId="0A4F0043" w:rsidR="00043BB3" w:rsidRPr="00BC1AFF" w:rsidRDefault="64BEDE08">
      <w:pPr>
        <w:pStyle w:val="Heading3"/>
        <w:numPr>
          <w:ilvl w:val="2"/>
          <w:numId w:val="9"/>
        </w:numPr>
      </w:pPr>
      <w:r w:rsidRPr="00BC1AFF">
        <w:t>notification from vendor / security Inci</w:t>
      </w:r>
      <w:r w:rsidR="0726F50D" w:rsidRPr="00BC1AFF">
        <w:t>dent;</w:t>
      </w:r>
    </w:p>
    <w:p w14:paraId="34A03D38" w14:textId="1EE24B31" w:rsidR="00787943" w:rsidRPr="00BC1AFF" w:rsidRDefault="4DD113B5">
      <w:pPr>
        <w:pStyle w:val="Heading3"/>
        <w:numPr>
          <w:ilvl w:val="2"/>
          <w:numId w:val="9"/>
        </w:numPr>
      </w:pPr>
      <w:r w:rsidRPr="00BC1AFF">
        <w:t>our</w:t>
      </w:r>
      <w:r w:rsidR="0726F50D" w:rsidRPr="00BC1AFF">
        <w:t xml:space="preserve"> known error records.</w:t>
      </w:r>
    </w:p>
    <w:p w14:paraId="03208975" w14:textId="79751AB7" w:rsidR="0035376C" w:rsidRPr="00BC1AFF" w:rsidRDefault="14D60A7C" w:rsidP="00C90281">
      <w:pPr>
        <w:pStyle w:val="Heading2"/>
      </w:pPr>
      <w:r w:rsidRPr="00BC1AFF">
        <w:t xml:space="preserve">When a Problem is identified, </w:t>
      </w:r>
      <w:r w:rsidR="3849DD96" w:rsidRPr="00BC1AFF">
        <w:t>we</w:t>
      </w:r>
      <w:r w:rsidRPr="00BC1AFF">
        <w:t xml:space="preserve"> will gather all necessary information and perform root cause analysis. </w:t>
      </w:r>
    </w:p>
    <w:p w14:paraId="12461045" w14:textId="7BBD14ED" w:rsidR="0035376C" w:rsidRPr="00BC1AFF" w:rsidRDefault="14D60A7C" w:rsidP="00C90281">
      <w:pPr>
        <w:pStyle w:val="Heading2"/>
      </w:pPr>
      <w:r w:rsidRPr="00BC1AFF">
        <w:t xml:space="preserve">If a Change is needed to fix a Problem, then a Request for Change will be initiated and put through the Change Management process. </w:t>
      </w:r>
    </w:p>
    <w:p w14:paraId="4CE9B4F4" w14:textId="77777777" w:rsidR="0033308A" w:rsidRPr="00BC1AFF" w:rsidRDefault="0033308A" w:rsidP="00C56FE1">
      <w:pPr>
        <w:pStyle w:val="SubHead"/>
      </w:pPr>
      <w:bookmarkStart w:id="171" w:name="_Toc137461059"/>
      <w:bookmarkStart w:id="172" w:name="_Toc138241427"/>
      <w:bookmarkStart w:id="173" w:name="_Toc160009024"/>
      <w:r w:rsidRPr="00BC1AFF">
        <w:t>Scheduled Maintenance</w:t>
      </w:r>
      <w:bookmarkEnd w:id="171"/>
      <w:bookmarkEnd w:id="172"/>
      <w:bookmarkEnd w:id="173"/>
    </w:p>
    <w:p w14:paraId="3CCFE4A9" w14:textId="27781E75" w:rsidR="0033308A" w:rsidRPr="00BC1AFF" w:rsidRDefault="0033308A" w:rsidP="00C90281">
      <w:pPr>
        <w:pStyle w:val="Heading2"/>
      </w:pPr>
      <w:bookmarkStart w:id="174" w:name="_Ref130828760"/>
      <w:r w:rsidRPr="00BC1AFF">
        <w:rPr>
          <w:b/>
          <w:bCs/>
        </w:rPr>
        <w:t>Scheduled Maintenance</w:t>
      </w:r>
      <w:r w:rsidRPr="00BC1AFF">
        <w:t xml:space="preserve"> incorporates a period where works will be carried out that may or may not impact </w:t>
      </w:r>
      <w:r w:rsidR="00800F9C" w:rsidRPr="00BC1AFF">
        <w:t>the managed</w:t>
      </w:r>
      <w:r w:rsidRPr="00BC1AFF">
        <w:t xml:space="preserve"> IT Environment </w:t>
      </w:r>
      <w:r w:rsidR="00800F9C" w:rsidRPr="00BC1AFF">
        <w:t>and</w:t>
      </w:r>
      <w:r w:rsidRPr="00BC1AFF">
        <w:t xml:space="preserve"> Components.</w:t>
      </w:r>
      <w:bookmarkEnd w:id="174"/>
    </w:p>
    <w:p w14:paraId="0E83F014" w14:textId="449E34EC" w:rsidR="0033308A" w:rsidRPr="00BC1AFF" w:rsidRDefault="005929E2" w:rsidP="00C90281">
      <w:pPr>
        <w:pStyle w:val="Heading2"/>
      </w:pPr>
      <w:r w:rsidRPr="00BC1AFF">
        <w:t>You</w:t>
      </w:r>
      <w:r w:rsidR="0033308A" w:rsidRPr="00BC1AFF">
        <w:t xml:space="preserve"> acknowledge that Scheduled Maintenance is required to keep systems working optimally and may require changes to a system and or an outage.</w:t>
      </w:r>
    </w:p>
    <w:p w14:paraId="769DEA15" w14:textId="2EA1D97A" w:rsidR="0033308A" w:rsidRPr="00BC1AFF" w:rsidRDefault="0033308A" w:rsidP="00C90281">
      <w:pPr>
        <w:pStyle w:val="Heading2"/>
      </w:pPr>
      <w:r w:rsidRPr="00BC1AFF">
        <w:t xml:space="preserve">Scheduled Maintenance that will impact </w:t>
      </w:r>
      <w:r w:rsidR="003A3F61" w:rsidRPr="00BC1AFF">
        <w:t>the</w:t>
      </w:r>
      <w:r w:rsidRPr="00BC1AFF">
        <w:t xml:space="preserve"> managed IT Environment or Components must follow the Change </w:t>
      </w:r>
      <w:r w:rsidR="003A3F61" w:rsidRPr="00BC1AFF">
        <w:t>Enablement</w:t>
      </w:r>
      <w:r w:rsidRPr="00BC1AFF">
        <w:t xml:space="preserve"> process.</w:t>
      </w:r>
    </w:p>
    <w:p w14:paraId="232A1806" w14:textId="77777777" w:rsidR="0033308A" w:rsidRPr="00BC1AFF" w:rsidRDefault="0033308A" w:rsidP="00C90281">
      <w:pPr>
        <w:pStyle w:val="Heading2"/>
      </w:pPr>
      <w:r w:rsidRPr="00BC1AFF">
        <w:t>For the purposes of any availability calculation, systems that are unavailable for the duration of any Scheduled Maintenance will be deemed to be available and excluded from any Service Levels.</w:t>
      </w:r>
    </w:p>
    <w:p w14:paraId="325403BC" w14:textId="77777777" w:rsidR="0033308A" w:rsidRPr="00BC1AFF" w:rsidRDefault="0033308A" w:rsidP="0033308A">
      <w:pPr>
        <w:pStyle w:val="SubHead"/>
      </w:pPr>
      <w:bookmarkStart w:id="175" w:name="_Toc137461060"/>
      <w:bookmarkStart w:id="176" w:name="_Toc138241428"/>
      <w:bookmarkStart w:id="177" w:name="_Toc160009025"/>
      <w:r w:rsidRPr="00BC1AFF">
        <w:t>Your Scheduled Maintenance</w:t>
      </w:r>
      <w:bookmarkEnd w:id="175"/>
      <w:bookmarkEnd w:id="176"/>
      <w:bookmarkEnd w:id="177"/>
    </w:p>
    <w:p w14:paraId="5C201BF0" w14:textId="199BC4B2" w:rsidR="0033308A" w:rsidRPr="00BC1AFF" w:rsidRDefault="0033308A" w:rsidP="00C90281">
      <w:pPr>
        <w:pStyle w:val="Heading2"/>
      </w:pPr>
      <w:r w:rsidRPr="00BC1AFF">
        <w:t>“</w:t>
      </w:r>
      <w:r w:rsidRPr="00BC1AFF">
        <w:rPr>
          <w:b/>
          <w:bCs/>
        </w:rPr>
        <w:t xml:space="preserve">Your Scheduled Maintenance” </w:t>
      </w:r>
      <w:r w:rsidRPr="00BC1AFF">
        <w:t xml:space="preserve">incorporates Scheduled Maintenance to be undertaken by you that does not involve the </w:t>
      </w:r>
      <w:r w:rsidR="00F34F75" w:rsidRPr="00BC1AFF">
        <w:t>Telstra Purple Managed Services</w:t>
      </w:r>
      <w:r w:rsidRPr="00BC1AFF">
        <w:t xml:space="preserve"> or </w:t>
      </w:r>
      <w:r w:rsidR="00886AED" w:rsidRPr="00BC1AFF">
        <w:t>us</w:t>
      </w:r>
      <w:r w:rsidRPr="00BC1AFF">
        <w:t>.</w:t>
      </w:r>
    </w:p>
    <w:p w14:paraId="56DC9B74" w14:textId="07D5AE85" w:rsidR="0033308A" w:rsidRPr="00BC1AFF" w:rsidRDefault="0033308A" w:rsidP="00C90281">
      <w:pPr>
        <w:pStyle w:val="Heading2"/>
      </w:pPr>
      <w:r w:rsidRPr="00BC1AFF">
        <w:t xml:space="preserve">You will advise </w:t>
      </w:r>
      <w:r w:rsidR="00886AED" w:rsidRPr="00BC1AFF">
        <w:t>us</w:t>
      </w:r>
      <w:r w:rsidRPr="00BC1AFF">
        <w:t xml:space="preserve"> during Business Hours where it could be reasonably considered Your Scheduled Maintenance may impact the Telstra Purple Managed Services at least 24 hours prior to carrying out any such Scheduled Maintenance.</w:t>
      </w:r>
    </w:p>
    <w:p w14:paraId="6844A61A" w14:textId="7A11B5BC" w:rsidR="0033308A" w:rsidRPr="00BC1AFF" w:rsidRDefault="0033308A" w:rsidP="00C90281">
      <w:pPr>
        <w:pStyle w:val="Heading2"/>
        <w:rPr>
          <w:strike/>
        </w:rPr>
      </w:pPr>
      <w:r w:rsidRPr="00BC1AFF">
        <w:t xml:space="preserve">All notifications should be sent to the Telstra Service Desk </w:t>
      </w:r>
      <w:r w:rsidR="00AA3D5E" w:rsidRPr="00BC1AFF">
        <w:t xml:space="preserve">via </w:t>
      </w:r>
      <w:r w:rsidR="00960366" w:rsidRPr="00BC1AFF">
        <w:t xml:space="preserve">the </w:t>
      </w:r>
      <w:r w:rsidR="00AA3D5E" w:rsidRPr="00BC1AFF">
        <w:t>Service Request</w:t>
      </w:r>
      <w:r w:rsidR="00960366" w:rsidRPr="00BC1AFF">
        <w:t xml:space="preserve"> process outlined in your Operations Manual</w:t>
      </w:r>
      <w:r w:rsidR="00AA3D5E" w:rsidRPr="00BC1AFF">
        <w:t xml:space="preserve">. </w:t>
      </w:r>
    </w:p>
    <w:p w14:paraId="2CA5220A" w14:textId="77777777" w:rsidR="0033308A" w:rsidRPr="00BC1AFF" w:rsidRDefault="0033308A" w:rsidP="00C90281">
      <w:pPr>
        <w:pStyle w:val="Heading2"/>
      </w:pPr>
      <w:r w:rsidRPr="00BC1AFF">
        <w:t>You acknowledge that failure to comply with this section may result in Additional Service Charges should the Telstra Purple Managed Services be impacted.</w:t>
      </w:r>
    </w:p>
    <w:p w14:paraId="5617B75E" w14:textId="77777777" w:rsidR="0033308A" w:rsidRPr="00BC1AFF" w:rsidRDefault="0033308A" w:rsidP="0033308A">
      <w:pPr>
        <w:pStyle w:val="SubHead"/>
      </w:pPr>
      <w:bookmarkStart w:id="178" w:name="_Toc137461061"/>
      <w:bookmarkStart w:id="179" w:name="_Toc138241429"/>
      <w:bookmarkStart w:id="180" w:name="_Toc160009026"/>
      <w:r w:rsidRPr="00BC1AFF">
        <w:t>Our Scheduled Maintenance</w:t>
      </w:r>
      <w:bookmarkEnd w:id="178"/>
      <w:bookmarkEnd w:id="179"/>
      <w:bookmarkEnd w:id="180"/>
    </w:p>
    <w:p w14:paraId="66E273E7" w14:textId="06920AA8" w:rsidR="0033308A" w:rsidRPr="00BC1AFF" w:rsidRDefault="0033308A" w:rsidP="00C90281">
      <w:pPr>
        <w:pStyle w:val="Heading2"/>
      </w:pPr>
      <w:r w:rsidRPr="00BC1AFF">
        <w:t>“</w:t>
      </w:r>
      <w:r w:rsidRPr="00BC1AFF">
        <w:rPr>
          <w:b/>
          <w:bCs/>
        </w:rPr>
        <w:t>Our Scheduled Maintenance</w:t>
      </w:r>
      <w:r w:rsidRPr="00BC1AFF">
        <w:t xml:space="preserve">” incorporates Scheduled Maintenance to be undertaken </w:t>
      </w:r>
      <w:r w:rsidR="00AF49BE" w:rsidRPr="00BC1AFF">
        <w:t xml:space="preserve">by </w:t>
      </w:r>
      <w:r w:rsidR="002C0C05" w:rsidRPr="00BC1AFF">
        <w:t>us</w:t>
      </w:r>
      <w:r w:rsidRPr="00BC1AFF">
        <w:t xml:space="preserve"> on our owned or operated systems that:</w:t>
      </w:r>
    </w:p>
    <w:p w14:paraId="18854E32" w14:textId="0CAC07A9" w:rsidR="0033308A" w:rsidRPr="00BC1AFF" w:rsidRDefault="0033308A" w:rsidP="0033308A">
      <w:pPr>
        <w:pStyle w:val="Heading3"/>
      </w:pPr>
      <w:r w:rsidRPr="00BC1AFF">
        <w:lastRenderedPageBreak/>
        <w:t xml:space="preserve">does not involve or impact the managed IT Environments </w:t>
      </w:r>
      <w:r w:rsidR="00F005F8" w:rsidRPr="00BC1AFF">
        <w:t>and</w:t>
      </w:r>
      <w:r w:rsidRPr="00BC1AFF">
        <w:t xml:space="preserve"> Components. This may include Proactive Monitoring, </w:t>
      </w:r>
      <w:r w:rsidR="00F005F8" w:rsidRPr="00BC1AFF">
        <w:t>monitoring tools</w:t>
      </w:r>
      <w:r w:rsidRPr="00BC1AFF">
        <w:t xml:space="preserve"> or Service Management Systems;</w:t>
      </w:r>
    </w:p>
    <w:p w14:paraId="4F2F42AC" w14:textId="19EB95F4" w:rsidR="0033308A" w:rsidRPr="00BC1AFF" w:rsidRDefault="0033308A" w:rsidP="0033308A">
      <w:pPr>
        <w:pStyle w:val="Heading3"/>
      </w:pPr>
      <w:r w:rsidRPr="00BC1AFF">
        <w:t xml:space="preserve">where an outage is required on our owned system, we will follow an internal </w:t>
      </w:r>
      <w:r w:rsidR="0075282C" w:rsidRPr="00BC1AFF">
        <w:t>C</w:t>
      </w:r>
      <w:r w:rsidRPr="00BC1AFF">
        <w:t xml:space="preserve">hange </w:t>
      </w:r>
      <w:r w:rsidR="0075282C" w:rsidRPr="00BC1AFF">
        <w:t>E</w:t>
      </w:r>
      <w:r w:rsidR="004F29F3" w:rsidRPr="00BC1AFF">
        <w:t>nablement</w:t>
      </w:r>
      <w:r w:rsidRPr="00BC1AFF">
        <w:t xml:space="preserve"> process with notifications published to you 72 hours prior to the scheduled start time.</w:t>
      </w:r>
    </w:p>
    <w:p w14:paraId="631D8F28" w14:textId="16F5AE03" w:rsidR="0033308A" w:rsidRPr="00BC1AFF" w:rsidRDefault="0033308A" w:rsidP="00C90281">
      <w:pPr>
        <w:pStyle w:val="Heading2"/>
      </w:pPr>
      <w:r w:rsidRPr="00BC1AFF">
        <w:t xml:space="preserve">We will endeavour to carry out Our Scheduled Maintenance that will impact </w:t>
      </w:r>
      <w:r w:rsidR="003206E8" w:rsidRPr="00BC1AFF">
        <w:t>the managed</w:t>
      </w:r>
      <w:r w:rsidRPr="00BC1AFF">
        <w:t xml:space="preserve"> IT Environment </w:t>
      </w:r>
      <w:r w:rsidR="003206E8" w:rsidRPr="00BC1AFF">
        <w:t>and</w:t>
      </w:r>
      <w:r w:rsidRPr="00BC1AFF">
        <w:t xml:space="preserve"> Components:</w:t>
      </w:r>
    </w:p>
    <w:p w14:paraId="0009E719" w14:textId="77777777" w:rsidR="0033308A" w:rsidRPr="00BC1AFF" w:rsidRDefault="0033308A" w:rsidP="0033308A">
      <w:pPr>
        <w:pStyle w:val="Heading3"/>
      </w:pPr>
      <w:r w:rsidRPr="00BC1AFF">
        <w:t>within the Scheduled Maintenance times referred to below,</w:t>
      </w:r>
    </w:p>
    <w:p w14:paraId="16F35D56" w14:textId="77777777" w:rsidR="0033308A" w:rsidRPr="00BC1AFF" w:rsidRDefault="0033308A" w:rsidP="0033308A">
      <w:pPr>
        <w:pStyle w:val="Heading3"/>
      </w:pPr>
      <w:r w:rsidRPr="00BC1AFF">
        <w:t>at other times with your agreement; or</w:t>
      </w:r>
    </w:p>
    <w:p w14:paraId="11506903" w14:textId="77777777" w:rsidR="0033308A" w:rsidRPr="00BC1AFF" w:rsidRDefault="0033308A" w:rsidP="0033308A">
      <w:pPr>
        <w:pStyle w:val="Heading3"/>
      </w:pPr>
      <w:r w:rsidRPr="00BC1AFF">
        <w:t>where it is needed to implement an Emergency Change.</w:t>
      </w:r>
    </w:p>
    <w:p w14:paraId="54D96522" w14:textId="633323EE" w:rsidR="0033308A" w:rsidRPr="00BC1AFF" w:rsidRDefault="0033308A" w:rsidP="00C90281">
      <w:pPr>
        <w:pStyle w:val="Heading2"/>
      </w:pPr>
      <w:r w:rsidRPr="00BC1AFF">
        <w:t xml:space="preserve">We will advise you should </w:t>
      </w:r>
      <w:r w:rsidR="00D22765" w:rsidRPr="00BC1AFF">
        <w:t>the</w:t>
      </w:r>
      <w:r w:rsidRPr="00BC1AFF">
        <w:t xml:space="preserve"> managed IT Environment</w:t>
      </w:r>
      <w:r w:rsidR="00FC6F6B" w:rsidRPr="00BC1AFF">
        <w:t>s</w:t>
      </w:r>
      <w:r w:rsidRPr="00BC1AFF">
        <w:t xml:space="preserve"> or Components not be available during Our Scheduled Maintenance.</w:t>
      </w:r>
    </w:p>
    <w:p w14:paraId="6CC724FD" w14:textId="56F638C7" w:rsidR="0027043F" w:rsidRPr="00BC1AFF" w:rsidRDefault="0033308A" w:rsidP="00C90281">
      <w:pPr>
        <w:pStyle w:val="Heading2"/>
      </w:pPr>
      <w:r w:rsidRPr="00BC1AFF">
        <w:t xml:space="preserve">Unless otherwise stipulated in the </w:t>
      </w:r>
      <w:r w:rsidR="002C0C05" w:rsidRPr="00BC1AFF">
        <w:t xml:space="preserve">applicable </w:t>
      </w:r>
      <w:r w:rsidR="00B55853" w:rsidRPr="00BC1AFF">
        <w:t>M</w:t>
      </w:r>
      <w:r w:rsidR="009D6E7E" w:rsidRPr="00BC1AFF">
        <w:t xml:space="preserve">SDs or </w:t>
      </w:r>
      <w:r w:rsidR="005023CD" w:rsidRPr="00BC1AFF">
        <w:t>SDs</w:t>
      </w:r>
      <w:r w:rsidRPr="00BC1AFF">
        <w:t>, the following table shows the agreed windows for Scheduled Maintenance implemented by us that impact your managed IT Environment</w:t>
      </w:r>
      <w:r w:rsidR="00FC6F6B" w:rsidRPr="00BC1AFF">
        <w:t>s</w:t>
      </w:r>
      <w:r w:rsidRPr="00BC1AFF">
        <w:t xml:space="preserve"> </w:t>
      </w:r>
      <w:r w:rsidR="00882024" w:rsidRPr="00BC1AFF">
        <w:t>and</w:t>
      </w:r>
      <w:r w:rsidRPr="00BC1AFF">
        <w:t xml:space="preserve"> Components: </w:t>
      </w:r>
    </w:p>
    <w:tbl>
      <w:tblPr>
        <w:tblStyle w:val="VMTStandardTable2"/>
        <w:tblW w:w="10065" w:type="dxa"/>
        <w:tblInd w:w="709" w:type="dxa"/>
        <w:tblLayout w:type="fixed"/>
        <w:tblLook w:val="04A0" w:firstRow="1" w:lastRow="0" w:firstColumn="1" w:lastColumn="0" w:noHBand="0" w:noVBand="1"/>
      </w:tblPr>
      <w:tblGrid>
        <w:gridCol w:w="2517"/>
        <w:gridCol w:w="2516"/>
        <w:gridCol w:w="2516"/>
        <w:gridCol w:w="2516"/>
      </w:tblGrid>
      <w:tr w:rsidR="00776830" w:rsidRPr="00BC1AFF" w14:paraId="7C20D094" w14:textId="77777777" w:rsidTr="00CE273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Borders>
              <w:left w:val="nil"/>
            </w:tcBorders>
            <w:shd w:val="clear" w:color="auto" w:fill="F2F2F2" w:themeFill="background1" w:themeFillShade="F2"/>
          </w:tcPr>
          <w:p w14:paraId="5B712EA8" w14:textId="77777777" w:rsidR="00966B70" w:rsidRPr="00BC1AFF" w:rsidRDefault="00966B70" w:rsidP="00865B70">
            <w:pPr>
              <w:keepNext/>
              <w:spacing w:after="0"/>
              <w:rPr>
                <w:b/>
                <w:color w:val="auto"/>
              </w:rPr>
            </w:pPr>
            <w:r w:rsidRPr="00BC1AFF">
              <w:rPr>
                <w:b/>
                <w:color w:val="auto"/>
              </w:rPr>
              <w:t>Service</w:t>
            </w:r>
          </w:p>
        </w:tc>
        <w:tc>
          <w:tcPr>
            <w:tcW w:w="0" w:type="dxa"/>
            <w:shd w:val="clear" w:color="auto" w:fill="F2F2F2" w:themeFill="background1" w:themeFillShade="F2"/>
            <w:noWrap/>
            <w:hideMark/>
          </w:tcPr>
          <w:p w14:paraId="2017D347" w14:textId="77777777" w:rsidR="00966B70" w:rsidRPr="00BC1AFF" w:rsidRDefault="00966B70" w:rsidP="00865B70">
            <w:pPr>
              <w:keepLines/>
              <w:spacing w:after="0"/>
              <w:cnfStyle w:val="100000000000" w:firstRow="1" w:lastRow="0" w:firstColumn="0" w:lastColumn="0" w:oddVBand="0" w:evenVBand="0" w:oddHBand="0" w:evenHBand="0" w:firstRowFirstColumn="0" w:firstRowLastColumn="0" w:lastRowFirstColumn="0" w:lastRowLastColumn="0"/>
              <w:rPr>
                <w:b/>
                <w:color w:val="auto"/>
              </w:rPr>
            </w:pPr>
            <w:r w:rsidRPr="00BC1AFF">
              <w:rPr>
                <w:b/>
                <w:color w:val="auto"/>
              </w:rPr>
              <w:t>System / Component</w:t>
            </w:r>
          </w:p>
        </w:tc>
        <w:tc>
          <w:tcPr>
            <w:tcW w:w="0" w:type="dxa"/>
            <w:shd w:val="clear" w:color="auto" w:fill="F2F2F2" w:themeFill="background1" w:themeFillShade="F2"/>
            <w:noWrap/>
            <w:hideMark/>
          </w:tcPr>
          <w:p w14:paraId="4D110204" w14:textId="77777777" w:rsidR="00966B70" w:rsidRPr="00BC1AFF" w:rsidRDefault="00966B70" w:rsidP="00865B70">
            <w:pPr>
              <w:keepLines/>
              <w:spacing w:after="0"/>
              <w:cnfStyle w:val="100000000000" w:firstRow="1" w:lastRow="0" w:firstColumn="0" w:lastColumn="0" w:oddVBand="0" w:evenVBand="0" w:oddHBand="0" w:evenHBand="0" w:firstRowFirstColumn="0" w:firstRowLastColumn="0" w:lastRowFirstColumn="0" w:lastRowLastColumn="0"/>
              <w:rPr>
                <w:b/>
                <w:color w:val="auto"/>
              </w:rPr>
            </w:pPr>
            <w:r w:rsidRPr="00BC1AFF">
              <w:rPr>
                <w:b/>
                <w:color w:val="auto"/>
              </w:rPr>
              <w:t>Primary Change Window</w:t>
            </w:r>
          </w:p>
        </w:tc>
        <w:tc>
          <w:tcPr>
            <w:tcW w:w="0" w:type="dxa"/>
            <w:shd w:val="clear" w:color="auto" w:fill="F2F2F2" w:themeFill="background1" w:themeFillShade="F2"/>
          </w:tcPr>
          <w:p w14:paraId="20872846" w14:textId="77777777" w:rsidR="00966B70" w:rsidRPr="00BC1AFF" w:rsidRDefault="00966B70" w:rsidP="00865B70">
            <w:pPr>
              <w:keepLines/>
              <w:spacing w:after="0" w:line="259" w:lineRule="auto"/>
              <w:cnfStyle w:val="100000000000" w:firstRow="1" w:lastRow="0" w:firstColumn="0" w:lastColumn="0" w:oddVBand="0" w:evenVBand="0" w:oddHBand="0" w:evenHBand="0" w:firstRowFirstColumn="0" w:firstRowLastColumn="0" w:lastRowFirstColumn="0" w:lastRowLastColumn="0"/>
              <w:rPr>
                <w:b/>
                <w:color w:val="auto"/>
              </w:rPr>
            </w:pPr>
            <w:r w:rsidRPr="00BC1AFF">
              <w:rPr>
                <w:b/>
                <w:color w:val="auto"/>
              </w:rPr>
              <w:t>Secondary Change Window</w:t>
            </w:r>
          </w:p>
        </w:tc>
      </w:tr>
      <w:tr w:rsidR="00865B70" w:rsidRPr="00BC1AFF" w14:paraId="49F4BAA0" w14:textId="77777777" w:rsidTr="00CE273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noWrap/>
          </w:tcPr>
          <w:p w14:paraId="11EEC517" w14:textId="77777777" w:rsidR="0033308A" w:rsidRPr="00BC1AFF" w:rsidRDefault="0033308A" w:rsidP="00865B70">
            <w:pPr>
              <w:keepNext/>
              <w:spacing w:after="0"/>
              <w:rPr>
                <w:color w:val="auto"/>
              </w:rPr>
            </w:pPr>
            <w:r w:rsidRPr="00BC1AFF">
              <w:rPr>
                <w:color w:val="auto"/>
              </w:rPr>
              <w:t>All Services</w:t>
            </w:r>
          </w:p>
        </w:tc>
        <w:tc>
          <w:tcPr>
            <w:tcW w:w="0" w:type="dxa"/>
            <w:shd w:val="clear" w:color="auto" w:fill="auto"/>
          </w:tcPr>
          <w:p w14:paraId="100BB8A2" w14:textId="77777777" w:rsidR="0033308A" w:rsidRPr="00BC1AFF" w:rsidRDefault="0033308A" w:rsidP="00865B70">
            <w:pPr>
              <w:keepLines/>
              <w:spacing w:after="0"/>
              <w:cnfStyle w:val="000000100000" w:firstRow="0" w:lastRow="0" w:firstColumn="0" w:lastColumn="0" w:oddVBand="0" w:evenVBand="0" w:oddHBand="1" w:evenHBand="0" w:firstRowFirstColumn="0" w:firstRowLastColumn="0" w:lastRowFirstColumn="0" w:lastRowLastColumn="0"/>
              <w:rPr>
                <w:color w:val="auto"/>
              </w:rPr>
            </w:pPr>
            <w:r w:rsidRPr="00BC1AFF">
              <w:rPr>
                <w:color w:val="auto"/>
              </w:rPr>
              <w:t>All Environments</w:t>
            </w:r>
          </w:p>
        </w:tc>
        <w:tc>
          <w:tcPr>
            <w:tcW w:w="0" w:type="dxa"/>
            <w:shd w:val="clear" w:color="auto" w:fill="auto"/>
            <w:noWrap/>
          </w:tcPr>
          <w:p w14:paraId="2CB6D7F3" w14:textId="77777777" w:rsidR="0033308A" w:rsidRPr="00BC1AFF" w:rsidRDefault="0033308A" w:rsidP="00865B70">
            <w:pPr>
              <w:keepLines/>
              <w:spacing w:after="0"/>
              <w:cnfStyle w:val="000000100000" w:firstRow="0" w:lastRow="0" w:firstColumn="0" w:lastColumn="0" w:oddVBand="0" w:evenVBand="0" w:oddHBand="1" w:evenHBand="0" w:firstRowFirstColumn="0" w:firstRowLastColumn="0" w:lastRowFirstColumn="0" w:lastRowLastColumn="0"/>
              <w:rPr>
                <w:color w:val="auto"/>
              </w:rPr>
            </w:pPr>
            <w:r w:rsidRPr="00BC1AFF">
              <w:rPr>
                <w:color w:val="auto"/>
              </w:rPr>
              <w:t>Second Wednesday each Month 6pm – 11pm</w:t>
            </w:r>
          </w:p>
        </w:tc>
        <w:tc>
          <w:tcPr>
            <w:tcW w:w="0" w:type="dxa"/>
            <w:shd w:val="clear" w:color="auto" w:fill="auto"/>
            <w:noWrap/>
          </w:tcPr>
          <w:p w14:paraId="7D87487C" w14:textId="77777777" w:rsidR="0033308A" w:rsidRPr="00BC1AFF" w:rsidRDefault="0033308A" w:rsidP="00865B70">
            <w:pPr>
              <w:keepLines/>
              <w:spacing w:after="0"/>
              <w:cnfStyle w:val="000000100000" w:firstRow="0" w:lastRow="0" w:firstColumn="0" w:lastColumn="0" w:oddVBand="0" w:evenVBand="0" w:oddHBand="1" w:evenHBand="0" w:firstRowFirstColumn="0" w:firstRowLastColumn="0" w:lastRowFirstColumn="0" w:lastRowLastColumn="0"/>
              <w:rPr>
                <w:color w:val="auto"/>
              </w:rPr>
            </w:pPr>
            <w:r w:rsidRPr="00BC1AFF">
              <w:rPr>
                <w:color w:val="auto"/>
              </w:rPr>
              <w:t>Second Sunday each Month 9am – 5pm</w:t>
            </w:r>
          </w:p>
        </w:tc>
      </w:tr>
      <w:tr w:rsidR="00865B70" w:rsidRPr="00BC1AFF" w14:paraId="0B71E367" w14:textId="77777777" w:rsidTr="00CE273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noWrap/>
          </w:tcPr>
          <w:p w14:paraId="4CA87673" w14:textId="77777777" w:rsidR="0033308A" w:rsidRPr="00BC1AFF" w:rsidRDefault="0033308A" w:rsidP="00865B70">
            <w:pPr>
              <w:keepLines/>
              <w:spacing w:after="0"/>
              <w:rPr>
                <w:color w:val="auto"/>
              </w:rPr>
            </w:pPr>
            <w:r w:rsidRPr="00BC1AFF">
              <w:rPr>
                <w:color w:val="auto"/>
              </w:rPr>
              <w:t>All Services</w:t>
            </w:r>
          </w:p>
        </w:tc>
        <w:tc>
          <w:tcPr>
            <w:tcW w:w="0" w:type="dxa"/>
            <w:shd w:val="clear" w:color="auto" w:fill="auto"/>
          </w:tcPr>
          <w:p w14:paraId="75D4E9F3" w14:textId="77777777" w:rsidR="0033308A" w:rsidRPr="00BC1AFF" w:rsidRDefault="0033308A" w:rsidP="00865B70">
            <w:pPr>
              <w:keepLines/>
              <w:spacing w:after="0"/>
              <w:cnfStyle w:val="000000010000" w:firstRow="0" w:lastRow="0" w:firstColumn="0" w:lastColumn="0" w:oddVBand="0" w:evenVBand="0" w:oddHBand="0" w:evenHBand="1" w:firstRowFirstColumn="0" w:firstRowLastColumn="0" w:lastRowFirstColumn="0" w:lastRowLastColumn="0"/>
              <w:rPr>
                <w:color w:val="auto"/>
              </w:rPr>
            </w:pPr>
            <w:r w:rsidRPr="00BC1AFF">
              <w:rPr>
                <w:color w:val="auto"/>
              </w:rPr>
              <w:t>Systems that do not impact Environments</w:t>
            </w:r>
          </w:p>
        </w:tc>
        <w:tc>
          <w:tcPr>
            <w:tcW w:w="0" w:type="dxa"/>
            <w:shd w:val="clear" w:color="auto" w:fill="auto"/>
            <w:noWrap/>
          </w:tcPr>
          <w:p w14:paraId="041FF6C2" w14:textId="77777777" w:rsidR="0033308A" w:rsidRPr="00BC1AFF" w:rsidRDefault="0033308A" w:rsidP="00865B70">
            <w:pPr>
              <w:keepLines/>
              <w:spacing w:after="0"/>
              <w:cnfStyle w:val="000000010000" w:firstRow="0" w:lastRow="0" w:firstColumn="0" w:lastColumn="0" w:oddVBand="0" w:evenVBand="0" w:oddHBand="0" w:evenHBand="1" w:firstRowFirstColumn="0" w:firstRowLastColumn="0" w:lastRowFirstColumn="0" w:lastRowLastColumn="0"/>
              <w:rPr>
                <w:color w:val="auto"/>
              </w:rPr>
            </w:pPr>
            <w:r w:rsidRPr="00BC1AFF">
              <w:rPr>
                <w:color w:val="auto"/>
              </w:rPr>
              <w:t>Any time at our discretion with 24 hours’ notice</w:t>
            </w:r>
          </w:p>
        </w:tc>
        <w:tc>
          <w:tcPr>
            <w:tcW w:w="0" w:type="dxa"/>
            <w:shd w:val="clear" w:color="auto" w:fill="auto"/>
            <w:noWrap/>
          </w:tcPr>
          <w:p w14:paraId="594A1E1B" w14:textId="77777777" w:rsidR="0033308A" w:rsidRPr="00BC1AFF" w:rsidRDefault="0033308A" w:rsidP="00865B70">
            <w:pPr>
              <w:keepLines/>
              <w:spacing w:after="0"/>
              <w:cnfStyle w:val="000000010000" w:firstRow="0" w:lastRow="0" w:firstColumn="0" w:lastColumn="0" w:oddVBand="0" w:evenVBand="0" w:oddHBand="0" w:evenHBand="1" w:firstRowFirstColumn="0" w:firstRowLastColumn="0" w:lastRowFirstColumn="0" w:lastRowLastColumn="0"/>
              <w:rPr>
                <w:color w:val="auto"/>
              </w:rPr>
            </w:pPr>
            <w:r w:rsidRPr="00BC1AFF">
              <w:rPr>
                <w:color w:val="auto"/>
              </w:rPr>
              <w:t>Any time at our discretion with 24 hours’ notice</w:t>
            </w:r>
          </w:p>
        </w:tc>
      </w:tr>
    </w:tbl>
    <w:p w14:paraId="11921F8E" w14:textId="71407680" w:rsidR="0033308A" w:rsidRPr="00BC1AFF" w:rsidRDefault="0033308A" w:rsidP="003A620A">
      <w:pPr>
        <w:pStyle w:val="SubHead"/>
        <w:spacing w:before="240"/>
      </w:pPr>
      <w:bookmarkStart w:id="181" w:name="_Toc137461062"/>
      <w:bookmarkStart w:id="182" w:name="_Toc138241430"/>
      <w:bookmarkStart w:id="183" w:name="_Toc160009027"/>
      <w:r w:rsidRPr="00BC1AFF">
        <w:t>Preventative Maintenance</w:t>
      </w:r>
      <w:bookmarkEnd w:id="181"/>
      <w:bookmarkEnd w:id="182"/>
      <w:bookmarkEnd w:id="183"/>
    </w:p>
    <w:p w14:paraId="2DD1361F" w14:textId="77777777" w:rsidR="0033308A" w:rsidRPr="00BC1AFF" w:rsidRDefault="0033308A" w:rsidP="00C90281">
      <w:pPr>
        <w:pStyle w:val="Heading2"/>
      </w:pPr>
      <w:r w:rsidRPr="00BC1AFF">
        <w:t>Where recommended by us and in coordination with you, we will carry out regular and pre-scheduled checks to help maintain system operations, stability and security. Any findings will be reviewed and reported under the Service Request process. </w:t>
      </w:r>
    </w:p>
    <w:p w14:paraId="4E160B31" w14:textId="32761C1C" w:rsidR="0033308A" w:rsidRPr="00BC1AFF" w:rsidRDefault="0033308A" w:rsidP="00C90281">
      <w:pPr>
        <w:pStyle w:val="Heading2"/>
      </w:pPr>
      <w:bookmarkStart w:id="184" w:name="_Ref130829780"/>
      <w:r w:rsidRPr="00BC1AFF">
        <w:t>Preventative maintenance tasks are further specified in the</w:t>
      </w:r>
      <w:r w:rsidR="002C0C05" w:rsidRPr="00BC1AFF">
        <w:t xml:space="preserve"> applicable</w:t>
      </w:r>
      <w:r w:rsidRPr="00BC1AFF">
        <w:t xml:space="preserve"> </w:t>
      </w:r>
      <w:r w:rsidR="00182522" w:rsidRPr="00BC1AFF">
        <w:t>M</w:t>
      </w:r>
      <w:r w:rsidR="009D6E7E" w:rsidRPr="00BC1AFF">
        <w:t xml:space="preserve">SDs and </w:t>
      </w:r>
      <w:r w:rsidRPr="00BC1AFF">
        <w:t>SDs.</w:t>
      </w:r>
      <w:bookmarkEnd w:id="184"/>
    </w:p>
    <w:p w14:paraId="5EE551B5" w14:textId="5E2D5D7D" w:rsidR="00787943" w:rsidRPr="00BC1AFF" w:rsidRDefault="548442E5" w:rsidP="00802292">
      <w:pPr>
        <w:pStyle w:val="Heading1"/>
      </w:pPr>
      <w:bookmarkStart w:id="185" w:name="_Toc115217348"/>
      <w:bookmarkStart w:id="186" w:name="_Toc137461063"/>
      <w:bookmarkStart w:id="187" w:name="_Toc138241431"/>
      <w:bookmarkStart w:id="188" w:name="_Toc160009028"/>
      <w:r w:rsidRPr="00BC1AFF">
        <w:t xml:space="preserve">Service Request </w:t>
      </w:r>
      <w:r w:rsidR="393D9C0B" w:rsidRPr="00BC1AFF">
        <w:t>management</w:t>
      </w:r>
      <w:bookmarkEnd w:id="185"/>
      <w:bookmarkEnd w:id="186"/>
      <w:bookmarkEnd w:id="187"/>
      <w:bookmarkEnd w:id="188"/>
    </w:p>
    <w:p w14:paraId="69D5EF60" w14:textId="694114F3" w:rsidR="00AA7CA8" w:rsidRPr="00BC1AFF" w:rsidRDefault="548442E5" w:rsidP="00C90281">
      <w:pPr>
        <w:pStyle w:val="Heading2"/>
      </w:pPr>
      <w:r w:rsidRPr="00BC1AFF">
        <w:t xml:space="preserve">Service Request </w:t>
      </w:r>
      <w:r w:rsidR="00586C24" w:rsidRPr="00BC1AFF">
        <w:t>Management</w:t>
      </w:r>
      <w:r w:rsidRPr="00BC1AFF">
        <w:t xml:space="preserve"> manages the lifecycle of all Service Requests.</w:t>
      </w:r>
    </w:p>
    <w:p w14:paraId="4F4D351A" w14:textId="7272D1F1" w:rsidR="00AA7CA8" w:rsidRPr="00BC1AFF" w:rsidRDefault="48ECAD0E" w:rsidP="00C90281">
      <w:pPr>
        <w:pStyle w:val="Heading2"/>
      </w:pPr>
      <w:r w:rsidRPr="00BC1AFF">
        <w:t>We</w:t>
      </w:r>
      <w:r w:rsidR="548442E5" w:rsidRPr="00BC1AFF">
        <w:t xml:space="preserve"> will record, respond and resolve Service Requests for managed </w:t>
      </w:r>
      <w:r w:rsidR="00C532A3" w:rsidRPr="00BC1AFF">
        <w:t xml:space="preserve">IT </w:t>
      </w:r>
      <w:r w:rsidR="548442E5" w:rsidRPr="00BC1AFF">
        <w:t>Environments</w:t>
      </w:r>
      <w:r w:rsidR="00C532A3" w:rsidRPr="00BC1AFF">
        <w:t xml:space="preserve"> and </w:t>
      </w:r>
      <w:r w:rsidR="00134E98" w:rsidRPr="00BC1AFF">
        <w:t>C</w:t>
      </w:r>
      <w:r w:rsidR="00C532A3" w:rsidRPr="00BC1AFF">
        <w:t>omponents</w:t>
      </w:r>
      <w:r w:rsidR="548442E5" w:rsidRPr="00BC1AFF">
        <w:t xml:space="preserve">, which could include: </w:t>
      </w:r>
    </w:p>
    <w:p w14:paraId="5FFB109E" w14:textId="77777777" w:rsidR="00AA7CA8" w:rsidRPr="00BC1AFF" w:rsidRDefault="548442E5">
      <w:pPr>
        <w:pStyle w:val="Heading3"/>
        <w:numPr>
          <w:ilvl w:val="2"/>
          <w:numId w:val="9"/>
        </w:numPr>
      </w:pPr>
      <w:r w:rsidRPr="00BC1AFF">
        <w:t xml:space="preserve">request for general information, </w:t>
      </w:r>
    </w:p>
    <w:p w14:paraId="3DB96600" w14:textId="77777777" w:rsidR="00AA7CA8" w:rsidRPr="00BC1AFF" w:rsidRDefault="548442E5">
      <w:pPr>
        <w:pStyle w:val="Heading3"/>
        <w:numPr>
          <w:ilvl w:val="2"/>
          <w:numId w:val="9"/>
        </w:numPr>
      </w:pPr>
      <w:r w:rsidRPr="00BC1AFF">
        <w:t xml:space="preserve">advice, </w:t>
      </w:r>
    </w:p>
    <w:p w14:paraId="0C8AD75C" w14:textId="77777777" w:rsidR="00AA7CA8" w:rsidRPr="00BC1AFF" w:rsidRDefault="548442E5">
      <w:pPr>
        <w:pStyle w:val="Heading3"/>
        <w:numPr>
          <w:ilvl w:val="2"/>
          <w:numId w:val="9"/>
        </w:numPr>
      </w:pPr>
      <w:r w:rsidRPr="00BC1AFF">
        <w:t xml:space="preserve">procurement, and </w:t>
      </w:r>
    </w:p>
    <w:p w14:paraId="23F44FBD" w14:textId="652A8BF5" w:rsidR="00AA7CA8" w:rsidRPr="00BC1AFF" w:rsidRDefault="548442E5">
      <w:pPr>
        <w:pStyle w:val="Heading3"/>
        <w:numPr>
          <w:ilvl w:val="2"/>
          <w:numId w:val="9"/>
        </w:numPr>
      </w:pPr>
      <w:r w:rsidRPr="00BC1AFF">
        <w:lastRenderedPageBreak/>
        <w:t>technical changes.</w:t>
      </w:r>
    </w:p>
    <w:p w14:paraId="7C098F0C" w14:textId="0818822E" w:rsidR="008447CB" w:rsidRPr="00BC1AFF" w:rsidRDefault="008447CB" w:rsidP="008447CB">
      <w:pPr>
        <w:pStyle w:val="Heading2"/>
      </w:pPr>
      <w:bookmarkStart w:id="189" w:name="_Ref131413981"/>
      <w:r w:rsidRPr="00BC1AFF">
        <w:t xml:space="preserve">You are entitled to an allotted number of included </w:t>
      </w:r>
      <w:r w:rsidR="003434FB" w:rsidRPr="00BC1AFF">
        <w:t>Standard Service Requests</w:t>
      </w:r>
      <w:r w:rsidRPr="00BC1AFF">
        <w:t xml:space="preserve"> per month at no additional cost.  </w:t>
      </w:r>
      <w:r w:rsidR="0031722E">
        <w:t xml:space="preserve">Each Standard Service Request </w:t>
      </w:r>
      <w:r w:rsidR="00FE2AC0">
        <w:t>includes two hours of work</w:t>
      </w:r>
      <w:r w:rsidR="0031722E">
        <w:t>.  Any Standard Service Request that take</w:t>
      </w:r>
      <w:r w:rsidR="00FE2AC0">
        <w:t xml:space="preserve">s more than two hours to complete will incur Additional Service Charges. </w:t>
      </w:r>
      <w:r w:rsidR="0031722E">
        <w:t xml:space="preserve"> </w:t>
      </w:r>
      <w:r w:rsidRPr="00BC1AFF">
        <w:t xml:space="preserve">Any Standard </w:t>
      </w:r>
      <w:r w:rsidR="003434FB" w:rsidRPr="00BC1AFF">
        <w:t>Service Requests</w:t>
      </w:r>
      <w:r w:rsidRPr="00BC1AFF">
        <w:t xml:space="preserve"> beyond your allotted number will attract Additional Service Charges. The number of Standard </w:t>
      </w:r>
      <w:r w:rsidR="00C00731" w:rsidRPr="00BC1AFF">
        <w:t>Service Requests</w:t>
      </w:r>
      <w:r w:rsidR="00A2599C" w:rsidRPr="00BC1AFF">
        <w:t xml:space="preserve"> included in your service</w:t>
      </w:r>
      <w:r w:rsidRPr="00BC1AFF">
        <w:t xml:space="preserve"> is outlined in the</w:t>
      </w:r>
      <w:r w:rsidR="00A2599C" w:rsidRPr="00BC1AFF">
        <w:t xml:space="preserve"> applicable</w:t>
      </w:r>
      <w:r w:rsidRPr="00BC1AFF">
        <w:t xml:space="preserve"> MSD(s)</w:t>
      </w:r>
      <w:r w:rsidR="00C71DD6" w:rsidRPr="00BC1AFF">
        <w:t xml:space="preserve"> and SD(s)</w:t>
      </w:r>
      <w:r w:rsidRPr="00BC1AFF">
        <w:t>.</w:t>
      </w:r>
      <w:bookmarkEnd w:id="189"/>
    </w:p>
    <w:p w14:paraId="1D2A010C" w14:textId="39ECF673" w:rsidR="00AA7CA8" w:rsidRPr="00BC1AFF" w:rsidRDefault="1AB4D9E4" w:rsidP="00C90281">
      <w:pPr>
        <w:pStyle w:val="Heading2"/>
      </w:pPr>
      <w:r w:rsidRPr="00BC1AFF">
        <w:t>We</w:t>
      </w:r>
      <w:r w:rsidR="548442E5" w:rsidRPr="00BC1AFF">
        <w:t xml:space="preserve"> will provide information to </w:t>
      </w:r>
      <w:r w:rsidR="00134E98" w:rsidRPr="00BC1AFF">
        <w:t>you</w:t>
      </w:r>
      <w:r w:rsidR="548442E5" w:rsidRPr="00BC1AFF">
        <w:t xml:space="preserve"> about the availability of services and the procedure for obtaining these</w:t>
      </w:r>
      <w:r w:rsidR="00134E98" w:rsidRPr="00BC1AFF">
        <w:t xml:space="preserve"> upon request</w:t>
      </w:r>
      <w:r w:rsidR="548442E5" w:rsidRPr="00BC1AFF">
        <w:t>.</w:t>
      </w:r>
    </w:p>
    <w:p w14:paraId="6F76FBB4" w14:textId="13EB6EE6" w:rsidR="00AA7CA8" w:rsidRPr="00BC1AFF" w:rsidRDefault="548442E5" w:rsidP="00C90281">
      <w:pPr>
        <w:pStyle w:val="Heading2"/>
      </w:pPr>
      <w:r w:rsidRPr="00BC1AFF">
        <w:t xml:space="preserve">Where a Service Request requires a system change, enhancement or modification the Change </w:t>
      </w:r>
      <w:r w:rsidR="0A78D08C" w:rsidRPr="00BC1AFF">
        <w:t>Enablement</w:t>
      </w:r>
      <w:r w:rsidRPr="00BC1AFF">
        <w:t xml:space="preserve"> process will be followed.</w:t>
      </w:r>
    </w:p>
    <w:p w14:paraId="07592B11" w14:textId="40CC74E4" w:rsidR="00043BB3" w:rsidRPr="00BC1AFF" w:rsidRDefault="2DA3B3BD" w:rsidP="00802292">
      <w:pPr>
        <w:pStyle w:val="Heading1"/>
      </w:pPr>
      <w:bookmarkStart w:id="190" w:name="_Toc115217349"/>
      <w:bookmarkStart w:id="191" w:name="_Toc137461064"/>
      <w:bookmarkStart w:id="192" w:name="_Toc138241432"/>
      <w:bookmarkStart w:id="193" w:name="_Toc160009029"/>
      <w:r w:rsidRPr="00BC1AFF">
        <w:t>Change Enablement</w:t>
      </w:r>
      <w:bookmarkEnd w:id="190"/>
      <w:bookmarkEnd w:id="191"/>
      <w:bookmarkEnd w:id="192"/>
      <w:bookmarkEnd w:id="193"/>
    </w:p>
    <w:p w14:paraId="3A86897F" w14:textId="77777777" w:rsidR="00AD36FE" w:rsidRPr="00BC1AFF" w:rsidRDefault="00AD36FE" w:rsidP="00C56FE1">
      <w:pPr>
        <w:pStyle w:val="SubHead"/>
      </w:pPr>
      <w:bookmarkStart w:id="194" w:name="_Toc115217350"/>
      <w:bookmarkStart w:id="195" w:name="_Toc137461065"/>
      <w:bookmarkStart w:id="196" w:name="_Toc138241433"/>
      <w:bookmarkStart w:id="197" w:name="_Toc160009030"/>
      <w:r w:rsidRPr="00BC1AFF">
        <w:rPr>
          <w:bCs w:val="0"/>
        </w:rPr>
        <w:t>Request for Change (RFC)</w:t>
      </w:r>
      <w:bookmarkEnd w:id="194"/>
      <w:bookmarkEnd w:id="195"/>
      <w:bookmarkEnd w:id="196"/>
      <w:bookmarkEnd w:id="197"/>
    </w:p>
    <w:p w14:paraId="56559DE9" w14:textId="702D9191" w:rsidR="00AD36FE" w:rsidRPr="00BC1AFF" w:rsidRDefault="2DA3B3BD" w:rsidP="00C90281">
      <w:pPr>
        <w:pStyle w:val="Heading2"/>
      </w:pPr>
      <w:r w:rsidRPr="00BC1AFF">
        <w:t xml:space="preserve">All Requests for Change must be submitted within </w:t>
      </w:r>
      <w:r w:rsidR="002C0C05" w:rsidRPr="00BC1AFF">
        <w:t>the</w:t>
      </w:r>
      <w:r w:rsidRPr="00BC1AFF">
        <w:t xml:space="preserve"> Service Management System</w:t>
      </w:r>
      <w:r w:rsidR="001D34DA" w:rsidRPr="00BC1AFF">
        <w:t xml:space="preserve"> and must be adequately articulated</w:t>
      </w:r>
      <w:r w:rsidRPr="00BC1AFF">
        <w:t>.</w:t>
      </w:r>
    </w:p>
    <w:p w14:paraId="2D97C624" w14:textId="1F365A8B" w:rsidR="00AD36FE" w:rsidRPr="00BC1AFF" w:rsidRDefault="2DA3B3BD" w:rsidP="00C90281">
      <w:pPr>
        <w:pStyle w:val="Heading2"/>
      </w:pPr>
      <w:r w:rsidRPr="00BC1AFF">
        <w:t xml:space="preserve">You are responsible for raising a </w:t>
      </w:r>
      <w:r w:rsidR="376B488D" w:rsidRPr="00BC1AFF">
        <w:t>S</w:t>
      </w:r>
      <w:r w:rsidRPr="00BC1AFF">
        <w:t xml:space="preserve">ervice </w:t>
      </w:r>
      <w:r w:rsidR="0CBD1608" w:rsidRPr="00BC1AFF">
        <w:t>R</w:t>
      </w:r>
      <w:r w:rsidRPr="00BC1AFF">
        <w:t xml:space="preserve">equest for any </w:t>
      </w:r>
      <w:r w:rsidR="00517512" w:rsidRPr="00BC1AFF">
        <w:t xml:space="preserve">Changes </w:t>
      </w:r>
      <w:r w:rsidRPr="00BC1AFF">
        <w:t xml:space="preserve">requested by </w:t>
      </w:r>
      <w:r w:rsidR="5C13EA6D" w:rsidRPr="00BC1AFF">
        <w:t>y</w:t>
      </w:r>
      <w:r w:rsidRPr="00BC1AFF">
        <w:t xml:space="preserve">ou. </w:t>
      </w:r>
    </w:p>
    <w:p w14:paraId="32992C65" w14:textId="3B2978DE" w:rsidR="00AD36FE" w:rsidRPr="00BC1AFF" w:rsidRDefault="2DA3B3BD" w:rsidP="00C90281">
      <w:pPr>
        <w:pStyle w:val="Heading2"/>
      </w:pPr>
      <w:r w:rsidRPr="00BC1AFF">
        <w:t xml:space="preserve">If </w:t>
      </w:r>
      <w:r w:rsidR="00B9270D" w:rsidRPr="00BC1AFF">
        <w:t xml:space="preserve">a </w:t>
      </w:r>
      <w:r w:rsidR="00517512" w:rsidRPr="00BC1AFF">
        <w:t xml:space="preserve">Change </w:t>
      </w:r>
      <w:r w:rsidR="00B9270D" w:rsidRPr="00BC1AFF">
        <w:t xml:space="preserve">is subject to </w:t>
      </w:r>
      <w:r w:rsidR="002A06E1" w:rsidRPr="00BC1AFF">
        <w:t>A</w:t>
      </w:r>
      <w:r w:rsidR="002A333C" w:rsidRPr="00BC1AFF">
        <w:t>dditional</w:t>
      </w:r>
      <w:r w:rsidR="002A06E1" w:rsidRPr="00BC1AFF">
        <w:t xml:space="preserve"> Service</w:t>
      </w:r>
      <w:r w:rsidR="002A333C" w:rsidRPr="00BC1AFF">
        <w:t xml:space="preserve"> </w:t>
      </w:r>
      <w:r w:rsidR="002A06E1" w:rsidRPr="00BC1AFF">
        <w:t>C</w:t>
      </w:r>
      <w:r w:rsidR="002A333C" w:rsidRPr="00BC1AFF">
        <w:t>harges</w:t>
      </w:r>
      <w:r w:rsidRPr="00BC1AFF">
        <w:t xml:space="preserve">, </w:t>
      </w:r>
      <w:r w:rsidR="334FFE39" w:rsidRPr="00BC1AFF">
        <w:t xml:space="preserve">you must approve any costs </w:t>
      </w:r>
      <w:r w:rsidR="00517512" w:rsidRPr="00BC1AFF">
        <w:t xml:space="preserve">notified </w:t>
      </w:r>
      <w:r w:rsidR="7D4B11C7" w:rsidRPr="00BC1AFF">
        <w:t>to you prior to work commencing</w:t>
      </w:r>
      <w:r w:rsidR="008D1FCB" w:rsidRPr="00BC1AFF">
        <w:t>.</w:t>
      </w:r>
      <w:r w:rsidR="7D4B11C7" w:rsidRPr="00BC1AFF">
        <w:t xml:space="preserve"> </w:t>
      </w:r>
    </w:p>
    <w:p w14:paraId="6FBD808B" w14:textId="0A4428EC" w:rsidR="00E72EF5" w:rsidRPr="00BC1AFF" w:rsidRDefault="2DA3B3BD" w:rsidP="00C90281">
      <w:pPr>
        <w:pStyle w:val="Heading2"/>
      </w:pPr>
      <w:r w:rsidRPr="00BC1AFF">
        <w:t xml:space="preserve">For any critical changes, outside of the incident management process, </w:t>
      </w:r>
      <w:r w:rsidR="18AF9779" w:rsidRPr="00BC1AFF">
        <w:t>we</w:t>
      </w:r>
      <w:r w:rsidRPr="00BC1AFF">
        <w:t xml:space="preserve"> can present the RFC to </w:t>
      </w:r>
      <w:r w:rsidR="0043174C" w:rsidRPr="00BC1AFF">
        <w:t>y</w:t>
      </w:r>
      <w:r w:rsidRPr="00BC1AFF">
        <w:t xml:space="preserve">our </w:t>
      </w:r>
      <w:r w:rsidR="007E62C7" w:rsidRPr="00BC1AFF">
        <w:t>c</w:t>
      </w:r>
      <w:r w:rsidR="0043174C" w:rsidRPr="00BC1AFF">
        <w:t xml:space="preserve">hange </w:t>
      </w:r>
      <w:r w:rsidR="007E62C7" w:rsidRPr="00BC1AFF">
        <w:t>a</w:t>
      </w:r>
      <w:r w:rsidR="0043174C" w:rsidRPr="00BC1AFF">
        <w:t xml:space="preserve">dvisory </w:t>
      </w:r>
      <w:r w:rsidR="007E62C7" w:rsidRPr="00BC1AFF">
        <w:t>b</w:t>
      </w:r>
      <w:r w:rsidR="0043174C" w:rsidRPr="00BC1AFF">
        <w:t>oard</w:t>
      </w:r>
      <w:r w:rsidRPr="00BC1AFF">
        <w:t xml:space="preserve"> for review. </w:t>
      </w:r>
    </w:p>
    <w:p w14:paraId="3CAA6B27" w14:textId="7EC1F0BE" w:rsidR="00AD36FE" w:rsidRPr="00BC1AFF" w:rsidRDefault="00AD36FE" w:rsidP="00C56FE1">
      <w:pPr>
        <w:pStyle w:val="SubHead"/>
      </w:pPr>
      <w:bookmarkStart w:id="198" w:name="_Toc462420081"/>
      <w:bookmarkStart w:id="199" w:name="_Ref491787542"/>
      <w:bookmarkStart w:id="200" w:name="_Ref491787568"/>
      <w:bookmarkStart w:id="201" w:name="_Toc115217351"/>
      <w:bookmarkStart w:id="202" w:name="_Toc137461066"/>
      <w:bookmarkStart w:id="203" w:name="_Toc138241434"/>
      <w:bookmarkStart w:id="204" w:name="_Toc160009031"/>
      <w:r w:rsidRPr="00BC1AFF">
        <w:rPr>
          <w:bCs w:val="0"/>
        </w:rPr>
        <w:t>Standard Changes</w:t>
      </w:r>
      <w:bookmarkEnd w:id="198"/>
      <w:bookmarkEnd w:id="199"/>
      <w:bookmarkEnd w:id="200"/>
      <w:bookmarkEnd w:id="201"/>
      <w:bookmarkEnd w:id="202"/>
      <w:bookmarkEnd w:id="203"/>
      <w:bookmarkEnd w:id="204"/>
    </w:p>
    <w:p w14:paraId="70DD82C5" w14:textId="6BA7D3F4" w:rsidR="00AD36FE" w:rsidRPr="00BC1AFF" w:rsidRDefault="4AF73F66" w:rsidP="00C90281">
      <w:pPr>
        <w:pStyle w:val="Heading2"/>
        <w:rPr>
          <w:strike/>
        </w:rPr>
      </w:pPr>
      <w:bookmarkStart w:id="205" w:name="_Hlk80349113"/>
      <w:r w:rsidRPr="00BC1AFF">
        <w:t>“</w:t>
      </w:r>
      <w:r w:rsidR="2DA3B3BD" w:rsidRPr="00BC1AFF">
        <w:rPr>
          <w:b/>
          <w:bCs/>
        </w:rPr>
        <w:t>Standard Changes</w:t>
      </w:r>
      <w:r w:rsidRPr="00BC1AFF">
        <w:rPr>
          <w:b/>
          <w:bCs/>
        </w:rPr>
        <w:t>”</w:t>
      </w:r>
      <w:r w:rsidR="2DA3B3BD" w:rsidRPr="00BC1AFF">
        <w:t xml:space="preserve"> are </w:t>
      </w:r>
      <w:r w:rsidR="00A60BF0" w:rsidRPr="00BC1AFF">
        <w:t xml:space="preserve">low risk, </w:t>
      </w:r>
      <w:r w:rsidR="2DA3B3BD" w:rsidRPr="00BC1AFF">
        <w:t xml:space="preserve">pre-approved </w:t>
      </w:r>
      <w:r w:rsidR="58E451EB" w:rsidRPr="00BC1AFF">
        <w:t>C</w:t>
      </w:r>
      <w:r w:rsidR="2DA3B3BD" w:rsidRPr="00BC1AFF">
        <w:t>hanges</w:t>
      </w:r>
      <w:r w:rsidR="00313D4B" w:rsidRPr="00BC1AFF">
        <w:t xml:space="preserve"> </w:t>
      </w:r>
      <w:r w:rsidR="00751387" w:rsidRPr="00BC1AFF">
        <w:t xml:space="preserve">that can be implemented </w:t>
      </w:r>
      <w:r w:rsidR="00FD7386" w:rsidRPr="00BC1AFF">
        <w:t>without additional authorisation</w:t>
      </w:r>
      <w:r w:rsidR="00D85886" w:rsidRPr="00BC1AFF">
        <w:t>.</w:t>
      </w:r>
      <w:r w:rsidR="00E029FC" w:rsidRPr="00BC1AFF">
        <w:t xml:space="preserve"> </w:t>
      </w:r>
    </w:p>
    <w:p w14:paraId="6A154A37" w14:textId="0F506514" w:rsidR="00AD36FE" w:rsidRPr="00BC1AFF" w:rsidRDefault="0015498B" w:rsidP="00C90281">
      <w:pPr>
        <w:pStyle w:val="Heading2"/>
      </w:pPr>
      <w:bookmarkStart w:id="206" w:name="_Ref131413974"/>
      <w:bookmarkStart w:id="207" w:name="_Hlk14419507"/>
      <w:r w:rsidRPr="00BC1AFF">
        <w:t>T</w:t>
      </w:r>
      <w:r w:rsidR="2DA3B3BD" w:rsidRPr="00BC1AFF">
        <w:t xml:space="preserve">o meet the “Standard” classification the </w:t>
      </w:r>
      <w:r w:rsidR="58E451EB" w:rsidRPr="00BC1AFF">
        <w:t>C</w:t>
      </w:r>
      <w:r w:rsidR="2DA3B3BD" w:rsidRPr="00BC1AFF">
        <w:t>hange must:</w:t>
      </w:r>
      <w:bookmarkEnd w:id="206"/>
    </w:p>
    <w:p w14:paraId="7C3FD82C" w14:textId="1AB4CFCE" w:rsidR="00AD36FE" w:rsidRPr="00BC1AFF" w:rsidRDefault="434FEE64">
      <w:pPr>
        <w:pStyle w:val="Heading3"/>
        <w:numPr>
          <w:ilvl w:val="2"/>
          <w:numId w:val="9"/>
        </w:numPr>
      </w:pPr>
      <w:r w:rsidRPr="00BC1AFF">
        <w:t>be low risk;</w:t>
      </w:r>
    </w:p>
    <w:p w14:paraId="50728717" w14:textId="6C1E6B91" w:rsidR="00AD36FE" w:rsidRPr="00BC1AFF" w:rsidRDefault="73ECFA89">
      <w:pPr>
        <w:pStyle w:val="Heading3"/>
        <w:numPr>
          <w:ilvl w:val="2"/>
          <w:numId w:val="9"/>
        </w:numPr>
      </w:pPr>
      <w:r w:rsidRPr="00BC1AFF">
        <w:t xml:space="preserve">be </w:t>
      </w:r>
      <w:r w:rsidR="2DA3B3BD" w:rsidRPr="00BC1AFF">
        <w:t>relatively common and recurring;</w:t>
      </w:r>
    </w:p>
    <w:p w14:paraId="54B56D86" w14:textId="50C63BF2" w:rsidR="00AD36FE" w:rsidRPr="00BC1AFF" w:rsidRDefault="5C92E7D8">
      <w:pPr>
        <w:pStyle w:val="Heading3"/>
        <w:numPr>
          <w:ilvl w:val="2"/>
          <w:numId w:val="9"/>
        </w:numPr>
      </w:pPr>
      <w:r w:rsidRPr="00BC1AFF">
        <w:t xml:space="preserve">be </w:t>
      </w:r>
      <w:r w:rsidR="2DA3B3BD" w:rsidRPr="00BC1AFF">
        <w:t>following an established schedule of works;</w:t>
      </w:r>
    </w:p>
    <w:p w14:paraId="4F37844C" w14:textId="7A5A8CEB" w:rsidR="00AD36FE" w:rsidRPr="00BC1AFF" w:rsidRDefault="5C92E7D8">
      <w:pPr>
        <w:pStyle w:val="Heading3"/>
        <w:numPr>
          <w:ilvl w:val="2"/>
          <w:numId w:val="9"/>
        </w:numPr>
      </w:pPr>
      <w:r w:rsidRPr="00BC1AFF">
        <w:t xml:space="preserve">be </w:t>
      </w:r>
      <w:r w:rsidR="2DA3B3BD" w:rsidRPr="00BC1AFF">
        <w:t>the accepted solution to a specific requirement or sets of requirements;</w:t>
      </w:r>
    </w:p>
    <w:p w14:paraId="1FDB308D" w14:textId="62ECE7C9" w:rsidR="00AD36FE" w:rsidRPr="00BC1AFF" w:rsidRDefault="5C92E7D8">
      <w:pPr>
        <w:pStyle w:val="Heading3"/>
        <w:numPr>
          <w:ilvl w:val="2"/>
          <w:numId w:val="9"/>
        </w:numPr>
      </w:pPr>
      <w:r w:rsidRPr="00BC1AFF">
        <w:t xml:space="preserve">not exceed 2 hours </w:t>
      </w:r>
      <w:r w:rsidR="2DA3B3BD" w:rsidRPr="00BC1AFF">
        <w:t xml:space="preserve">total effort on </w:t>
      </w:r>
      <w:r w:rsidR="672B70D6" w:rsidRPr="00BC1AFF">
        <w:t>our</w:t>
      </w:r>
      <w:r w:rsidR="2DA3B3BD" w:rsidRPr="00BC1AFF">
        <w:t xml:space="preserve"> </w:t>
      </w:r>
      <w:r w:rsidR="672B70D6" w:rsidRPr="00BC1AFF">
        <w:t>part</w:t>
      </w:r>
      <w:r w:rsidR="2DA3B3BD" w:rsidRPr="00BC1AFF">
        <w:t>; and</w:t>
      </w:r>
    </w:p>
    <w:p w14:paraId="36E25C01" w14:textId="6A7095CC" w:rsidR="00AD36FE" w:rsidRPr="00BC1AFF" w:rsidRDefault="2DA3B3BD">
      <w:pPr>
        <w:pStyle w:val="Heading3"/>
        <w:numPr>
          <w:ilvl w:val="2"/>
          <w:numId w:val="9"/>
        </w:numPr>
      </w:pPr>
      <w:r w:rsidRPr="00BC1AFF">
        <w:t>no</w:t>
      </w:r>
      <w:r w:rsidR="6978C7EF" w:rsidRPr="00BC1AFF">
        <w:t>t require any</w:t>
      </w:r>
      <w:r w:rsidRPr="00BC1AFF">
        <w:t xml:space="preserve"> planning or consultancy effort.</w:t>
      </w:r>
    </w:p>
    <w:bookmarkEnd w:id="205"/>
    <w:bookmarkEnd w:id="207"/>
    <w:p w14:paraId="24F0507B" w14:textId="1689C045" w:rsidR="00AD36FE" w:rsidRPr="00BC1AFF" w:rsidRDefault="00B0648F" w:rsidP="00C90281">
      <w:pPr>
        <w:pStyle w:val="Heading2"/>
      </w:pPr>
      <w:r w:rsidRPr="00BC1AFF">
        <w:t>W</w:t>
      </w:r>
      <w:r w:rsidR="6978C7EF" w:rsidRPr="00BC1AFF">
        <w:t>e</w:t>
      </w:r>
      <w:r w:rsidR="2DA3B3BD" w:rsidRPr="00BC1AFF">
        <w:t xml:space="preserve"> will action Standard Changes on </w:t>
      </w:r>
      <w:r w:rsidR="00CD6AB9" w:rsidRPr="00BC1AFF">
        <w:t xml:space="preserve">managed </w:t>
      </w:r>
      <w:r w:rsidR="6978C7EF" w:rsidRPr="00BC1AFF">
        <w:t xml:space="preserve">IT </w:t>
      </w:r>
      <w:r w:rsidR="2DA3B3BD" w:rsidRPr="00BC1AFF">
        <w:t>Environments</w:t>
      </w:r>
      <w:r w:rsidR="6978C7EF" w:rsidRPr="00BC1AFF">
        <w:t xml:space="preserve"> </w:t>
      </w:r>
      <w:r w:rsidR="00CD6AB9" w:rsidRPr="00BC1AFF">
        <w:t>and</w:t>
      </w:r>
      <w:r w:rsidR="6978C7EF" w:rsidRPr="00BC1AFF">
        <w:t xml:space="preserve"> Components</w:t>
      </w:r>
      <w:r w:rsidR="2DA3B3BD" w:rsidRPr="00BC1AFF">
        <w:t xml:space="preserve"> during Business Hours. </w:t>
      </w:r>
    </w:p>
    <w:p w14:paraId="3C207208" w14:textId="159ED2C7" w:rsidR="00EF2882" w:rsidRPr="00BC1AFF" w:rsidRDefault="00EF2882" w:rsidP="00C90281">
      <w:pPr>
        <w:pStyle w:val="Heading2"/>
      </w:pPr>
      <w:bookmarkStart w:id="208" w:name="_Hlk14419488"/>
      <w:r w:rsidRPr="00BC1AFF">
        <w:t>These Standard Changes are provided on the basis that:</w:t>
      </w:r>
    </w:p>
    <w:p w14:paraId="43C37C71" w14:textId="7DBA0E8E" w:rsidR="00EF2882" w:rsidRPr="00BC1AFF" w:rsidRDefault="00B0648F" w:rsidP="00CE2736">
      <w:pPr>
        <w:pStyle w:val="Heading3"/>
        <w:numPr>
          <w:ilvl w:val="2"/>
          <w:numId w:val="9"/>
        </w:numPr>
      </w:pPr>
      <w:r w:rsidRPr="00BC1AFF">
        <w:lastRenderedPageBreak/>
        <w:t>y</w:t>
      </w:r>
      <w:r w:rsidR="00EF2882" w:rsidRPr="00BC1AFF">
        <w:t>ou accept them as pre-approved changes and no additional approvals or CAB processes are required for their implementation, and</w:t>
      </w:r>
    </w:p>
    <w:p w14:paraId="3D89C53B" w14:textId="33595B55" w:rsidR="00EF2882" w:rsidRPr="00BC1AFF" w:rsidRDefault="00B0648F" w:rsidP="00CE2736">
      <w:pPr>
        <w:pStyle w:val="Heading3"/>
        <w:numPr>
          <w:ilvl w:val="2"/>
          <w:numId w:val="9"/>
        </w:numPr>
      </w:pPr>
      <w:r w:rsidRPr="00BC1AFF">
        <w:t>t</w:t>
      </w:r>
      <w:r w:rsidR="00EF2882" w:rsidRPr="00BC1AFF">
        <w:t>hey are defined and implemented as Standard Changes in your IT</w:t>
      </w:r>
      <w:r w:rsidR="00E13C5D" w:rsidRPr="00BC1AFF">
        <w:t xml:space="preserve"> service management</w:t>
      </w:r>
      <w:r w:rsidR="00EF2882" w:rsidRPr="00BC1AFF">
        <w:t xml:space="preserve"> system. </w:t>
      </w:r>
    </w:p>
    <w:p w14:paraId="0E479A6E" w14:textId="05BC749A" w:rsidR="00EF2882" w:rsidRPr="00BC1AFF" w:rsidRDefault="00EF2882" w:rsidP="003A620A">
      <w:pPr>
        <w:ind w:left="720"/>
      </w:pPr>
      <w:r w:rsidRPr="00BC1AFF">
        <w:t xml:space="preserve">Any Standard </w:t>
      </w:r>
      <w:r w:rsidR="00416E47" w:rsidRPr="00BC1AFF">
        <w:t>C</w:t>
      </w:r>
      <w:r w:rsidRPr="00BC1AFF">
        <w:t xml:space="preserve">hanges that fall outside </w:t>
      </w:r>
      <w:r w:rsidR="00D85886" w:rsidRPr="00BC1AFF">
        <w:t xml:space="preserve">the requirements in clauses </w:t>
      </w:r>
      <w:r w:rsidR="00D85886" w:rsidRPr="00BC1AFF">
        <w:fldChar w:fldCharType="begin"/>
      </w:r>
      <w:r w:rsidR="00D85886" w:rsidRPr="00BC1AFF">
        <w:instrText xml:space="preserve"> REF _Ref131413974 \r \h </w:instrText>
      </w:r>
      <w:r w:rsidR="00DF3CCE" w:rsidRPr="00BC1AFF">
        <w:instrText xml:space="preserve"> \* MERGEFORMAT </w:instrText>
      </w:r>
      <w:r w:rsidR="00D85886" w:rsidRPr="00BC1AFF">
        <w:fldChar w:fldCharType="separate"/>
      </w:r>
      <w:r w:rsidR="00810AD0">
        <w:t>9.6</w:t>
      </w:r>
      <w:r w:rsidR="00D85886" w:rsidRPr="00BC1AFF">
        <w:fldChar w:fldCharType="end"/>
      </w:r>
      <w:r w:rsidR="00AA10E3" w:rsidRPr="00BC1AFF">
        <w:t xml:space="preserve"> to </w:t>
      </w:r>
      <w:r w:rsidR="00AA10E3" w:rsidRPr="00BC1AFF">
        <w:fldChar w:fldCharType="begin"/>
      </w:r>
      <w:r w:rsidR="00AA10E3" w:rsidRPr="00BC1AFF">
        <w:instrText xml:space="preserve"> REF _Ref131413981 \r \h </w:instrText>
      </w:r>
      <w:r w:rsidR="00DF3CCE" w:rsidRPr="00BC1AFF">
        <w:instrText xml:space="preserve"> \* MERGEFORMAT </w:instrText>
      </w:r>
      <w:r w:rsidR="00AA10E3" w:rsidRPr="00BC1AFF">
        <w:fldChar w:fldCharType="separate"/>
      </w:r>
      <w:r w:rsidR="00810AD0">
        <w:t>8.3</w:t>
      </w:r>
      <w:r w:rsidR="00AA10E3" w:rsidRPr="00BC1AFF">
        <w:fldChar w:fldCharType="end"/>
      </w:r>
      <w:r w:rsidR="00D85886" w:rsidRPr="00BC1AFF">
        <w:t xml:space="preserve"> </w:t>
      </w:r>
      <w:r w:rsidRPr="00BC1AFF">
        <w:t xml:space="preserve">will incur Additional </w:t>
      </w:r>
      <w:r w:rsidR="00A341D7" w:rsidRPr="00BC1AFF">
        <w:t xml:space="preserve">Service </w:t>
      </w:r>
      <w:r w:rsidRPr="00BC1AFF">
        <w:t xml:space="preserve">Charges at </w:t>
      </w:r>
      <w:r w:rsidR="00D85886" w:rsidRPr="00BC1AFF">
        <w:t xml:space="preserve">our then-current standard </w:t>
      </w:r>
      <w:r w:rsidRPr="00BC1AFF">
        <w:t>hourly rate</w:t>
      </w:r>
      <w:r w:rsidR="00D85886" w:rsidRPr="00BC1AFF">
        <w:t>s</w:t>
      </w:r>
      <w:r w:rsidRPr="00BC1AFF">
        <w:t>.</w:t>
      </w:r>
    </w:p>
    <w:bookmarkEnd w:id="208"/>
    <w:p w14:paraId="3382DA28" w14:textId="344C4ED3" w:rsidR="00AD36FE" w:rsidRPr="00BC1AFF" w:rsidRDefault="2DA3B3BD" w:rsidP="00C90281">
      <w:pPr>
        <w:pStyle w:val="Heading2"/>
        <w:rPr>
          <w:color w:val="262626"/>
        </w:rPr>
      </w:pPr>
      <w:r w:rsidRPr="00BC1AFF">
        <w:t xml:space="preserve">Multiple Standard Change requests may be determined by </w:t>
      </w:r>
      <w:r w:rsidR="1C268FE0" w:rsidRPr="00BC1AFF">
        <w:t>us</w:t>
      </w:r>
      <w:r w:rsidRPr="00BC1AFF">
        <w:t xml:space="preserve"> as a Normal Change. A request to implement a Standard Change outside Business Hours may incur Additional Service Charges which will be advised and must be accepted in writing prior to works commencing. </w:t>
      </w:r>
      <w:bookmarkStart w:id="209" w:name="_Toc391027420"/>
      <w:bookmarkStart w:id="210" w:name="_Toc391027421"/>
      <w:bookmarkStart w:id="211" w:name="_Toc462420082"/>
      <w:bookmarkEnd w:id="209"/>
      <w:bookmarkEnd w:id="210"/>
    </w:p>
    <w:p w14:paraId="3DF80D98" w14:textId="053C0FFC" w:rsidR="00AD36FE" w:rsidRPr="00BC1AFF" w:rsidRDefault="00AD36FE" w:rsidP="00C56FE1">
      <w:pPr>
        <w:pStyle w:val="SubHead"/>
      </w:pPr>
      <w:bookmarkStart w:id="212" w:name="_Toc115217352"/>
      <w:bookmarkStart w:id="213" w:name="_Toc137461067"/>
      <w:bookmarkStart w:id="214" w:name="_Toc138241435"/>
      <w:bookmarkStart w:id="215" w:name="_Toc160009032"/>
      <w:r w:rsidRPr="00BC1AFF">
        <w:rPr>
          <w:bCs w:val="0"/>
        </w:rPr>
        <w:t>Emergency Changes</w:t>
      </w:r>
      <w:bookmarkEnd w:id="211"/>
      <w:bookmarkEnd w:id="212"/>
      <w:bookmarkEnd w:id="213"/>
      <w:bookmarkEnd w:id="214"/>
      <w:bookmarkEnd w:id="215"/>
    </w:p>
    <w:p w14:paraId="702E4A9F" w14:textId="3BFFB831" w:rsidR="00AD36FE" w:rsidRPr="00BC1AFF" w:rsidRDefault="1C268FE0" w:rsidP="00C90281">
      <w:pPr>
        <w:pStyle w:val="Heading2"/>
      </w:pPr>
      <w:r w:rsidRPr="00BC1AFF">
        <w:t>A</w:t>
      </w:r>
      <w:r w:rsidR="2DA3B3BD" w:rsidRPr="00BC1AFF">
        <w:t xml:space="preserve">n </w:t>
      </w:r>
      <w:r w:rsidRPr="00BC1AFF">
        <w:t>“</w:t>
      </w:r>
      <w:r w:rsidR="2DA3B3BD" w:rsidRPr="00BC1AFF">
        <w:rPr>
          <w:b/>
          <w:bCs/>
        </w:rPr>
        <w:t>Emergency Change</w:t>
      </w:r>
      <w:r w:rsidRPr="00BC1AFF">
        <w:rPr>
          <w:b/>
          <w:bCs/>
        </w:rPr>
        <w:t>”</w:t>
      </w:r>
      <w:r w:rsidR="2DA3B3BD" w:rsidRPr="00BC1AFF">
        <w:t xml:space="preserve"> </w:t>
      </w:r>
      <w:r w:rsidR="4590FE77" w:rsidRPr="00BC1AFF">
        <w:t xml:space="preserve">is </w:t>
      </w:r>
      <w:r w:rsidR="2DA3B3BD" w:rsidRPr="00BC1AFF">
        <w:t xml:space="preserve">a Change required in order to resolve or implement a tactical workaround for a P1 or P2 Incident. All Emergency Changes are subject to approval by both parties before implementation. </w:t>
      </w:r>
    </w:p>
    <w:p w14:paraId="3AF19DC3" w14:textId="7D91B96F" w:rsidR="00AD36FE" w:rsidRPr="00BC1AFF" w:rsidRDefault="00AD36FE" w:rsidP="00C56FE1">
      <w:pPr>
        <w:pStyle w:val="SubHead"/>
      </w:pPr>
      <w:bookmarkStart w:id="216" w:name="_Toc462420083"/>
      <w:bookmarkStart w:id="217" w:name="_Toc115217353"/>
      <w:bookmarkStart w:id="218" w:name="_Toc137461068"/>
      <w:bookmarkStart w:id="219" w:name="_Toc138241436"/>
      <w:bookmarkStart w:id="220" w:name="_Toc160009033"/>
      <w:r w:rsidRPr="00BC1AFF">
        <w:rPr>
          <w:bCs w:val="0"/>
        </w:rPr>
        <w:t>Normal Changes</w:t>
      </w:r>
      <w:bookmarkEnd w:id="216"/>
      <w:bookmarkEnd w:id="217"/>
      <w:bookmarkEnd w:id="218"/>
      <w:bookmarkEnd w:id="219"/>
      <w:bookmarkEnd w:id="220"/>
    </w:p>
    <w:p w14:paraId="54953085" w14:textId="5AEFA1BA" w:rsidR="0027043F" w:rsidRPr="00BC1AFF" w:rsidRDefault="00727680" w:rsidP="00C90281">
      <w:pPr>
        <w:pStyle w:val="Heading2"/>
      </w:pPr>
      <w:r w:rsidRPr="00BC1AFF">
        <w:t>“</w:t>
      </w:r>
      <w:r w:rsidR="2DA3B3BD" w:rsidRPr="00BC1AFF">
        <w:rPr>
          <w:b/>
          <w:bCs/>
        </w:rPr>
        <w:t>Normal Changes</w:t>
      </w:r>
      <w:r w:rsidRPr="00BC1AFF">
        <w:t>”</w:t>
      </w:r>
      <w:r w:rsidR="2DA3B3BD" w:rsidRPr="00BC1AFF">
        <w:t xml:space="preserve"> are all Changes that are not classified as Standard Change or Emergency Change. Once logged, all Normal Changes are assessed against the following risk matrix and assigned a Change Request rankin</w:t>
      </w:r>
      <w:r w:rsidR="1B7B1631" w:rsidRPr="00BC1AFF">
        <w:t>g:</w:t>
      </w:r>
    </w:p>
    <w:tbl>
      <w:tblPr>
        <w:tblW w:w="4865" w:type="pct"/>
        <w:jc w:val="center"/>
        <w:tblLayout w:type="fixed"/>
        <w:tblCellMar>
          <w:left w:w="57" w:type="dxa"/>
          <w:right w:w="57" w:type="dxa"/>
        </w:tblCellMar>
        <w:tblLook w:val="04A0" w:firstRow="1" w:lastRow="0" w:firstColumn="1" w:lastColumn="0" w:noHBand="0" w:noVBand="1"/>
      </w:tblPr>
      <w:tblGrid>
        <w:gridCol w:w="1081"/>
        <w:gridCol w:w="1081"/>
        <w:gridCol w:w="2301"/>
        <w:gridCol w:w="284"/>
        <w:gridCol w:w="2018"/>
        <w:gridCol w:w="567"/>
        <w:gridCol w:w="2587"/>
      </w:tblGrid>
      <w:tr w:rsidR="00D67444" w:rsidRPr="00BC1AFF" w14:paraId="47285A00" w14:textId="77777777" w:rsidTr="00D67444">
        <w:trPr>
          <w:cantSplit/>
          <w:trHeight w:val="850"/>
          <w:jc w:val="center"/>
        </w:trPr>
        <w:tc>
          <w:tcPr>
            <w:tcW w:w="545" w:type="pct"/>
            <w:vMerge w:val="restart"/>
            <w:tcBorders>
              <w:top w:val="single" w:sz="4" w:space="0" w:color="A6A6A6"/>
              <w:left w:val="single" w:sz="4" w:space="0" w:color="A6A6A6"/>
              <w:bottom w:val="single" w:sz="4" w:space="0" w:color="A6A6A6"/>
              <w:right w:val="single" w:sz="4" w:space="0" w:color="A6A6A6"/>
            </w:tcBorders>
            <w:shd w:val="clear" w:color="auto" w:fill="D9D9D9" w:themeFill="background1" w:themeFillShade="D9"/>
            <w:textDirection w:val="btLr"/>
            <w:vAlign w:val="center"/>
            <w:hideMark/>
          </w:tcPr>
          <w:p w14:paraId="51D52688" w14:textId="77777777" w:rsidR="00BB23BC" w:rsidRPr="00BC1AFF" w:rsidRDefault="00BB23BC" w:rsidP="00865B70">
            <w:pPr>
              <w:keepNext/>
              <w:keepLines/>
              <w:jc w:val="center"/>
              <w:rPr>
                <w:szCs w:val="20"/>
              </w:rPr>
            </w:pPr>
            <w:r w:rsidRPr="00BC1AFF">
              <w:rPr>
                <w:szCs w:val="20"/>
              </w:rPr>
              <w:t>Impact on Service</w:t>
            </w:r>
          </w:p>
        </w:tc>
        <w:tc>
          <w:tcPr>
            <w:tcW w:w="545" w:type="pct"/>
            <w:tcBorders>
              <w:top w:val="single" w:sz="4" w:space="0" w:color="A6A6A6"/>
              <w:left w:val="single" w:sz="4" w:space="0" w:color="A6A6A6"/>
              <w:bottom w:val="single" w:sz="4" w:space="0" w:color="A6A6A6"/>
              <w:right w:val="single" w:sz="4" w:space="0" w:color="A6A6A6"/>
            </w:tcBorders>
            <w:shd w:val="clear" w:color="auto" w:fill="F2F2F2" w:themeFill="background1" w:themeFillShade="F2"/>
            <w:noWrap/>
            <w:textDirection w:val="btLr"/>
            <w:vAlign w:val="center"/>
            <w:hideMark/>
          </w:tcPr>
          <w:p w14:paraId="79341C20" w14:textId="77777777" w:rsidR="00BB23BC" w:rsidRPr="00BC1AFF" w:rsidRDefault="00BB23BC" w:rsidP="00865B70">
            <w:pPr>
              <w:keepNext/>
              <w:keepLines/>
              <w:jc w:val="center"/>
              <w:rPr>
                <w:szCs w:val="20"/>
              </w:rPr>
            </w:pPr>
            <w:r w:rsidRPr="00BC1AFF">
              <w:rPr>
                <w:szCs w:val="20"/>
              </w:rPr>
              <w:t>High</w:t>
            </w:r>
          </w:p>
        </w:tc>
        <w:tc>
          <w:tcPr>
            <w:tcW w:w="1303" w:type="pct"/>
            <w:gridSpan w:val="2"/>
            <w:tcBorders>
              <w:top w:val="single" w:sz="4" w:space="0" w:color="A6A6A6"/>
              <w:left w:val="single" w:sz="4" w:space="0" w:color="A6A6A6"/>
              <w:bottom w:val="single" w:sz="4" w:space="0" w:color="A6A6A6"/>
              <w:right w:val="single" w:sz="4" w:space="0" w:color="A6A6A6"/>
            </w:tcBorders>
            <w:shd w:val="clear" w:color="auto" w:fill="FCFCB8"/>
            <w:vAlign w:val="center"/>
            <w:hideMark/>
          </w:tcPr>
          <w:p w14:paraId="5F27E6F8" w14:textId="77777777" w:rsidR="00BB23BC" w:rsidRPr="00BC1AFF" w:rsidRDefault="00BB23BC" w:rsidP="00865B70">
            <w:pPr>
              <w:keepNext/>
              <w:keepLines/>
              <w:spacing w:after="0" w:line="360" w:lineRule="auto"/>
              <w:jc w:val="center"/>
              <w:rPr>
                <w:szCs w:val="20"/>
              </w:rPr>
            </w:pPr>
            <w:r w:rsidRPr="00BC1AFF">
              <w:rPr>
                <w:szCs w:val="20"/>
              </w:rPr>
              <w:t>Significant</w:t>
            </w:r>
          </w:p>
          <w:p w14:paraId="18D48EF0" w14:textId="77777777" w:rsidR="00BB23BC" w:rsidRPr="00BC1AFF" w:rsidRDefault="00BB23BC" w:rsidP="00865B70">
            <w:pPr>
              <w:keepNext/>
              <w:keepLines/>
              <w:spacing w:after="0" w:line="360" w:lineRule="auto"/>
              <w:jc w:val="center"/>
              <w:rPr>
                <w:szCs w:val="20"/>
              </w:rPr>
            </w:pPr>
            <w:r w:rsidRPr="00BC1AFF">
              <w:rPr>
                <w:szCs w:val="20"/>
              </w:rPr>
              <w:t>3</w:t>
            </w:r>
          </w:p>
          <w:p w14:paraId="2D7C54AC" w14:textId="77777777" w:rsidR="00BB23BC" w:rsidRPr="00BC1AFF" w:rsidRDefault="00BB23BC" w:rsidP="00865B70">
            <w:pPr>
              <w:keepNext/>
              <w:keepLines/>
              <w:spacing w:after="0" w:line="360" w:lineRule="auto"/>
              <w:jc w:val="center"/>
              <w:rPr>
                <w:szCs w:val="20"/>
              </w:rPr>
            </w:pPr>
            <w:r w:rsidRPr="00BC1AFF">
              <w:rPr>
                <w:szCs w:val="20"/>
              </w:rPr>
              <w:t>CR3</w:t>
            </w:r>
          </w:p>
        </w:tc>
        <w:tc>
          <w:tcPr>
            <w:tcW w:w="1303" w:type="pct"/>
            <w:gridSpan w:val="2"/>
            <w:tcBorders>
              <w:top w:val="single" w:sz="4" w:space="0" w:color="A6A6A6"/>
              <w:left w:val="single" w:sz="4" w:space="0" w:color="A6A6A6"/>
              <w:bottom w:val="single" w:sz="4" w:space="0" w:color="A6A6A6"/>
              <w:right w:val="single" w:sz="4" w:space="0" w:color="A6A6A6"/>
            </w:tcBorders>
            <w:shd w:val="clear" w:color="auto" w:fill="FCD1AE"/>
            <w:noWrap/>
            <w:vAlign w:val="center"/>
            <w:hideMark/>
          </w:tcPr>
          <w:p w14:paraId="15C908E7" w14:textId="77777777" w:rsidR="00BB23BC" w:rsidRPr="00BC1AFF" w:rsidRDefault="00BB23BC" w:rsidP="00865B70">
            <w:pPr>
              <w:keepNext/>
              <w:spacing w:after="0" w:line="360" w:lineRule="auto"/>
              <w:jc w:val="center"/>
              <w:rPr>
                <w:szCs w:val="20"/>
              </w:rPr>
            </w:pPr>
            <w:r w:rsidRPr="00BC1AFF">
              <w:rPr>
                <w:szCs w:val="20"/>
              </w:rPr>
              <w:t>Major</w:t>
            </w:r>
          </w:p>
          <w:p w14:paraId="5C674528" w14:textId="77777777" w:rsidR="00BB23BC" w:rsidRPr="00BC1AFF" w:rsidRDefault="00BB23BC" w:rsidP="00865B70">
            <w:pPr>
              <w:keepNext/>
              <w:spacing w:after="0" w:line="360" w:lineRule="auto"/>
              <w:jc w:val="center"/>
              <w:rPr>
                <w:szCs w:val="20"/>
              </w:rPr>
            </w:pPr>
            <w:r w:rsidRPr="00BC1AFF">
              <w:rPr>
                <w:szCs w:val="20"/>
              </w:rPr>
              <w:t>2</w:t>
            </w:r>
          </w:p>
          <w:p w14:paraId="00D4F510" w14:textId="77777777" w:rsidR="00BB23BC" w:rsidRPr="00BC1AFF" w:rsidRDefault="00BB23BC" w:rsidP="00865B70">
            <w:pPr>
              <w:keepNext/>
              <w:spacing w:after="0" w:line="360" w:lineRule="auto"/>
              <w:jc w:val="center"/>
              <w:rPr>
                <w:szCs w:val="20"/>
              </w:rPr>
            </w:pPr>
            <w:r w:rsidRPr="00BC1AFF">
              <w:rPr>
                <w:szCs w:val="20"/>
              </w:rPr>
              <w:t>CR2</w:t>
            </w:r>
          </w:p>
        </w:tc>
        <w:tc>
          <w:tcPr>
            <w:tcW w:w="1304" w:type="pct"/>
            <w:tcBorders>
              <w:top w:val="single" w:sz="4" w:space="0" w:color="A6A6A6"/>
              <w:left w:val="single" w:sz="4" w:space="0" w:color="A6A6A6"/>
              <w:bottom w:val="single" w:sz="4" w:space="0" w:color="A6A6A6"/>
              <w:right w:val="single" w:sz="4" w:space="0" w:color="A6A6A6"/>
            </w:tcBorders>
            <w:shd w:val="clear" w:color="auto" w:fill="FCB9AE"/>
            <w:noWrap/>
            <w:vAlign w:val="center"/>
            <w:hideMark/>
          </w:tcPr>
          <w:p w14:paraId="04CA1F03" w14:textId="77777777" w:rsidR="00BB23BC" w:rsidRPr="00BC1AFF" w:rsidRDefault="00BB23BC" w:rsidP="00865B70">
            <w:pPr>
              <w:keepNext/>
              <w:spacing w:after="0" w:line="360" w:lineRule="auto"/>
              <w:jc w:val="center"/>
              <w:rPr>
                <w:szCs w:val="20"/>
              </w:rPr>
            </w:pPr>
            <w:r w:rsidRPr="00BC1AFF">
              <w:rPr>
                <w:szCs w:val="20"/>
              </w:rPr>
              <w:t>Critical</w:t>
            </w:r>
          </w:p>
          <w:p w14:paraId="59147268" w14:textId="77777777" w:rsidR="00BB23BC" w:rsidRPr="00BC1AFF" w:rsidRDefault="00BB23BC" w:rsidP="00865B70">
            <w:pPr>
              <w:keepNext/>
              <w:spacing w:after="0" w:line="360" w:lineRule="auto"/>
              <w:jc w:val="center"/>
              <w:rPr>
                <w:szCs w:val="20"/>
              </w:rPr>
            </w:pPr>
            <w:r w:rsidRPr="00BC1AFF">
              <w:rPr>
                <w:szCs w:val="20"/>
              </w:rPr>
              <w:t>1</w:t>
            </w:r>
          </w:p>
          <w:p w14:paraId="0075ED97" w14:textId="77777777" w:rsidR="00BB23BC" w:rsidRPr="00BC1AFF" w:rsidRDefault="00BB23BC" w:rsidP="00865B70">
            <w:pPr>
              <w:keepNext/>
              <w:spacing w:after="0" w:line="360" w:lineRule="auto"/>
              <w:jc w:val="center"/>
              <w:rPr>
                <w:szCs w:val="20"/>
              </w:rPr>
            </w:pPr>
            <w:r w:rsidRPr="00BC1AFF">
              <w:rPr>
                <w:szCs w:val="20"/>
              </w:rPr>
              <w:t>CR1</w:t>
            </w:r>
          </w:p>
        </w:tc>
      </w:tr>
      <w:tr w:rsidR="00D67444" w:rsidRPr="00BC1AFF" w14:paraId="64B5745C" w14:textId="77777777" w:rsidTr="00D67444">
        <w:trPr>
          <w:trHeight w:val="1345"/>
          <w:jc w:val="center"/>
        </w:trPr>
        <w:tc>
          <w:tcPr>
            <w:tcW w:w="545" w:type="pct"/>
            <w:vMerge/>
            <w:tcBorders>
              <w:top w:val="single" w:sz="4" w:space="0" w:color="A6A6A6"/>
              <w:left w:val="single" w:sz="4" w:space="0" w:color="A6A6A6"/>
              <w:bottom w:val="single" w:sz="4" w:space="0" w:color="A6A6A6"/>
              <w:right w:val="single" w:sz="4" w:space="0" w:color="A6A6A6"/>
            </w:tcBorders>
            <w:shd w:val="clear" w:color="auto" w:fill="D9D9D9" w:themeFill="background1" w:themeFillShade="D9"/>
            <w:noWrap/>
            <w:vAlign w:val="bottom"/>
            <w:hideMark/>
          </w:tcPr>
          <w:p w14:paraId="721188EA" w14:textId="77777777" w:rsidR="00BB23BC" w:rsidRPr="00BC1AFF" w:rsidRDefault="00BB23BC" w:rsidP="00865B70">
            <w:pPr>
              <w:keepNext/>
              <w:keepLines/>
              <w:jc w:val="center"/>
              <w:rPr>
                <w:szCs w:val="20"/>
              </w:rPr>
            </w:pPr>
          </w:p>
        </w:tc>
        <w:tc>
          <w:tcPr>
            <w:tcW w:w="545" w:type="pct"/>
            <w:tcBorders>
              <w:top w:val="single" w:sz="4" w:space="0" w:color="A6A6A6"/>
              <w:left w:val="single" w:sz="4" w:space="0" w:color="A6A6A6"/>
              <w:bottom w:val="single" w:sz="4" w:space="0" w:color="A6A6A6"/>
              <w:right w:val="single" w:sz="4" w:space="0" w:color="A6A6A6"/>
            </w:tcBorders>
            <w:shd w:val="clear" w:color="auto" w:fill="F2F2F2" w:themeFill="background1" w:themeFillShade="F2"/>
            <w:noWrap/>
            <w:textDirection w:val="btLr"/>
            <w:vAlign w:val="center"/>
            <w:hideMark/>
          </w:tcPr>
          <w:p w14:paraId="25BE7949" w14:textId="77777777" w:rsidR="00BB23BC" w:rsidRPr="00BC1AFF" w:rsidRDefault="00BB23BC" w:rsidP="00865B70">
            <w:pPr>
              <w:keepNext/>
              <w:keepLines/>
              <w:jc w:val="center"/>
              <w:rPr>
                <w:szCs w:val="20"/>
              </w:rPr>
            </w:pPr>
            <w:r w:rsidRPr="00BC1AFF">
              <w:rPr>
                <w:szCs w:val="20"/>
              </w:rPr>
              <w:t>Medium</w:t>
            </w:r>
          </w:p>
        </w:tc>
        <w:tc>
          <w:tcPr>
            <w:tcW w:w="1303" w:type="pct"/>
            <w:gridSpan w:val="2"/>
            <w:tcBorders>
              <w:top w:val="single" w:sz="4" w:space="0" w:color="A6A6A6"/>
              <w:left w:val="single" w:sz="4" w:space="0" w:color="A6A6A6"/>
              <w:bottom w:val="single" w:sz="4" w:space="0" w:color="A6A6A6"/>
              <w:right w:val="single" w:sz="4" w:space="0" w:color="A6A6A6"/>
            </w:tcBorders>
            <w:shd w:val="clear" w:color="auto" w:fill="B4DAB5"/>
            <w:noWrap/>
            <w:vAlign w:val="center"/>
            <w:hideMark/>
          </w:tcPr>
          <w:p w14:paraId="173FBE2A" w14:textId="77777777" w:rsidR="00BB23BC" w:rsidRPr="00BC1AFF" w:rsidRDefault="00BB23BC" w:rsidP="00865B70">
            <w:pPr>
              <w:keepNext/>
              <w:keepLines/>
              <w:spacing w:after="0" w:line="360" w:lineRule="auto"/>
              <w:jc w:val="center"/>
              <w:rPr>
                <w:szCs w:val="20"/>
              </w:rPr>
            </w:pPr>
            <w:r w:rsidRPr="00BC1AFF">
              <w:rPr>
                <w:szCs w:val="20"/>
              </w:rPr>
              <w:t>Minor</w:t>
            </w:r>
          </w:p>
          <w:p w14:paraId="036F002B" w14:textId="77777777" w:rsidR="00BB23BC" w:rsidRPr="00BC1AFF" w:rsidRDefault="00BB23BC" w:rsidP="00865B70">
            <w:pPr>
              <w:keepNext/>
              <w:keepLines/>
              <w:spacing w:after="0" w:line="360" w:lineRule="auto"/>
              <w:jc w:val="center"/>
              <w:rPr>
                <w:szCs w:val="20"/>
              </w:rPr>
            </w:pPr>
            <w:r w:rsidRPr="00BC1AFF">
              <w:rPr>
                <w:szCs w:val="20"/>
              </w:rPr>
              <w:t>4</w:t>
            </w:r>
          </w:p>
          <w:p w14:paraId="546619DB" w14:textId="77777777" w:rsidR="00BB23BC" w:rsidRPr="00BC1AFF" w:rsidRDefault="00BB23BC" w:rsidP="00865B70">
            <w:pPr>
              <w:keepNext/>
              <w:keepLines/>
              <w:spacing w:after="0" w:line="360" w:lineRule="auto"/>
              <w:jc w:val="center"/>
              <w:rPr>
                <w:szCs w:val="20"/>
              </w:rPr>
            </w:pPr>
            <w:r w:rsidRPr="00BC1AFF">
              <w:rPr>
                <w:szCs w:val="20"/>
              </w:rPr>
              <w:t>CR4</w:t>
            </w:r>
          </w:p>
        </w:tc>
        <w:tc>
          <w:tcPr>
            <w:tcW w:w="1303" w:type="pct"/>
            <w:gridSpan w:val="2"/>
            <w:tcBorders>
              <w:top w:val="single" w:sz="4" w:space="0" w:color="A6A6A6"/>
              <w:left w:val="single" w:sz="4" w:space="0" w:color="A6A6A6"/>
              <w:bottom w:val="single" w:sz="4" w:space="0" w:color="A6A6A6"/>
              <w:right w:val="single" w:sz="4" w:space="0" w:color="A6A6A6"/>
            </w:tcBorders>
            <w:shd w:val="clear" w:color="auto" w:fill="FCFCB8"/>
            <w:noWrap/>
            <w:vAlign w:val="center"/>
            <w:hideMark/>
          </w:tcPr>
          <w:p w14:paraId="6BFAD527" w14:textId="77777777" w:rsidR="00BB23BC" w:rsidRPr="00BC1AFF" w:rsidRDefault="00BB23BC" w:rsidP="00865B70">
            <w:pPr>
              <w:keepNext/>
              <w:spacing w:after="0" w:line="360" w:lineRule="auto"/>
              <w:jc w:val="center"/>
              <w:rPr>
                <w:szCs w:val="20"/>
              </w:rPr>
            </w:pPr>
            <w:r w:rsidRPr="00BC1AFF">
              <w:rPr>
                <w:szCs w:val="20"/>
              </w:rPr>
              <w:t>Significant</w:t>
            </w:r>
          </w:p>
          <w:p w14:paraId="10D016E8" w14:textId="77777777" w:rsidR="00BB23BC" w:rsidRPr="00BC1AFF" w:rsidRDefault="00BB23BC" w:rsidP="00865B70">
            <w:pPr>
              <w:keepNext/>
              <w:spacing w:after="0" w:line="360" w:lineRule="auto"/>
              <w:jc w:val="center"/>
              <w:rPr>
                <w:szCs w:val="20"/>
              </w:rPr>
            </w:pPr>
            <w:r w:rsidRPr="00BC1AFF">
              <w:rPr>
                <w:szCs w:val="20"/>
              </w:rPr>
              <w:t>3</w:t>
            </w:r>
          </w:p>
          <w:p w14:paraId="1A0B7EC0" w14:textId="77777777" w:rsidR="00BB23BC" w:rsidRPr="00BC1AFF" w:rsidRDefault="00BB23BC" w:rsidP="00865B70">
            <w:pPr>
              <w:keepNext/>
              <w:spacing w:after="0" w:line="360" w:lineRule="auto"/>
              <w:jc w:val="center"/>
              <w:rPr>
                <w:szCs w:val="20"/>
              </w:rPr>
            </w:pPr>
            <w:r w:rsidRPr="00BC1AFF">
              <w:rPr>
                <w:szCs w:val="20"/>
              </w:rPr>
              <w:t>CR3</w:t>
            </w:r>
          </w:p>
        </w:tc>
        <w:tc>
          <w:tcPr>
            <w:tcW w:w="1304" w:type="pct"/>
            <w:tcBorders>
              <w:top w:val="single" w:sz="4" w:space="0" w:color="A6A6A6"/>
              <w:left w:val="single" w:sz="4" w:space="0" w:color="A6A6A6"/>
              <w:bottom w:val="single" w:sz="4" w:space="0" w:color="A6A6A6"/>
              <w:right w:val="single" w:sz="4" w:space="0" w:color="A6A6A6"/>
            </w:tcBorders>
            <w:shd w:val="clear" w:color="auto" w:fill="FCD1AE"/>
            <w:noWrap/>
            <w:vAlign w:val="center"/>
            <w:hideMark/>
          </w:tcPr>
          <w:p w14:paraId="460A55A1" w14:textId="77777777" w:rsidR="00BB23BC" w:rsidRPr="00BC1AFF" w:rsidRDefault="00BB23BC" w:rsidP="00865B70">
            <w:pPr>
              <w:keepNext/>
              <w:spacing w:after="0" w:line="360" w:lineRule="auto"/>
              <w:jc w:val="center"/>
              <w:rPr>
                <w:szCs w:val="20"/>
              </w:rPr>
            </w:pPr>
            <w:r w:rsidRPr="00BC1AFF">
              <w:rPr>
                <w:szCs w:val="20"/>
              </w:rPr>
              <w:t>Major</w:t>
            </w:r>
          </w:p>
          <w:p w14:paraId="1583DF14" w14:textId="77777777" w:rsidR="00BB23BC" w:rsidRPr="00BC1AFF" w:rsidRDefault="00BB23BC" w:rsidP="00865B70">
            <w:pPr>
              <w:keepNext/>
              <w:spacing w:after="0" w:line="360" w:lineRule="auto"/>
              <w:jc w:val="center"/>
              <w:rPr>
                <w:szCs w:val="20"/>
              </w:rPr>
            </w:pPr>
            <w:r w:rsidRPr="00BC1AFF">
              <w:rPr>
                <w:szCs w:val="20"/>
              </w:rPr>
              <w:t>2</w:t>
            </w:r>
          </w:p>
          <w:p w14:paraId="7F11B0B8" w14:textId="77777777" w:rsidR="00BB23BC" w:rsidRPr="00BC1AFF" w:rsidRDefault="00BB23BC" w:rsidP="00865B70">
            <w:pPr>
              <w:keepNext/>
              <w:spacing w:after="0" w:line="360" w:lineRule="auto"/>
              <w:jc w:val="center"/>
              <w:rPr>
                <w:szCs w:val="20"/>
              </w:rPr>
            </w:pPr>
            <w:r w:rsidRPr="00BC1AFF">
              <w:rPr>
                <w:szCs w:val="20"/>
              </w:rPr>
              <w:t>CR2</w:t>
            </w:r>
          </w:p>
        </w:tc>
      </w:tr>
      <w:tr w:rsidR="00D67444" w:rsidRPr="00BC1AFF" w14:paraId="0BC7CD71" w14:textId="77777777" w:rsidTr="00D67444">
        <w:trPr>
          <w:trHeight w:val="1147"/>
          <w:jc w:val="center"/>
        </w:trPr>
        <w:tc>
          <w:tcPr>
            <w:tcW w:w="545" w:type="pct"/>
            <w:vMerge/>
            <w:tcBorders>
              <w:top w:val="single" w:sz="4" w:space="0" w:color="A6A6A6"/>
              <w:left w:val="single" w:sz="4" w:space="0" w:color="A6A6A6"/>
              <w:bottom w:val="single" w:sz="4" w:space="0" w:color="A6A6A6"/>
              <w:right w:val="single" w:sz="4" w:space="0" w:color="A6A6A6"/>
            </w:tcBorders>
            <w:shd w:val="clear" w:color="auto" w:fill="D9D9D9" w:themeFill="background1" w:themeFillShade="D9"/>
            <w:noWrap/>
            <w:vAlign w:val="bottom"/>
            <w:hideMark/>
          </w:tcPr>
          <w:p w14:paraId="203DCE75" w14:textId="77777777" w:rsidR="00BB23BC" w:rsidRPr="00BC1AFF" w:rsidRDefault="00BB23BC" w:rsidP="00865B70">
            <w:pPr>
              <w:keepNext/>
              <w:keepLines/>
              <w:jc w:val="center"/>
              <w:rPr>
                <w:szCs w:val="20"/>
              </w:rPr>
            </w:pPr>
          </w:p>
        </w:tc>
        <w:tc>
          <w:tcPr>
            <w:tcW w:w="545" w:type="pct"/>
            <w:tcBorders>
              <w:top w:val="single" w:sz="4" w:space="0" w:color="A6A6A6"/>
              <w:left w:val="single" w:sz="4" w:space="0" w:color="A6A6A6"/>
              <w:bottom w:val="single" w:sz="4" w:space="0" w:color="A6A6A6"/>
              <w:right w:val="single" w:sz="4" w:space="0" w:color="A6A6A6"/>
            </w:tcBorders>
            <w:shd w:val="clear" w:color="auto" w:fill="F2F2F2" w:themeFill="background1" w:themeFillShade="F2"/>
            <w:noWrap/>
            <w:textDirection w:val="btLr"/>
            <w:vAlign w:val="center"/>
            <w:hideMark/>
          </w:tcPr>
          <w:p w14:paraId="7E261A98" w14:textId="77777777" w:rsidR="00BB23BC" w:rsidRPr="00BC1AFF" w:rsidRDefault="00BB23BC" w:rsidP="00865B70">
            <w:pPr>
              <w:keepNext/>
              <w:keepLines/>
              <w:jc w:val="center"/>
              <w:rPr>
                <w:szCs w:val="20"/>
              </w:rPr>
            </w:pPr>
            <w:r w:rsidRPr="00BC1AFF">
              <w:rPr>
                <w:szCs w:val="20"/>
              </w:rPr>
              <w:t>Low</w:t>
            </w:r>
          </w:p>
        </w:tc>
        <w:tc>
          <w:tcPr>
            <w:tcW w:w="1303" w:type="pct"/>
            <w:gridSpan w:val="2"/>
            <w:tcBorders>
              <w:top w:val="single" w:sz="4" w:space="0" w:color="A6A6A6"/>
              <w:left w:val="single" w:sz="4" w:space="0" w:color="A6A6A6"/>
              <w:bottom w:val="single" w:sz="4" w:space="0" w:color="A6A6A6"/>
              <w:right w:val="single" w:sz="4" w:space="0" w:color="A6A6A6"/>
            </w:tcBorders>
            <w:shd w:val="clear" w:color="auto" w:fill="86C487"/>
            <w:vAlign w:val="center"/>
            <w:hideMark/>
          </w:tcPr>
          <w:p w14:paraId="16D72CFC" w14:textId="77777777" w:rsidR="00BB23BC" w:rsidRPr="00BC1AFF" w:rsidRDefault="00BB23BC" w:rsidP="00865B70">
            <w:pPr>
              <w:keepNext/>
              <w:keepLines/>
              <w:spacing w:after="0"/>
              <w:jc w:val="center"/>
              <w:rPr>
                <w:szCs w:val="20"/>
              </w:rPr>
            </w:pPr>
            <w:r w:rsidRPr="00BC1AFF">
              <w:rPr>
                <w:szCs w:val="20"/>
              </w:rPr>
              <w:t>Candidate for Standard Change</w:t>
            </w:r>
          </w:p>
          <w:p w14:paraId="57E58B73" w14:textId="77777777" w:rsidR="00BB23BC" w:rsidRPr="00BC1AFF" w:rsidRDefault="00BB23BC" w:rsidP="00865B70">
            <w:pPr>
              <w:keepNext/>
              <w:keepLines/>
              <w:spacing w:after="0" w:line="360" w:lineRule="auto"/>
              <w:jc w:val="center"/>
              <w:rPr>
                <w:szCs w:val="20"/>
              </w:rPr>
            </w:pPr>
            <w:r w:rsidRPr="00BC1AFF">
              <w:rPr>
                <w:szCs w:val="20"/>
              </w:rPr>
              <w:t>5</w:t>
            </w:r>
          </w:p>
          <w:p w14:paraId="1C2394B2" w14:textId="77777777" w:rsidR="00BB23BC" w:rsidRPr="00BC1AFF" w:rsidRDefault="00BB23BC" w:rsidP="00865B70">
            <w:pPr>
              <w:keepNext/>
              <w:keepLines/>
              <w:spacing w:after="0" w:line="360" w:lineRule="auto"/>
              <w:jc w:val="center"/>
              <w:rPr>
                <w:szCs w:val="20"/>
              </w:rPr>
            </w:pPr>
            <w:r w:rsidRPr="00BC1AFF">
              <w:rPr>
                <w:szCs w:val="20"/>
              </w:rPr>
              <w:t>CR5</w:t>
            </w:r>
          </w:p>
        </w:tc>
        <w:tc>
          <w:tcPr>
            <w:tcW w:w="1303" w:type="pct"/>
            <w:gridSpan w:val="2"/>
            <w:tcBorders>
              <w:top w:val="single" w:sz="4" w:space="0" w:color="A6A6A6"/>
              <w:left w:val="single" w:sz="4" w:space="0" w:color="A6A6A6"/>
              <w:bottom w:val="single" w:sz="4" w:space="0" w:color="A6A6A6"/>
              <w:right w:val="single" w:sz="4" w:space="0" w:color="A6A6A6"/>
            </w:tcBorders>
            <w:shd w:val="clear" w:color="auto" w:fill="B4DAB5"/>
            <w:noWrap/>
            <w:vAlign w:val="center"/>
            <w:hideMark/>
          </w:tcPr>
          <w:p w14:paraId="1C0C22F2" w14:textId="77777777" w:rsidR="00BB23BC" w:rsidRPr="00BC1AFF" w:rsidRDefault="00BB23BC" w:rsidP="00865B70">
            <w:pPr>
              <w:keepNext/>
              <w:spacing w:after="0" w:line="360" w:lineRule="auto"/>
              <w:jc w:val="center"/>
              <w:rPr>
                <w:szCs w:val="20"/>
              </w:rPr>
            </w:pPr>
            <w:r w:rsidRPr="00BC1AFF">
              <w:rPr>
                <w:szCs w:val="20"/>
              </w:rPr>
              <w:t>Minor</w:t>
            </w:r>
          </w:p>
          <w:p w14:paraId="18A54CD2" w14:textId="77777777" w:rsidR="00BB23BC" w:rsidRPr="00BC1AFF" w:rsidRDefault="00BB23BC" w:rsidP="00865B70">
            <w:pPr>
              <w:keepNext/>
              <w:spacing w:after="0" w:line="360" w:lineRule="auto"/>
              <w:jc w:val="center"/>
              <w:rPr>
                <w:szCs w:val="20"/>
              </w:rPr>
            </w:pPr>
            <w:r w:rsidRPr="00BC1AFF">
              <w:rPr>
                <w:szCs w:val="20"/>
              </w:rPr>
              <w:t>4</w:t>
            </w:r>
          </w:p>
          <w:p w14:paraId="1880E2E4" w14:textId="77777777" w:rsidR="00BB23BC" w:rsidRPr="00BC1AFF" w:rsidRDefault="00BB23BC" w:rsidP="00865B70">
            <w:pPr>
              <w:keepNext/>
              <w:spacing w:after="0" w:line="360" w:lineRule="auto"/>
              <w:jc w:val="center"/>
              <w:rPr>
                <w:szCs w:val="20"/>
              </w:rPr>
            </w:pPr>
            <w:r w:rsidRPr="00BC1AFF">
              <w:rPr>
                <w:szCs w:val="20"/>
              </w:rPr>
              <w:t>CR4</w:t>
            </w:r>
          </w:p>
        </w:tc>
        <w:tc>
          <w:tcPr>
            <w:tcW w:w="1304" w:type="pct"/>
            <w:tcBorders>
              <w:top w:val="single" w:sz="4" w:space="0" w:color="A6A6A6"/>
              <w:left w:val="single" w:sz="4" w:space="0" w:color="A6A6A6"/>
              <w:bottom w:val="single" w:sz="4" w:space="0" w:color="A6A6A6"/>
              <w:right w:val="single" w:sz="4" w:space="0" w:color="A6A6A6"/>
            </w:tcBorders>
            <w:shd w:val="clear" w:color="auto" w:fill="FCFCB8"/>
            <w:noWrap/>
            <w:vAlign w:val="center"/>
            <w:hideMark/>
          </w:tcPr>
          <w:p w14:paraId="238D0D10" w14:textId="77777777" w:rsidR="00BB23BC" w:rsidRPr="00BC1AFF" w:rsidRDefault="00BB23BC" w:rsidP="00865B70">
            <w:pPr>
              <w:keepNext/>
              <w:spacing w:after="0" w:line="360" w:lineRule="auto"/>
              <w:jc w:val="center"/>
              <w:rPr>
                <w:szCs w:val="20"/>
              </w:rPr>
            </w:pPr>
            <w:r w:rsidRPr="00BC1AFF">
              <w:rPr>
                <w:szCs w:val="20"/>
              </w:rPr>
              <w:t>Significant</w:t>
            </w:r>
          </w:p>
          <w:p w14:paraId="753AD62E" w14:textId="77777777" w:rsidR="00BB23BC" w:rsidRPr="00BC1AFF" w:rsidRDefault="00BB23BC" w:rsidP="00865B70">
            <w:pPr>
              <w:keepNext/>
              <w:spacing w:after="0" w:line="360" w:lineRule="auto"/>
              <w:jc w:val="center"/>
              <w:rPr>
                <w:szCs w:val="20"/>
              </w:rPr>
            </w:pPr>
            <w:r w:rsidRPr="00BC1AFF">
              <w:rPr>
                <w:szCs w:val="20"/>
              </w:rPr>
              <w:t>3</w:t>
            </w:r>
          </w:p>
          <w:p w14:paraId="6D37ABD4" w14:textId="77777777" w:rsidR="00BB23BC" w:rsidRPr="00BC1AFF" w:rsidRDefault="00BB23BC" w:rsidP="00865B70">
            <w:pPr>
              <w:keepNext/>
              <w:spacing w:after="0" w:line="360" w:lineRule="auto"/>
              <w:jc w:val="center"/>
              <w:rPr>
                <w:szCs w:val="20"/>
              </w:rPr>
            </w:pPr>
            <w:r w:rsidRPr="00BC1AFF">
              <w:rPr>
                <w:szCs w:val="20"/>
              </w:rPr>
              <w:t>CR3</w:t>
            </w:r>
          </w:p>
        </w:tc>
      </w:tr>
      <w:tr w:rsidR="00BB23BC" w:rsidRPr="00BC1AFF" w14:paraId="0C9FE5AB" w14:textId="77777777" w:rsidTr="00865B70">
        <w:trPr>
          <w:trHeight w:val="239"/>
          <w:jc w:val="center"/>
        </w:trPr>
        <w:tc>
          <w:tcPr>
            <w:tcW w:w="545" w:type="pct"/>
            <w:tcBorders>
              <w:top w:val="single" w:sz="4" w:space="0" w:color="A6A6A6"/>
              <w:left w:val="nil"/>
              <w:bottom w:val="nil"/>
              <w:right w:val="single" w:sz="4" w:space="0" w:color="A6A6A6"/>
            </w:tcBorders>
            <w:noWrap/>
            <w:vAlign w:val="bottom"/>
            <w:hideMark/>
          </w:tcPr>
          <w:p w14:paraId="0B213169" w14:textId="77777777" w:rsidR="00BB23BC" w:rsidRPr="00BC1AFF" w:rsidRDefault="00BB23BC" w:rsidP="00865B70">
            <w:pPr>
              <w:keepNext/>
              <w:keepLines/>
              <w:rPr>
                <w:szCs w:val="20"/>
              </w:rPr>
            </w:pPr>
          </w:p>
        </w:tc>
        <w:tc>
          <w:tcPr>
            <w:tcW w:w="545"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noWrap/>
            <w:vAlign w:val="bottom"/>
            <w:hideMark/>
          </w:tcPr>
          <w:p w14:paraId="137135F4" w14:textId="77777777" w:rsidR="00BB23BC" w:rsidRPr="00BC1AFF" w:rsidRDefault="00BB23BC" w:rsidP="00865B70">
            <w:pPr>
              <w:keepNext/>
              <w:keepLines/>
              <w:rPr>
                <w:szCs w:val="20"/>
              </w:rPr>
            </w:pPr>
            <w:r w:rsidRPr="00BC1AFF">
              <w:rPr>
                <w:szCs w:val="20"/>
              </w:rPr>
              <w:t> </w:t>
            </w:r>
          </w:p>
        </w:tc>
        <w:tc>
          <w:tcPr>
            <w:tcW w:w="1160" w:type="pct"/>
            <w:tcBorders>
              <w:top w:val="single" w:sz="4" w:space="0" w:color="A6A6A6"/>
              <w:left w:val="single" w:sz="4" w:space="0" w:color="A6A6A6"/>
              <w:bottom w:val="single" w:sz="4" w:space="0" w:color="A6A6A6"/>
              <w:right w:val="single" w:sz="4" w:space="0" w:color="A6A6A6"/>
            </w:tcBorders>
            <w:shd w:val="clear" w:color="auto" w:fill="F2F2F2" w:themeFill="background1" w:themeFillShade="F2"/>
            <w:noWrap/>
            <w:vAlign w:val="center"/>
            <w:hideMark/>
          </w:tcPr>
          <w:p w14:paraId="792F9CF1" w14:textId="77777777" w:rsidR="00BB23BC" w:rsidRPr="00BC1AFF" w:rsidRDefault="00BB23BC" w:rsidP="00865B70">
            <w:pPr>
              <w:keepNext/>
              <w:keepLines/>
              <w:jc w:val="center"/>
              <w:rPr>
                <w:szCs w:val="20"/>
              </w:rPr>
            </w:pPr>
            <w:r w:rsidRPr="00BC1AFF">
              <w:rPr>
                <w:szCs w:val="20"/>
              </w:rPr>
              <w:t>Low</w:t>
            </w:r>
          </w:p>
        </w:tc>
        <w:tc>
          <w:tcPr>
            <w:tcW w:w="1160" w:type="pct"/>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noWrap/>
            <w:vAlign w:val="center"/>
            <w:hideMark/>
          </w:tcPr>
          <w:p w14:paraId="32A4B872" w14:textId="77777777" w:rsidR="00BB23BC" w:rsidRPr="00BC1AFF" w:rsidRDefault="00BB23BC" w:rsidP="00865B70">
            <w:pPr>
              <w:keepNext/>
              <w:jc w:val="center"/>
              <w:rPr>
                <w:szCs w:val="20"/>
              </w:rPr>
            </w:pPr>
            <w:r w:rsidRPr="00BC1AFF">
              <w:rPr>
                <w:szCs w:val="20"/>
              </w:rPr>
              <w:t>Medium</w:t>
            </w:r>
          </w:p>
        </w:tc>
        <w:tc>
          <w:tcPr>
            <w:tcW w:w="1590" w:type="pct"/>
            <w:gridSpan w:val="2"/>
            <w:tcBorders>
              <w:top w:val="single" w:sz="4" w:space="0" w:color="A6A6A6"/>
              <w:left w:val="single" w:sz="4" w:space="0" w:color="A6A6A6"/>
              <w:bottom w:val="single" w:sz="4" w:space="0" w:color="A6A6A6"/>
              <w:right w:val="single" w:sz="4" w:space="0" w:color="A6A6A6"/>
            </w:tcBorders>
            <w:shd w:val="clear" w:color="auto" w:fill="F2F2F2" w:themeFill="background1" w:themeFillShade="F2"/>
            <w:noWrap/>
            <w:vAlign w:val="center"/>
            <w:hideMark/>
          </w:tcPr>
          <w:p w14:paraId="7444C0A8" w14:textId="77777777" w:rsidR="00BB23BC" w:rsidRPr="00BC1AFF" w:rsidRDefault="00BB23BC" w:rsidP="00865B70">
            <w:pPr>
              <w:keepNext/>
              <w:jc w:val="center"/>
              <w:rPr>
                <w:szCs w:val="20"/>
              </w:rPr>
            </w:pPr>
            <w:r w:rsidRPr="00BC1AFF">
              <w:rPr>
                <w:szCs w:val="20"/>
              </w:rPr>
              <w:t>High</w:t>
            </w:r>
          </w:p>
        </w:tc>
      </w:tr>
      <w:tr w:rsidR="00BB23BC" w:rsidRPr="00BC1AFF" w14:paraId="160188A3" w14:textId="77777777" w:rsidTr="00865B70">
        <w:trPr>
          <w:trHeight w:val="239"/>
          <w:jc w:val="center"/>
        </w:trPr>
        <w:tc>
          <w:tcPr>
            <w:tcW w:w="545" w:type="pct"/>
            <w:tcBorders>
              <w:top w:val="nil"/>
              <w:left w:val="nil"/>
              <w:bottom w:val="nil"/>
              <w:right w:val="nil"/>
            </w:tcBorders>
            <w:noWrap/>
            <w:vAlign w:val="bottom"/>
            <w:hideMark/>
          </w:tcPr>
          <w:p w14:paraId="6D3A95AE" w14:textId="77777777" w:rsidR="00BB23BC" w:rsidRPr="00BC1AFF" w:rsidRDefault="00BB23BC" w:rsidP="00865B70">
            <w:pPr>
              <w:keepNext/>
              <w:keepLines/>
              <w:rPr>
                <w:szCs w:val="20"/>
              </w:rPr>
            </w:pPr>
          </w:p>
        </w:tc>
        <w:tc>
          <w:tcPr>
            <w:tcW w:w="545" w:type="pct"/>
            <w:tcBorders>
              <w:top w:val="single" w:sz="4" w:space="0" w:color="A6A6A6"/>
              <w:left w:val="nil"/>
              <w:bottom w:val="nil"/>
              <w:right w:val="single" w:sz="4" w:space="0" w:color="A6A6A6"/>
            </w:tcBorders>
            <w:noWrap/>
            <w:vAlign w:val="bottom"/>
            <w:hideMark/>
          </w:tcPr>
          <w:p w14:paraId="7B8D15C4" w14:textId="77777777" w:rsidR="00BB23BC" w:rsidRPr="00BC1AFF" w:rsidRDefault="00BB23BC" w:rsidP="00865B70">
            <w:pPr>
              <w:keepNext/>
              <w:keepLines/>
              <w:rPr>
                <w:szCs w:val="20"/>
              </w:rPr>
            </w:pPr>
          </w:p>
        </w:tc>
        <w:tc>
          <w:tcPr>
            <w:tcW w:w="3910" w:type="pct"/>
            <w:gridSpan w:val="5"/>
            <w:tcBorders>
              <w:top w:val="single" w:sz="4" w:space="0" w:color="A6A6A6"/>
              <w:left w:val="single" w:sz="4" w:space="0" w:color="A6A6A6"/>
              <w:bottom w:val="single" w:sz="4" w:space="0" w:color="A6A6A6"/>
              <w:right w:val="single" w:sz="4" w:space="0" w:color="A6A6A6"/>
            </w:tcBorders>
            <w:shd w:val="clear" w:color="auto" w:fill="D9D9D9" w:themeFill="background1" w:themeFillShade="D9"/>
            <w:noWrap/>
            <w:vAlign w:val="center"/>
            <w:hideMark/>
          </w:tcPr>
          <w:p w14:paraId="6E88ED39" w14:textId="77777777" w:rsidR="00BB23BC" w:rsidRPr="00BC1AFF" w:rsidRDefault="00BB23BC" w:rsidP="00865B70">
            <w:pPr>
              <w:keepNext/>
              <w:keepLines/>
              <w:jc w:val="center"/>
              <w:rPr>
                <w:szCs w:val="20"/>
              </w:rPr>
            </w:pPr>
            <w:r w:rsidRPr="00BC1AFF">
              <w:rPr>
                <w:szCs w:val="20"/>
              </w:rPr>
              <w:t>Risk</w:t>
            </w:r>
          </w:p>
        </w:tc>
      </w:tr>
    </w:tbl>
    <w:p w14:paraId="389BF364" w14:textId="462B315B" w:rsidR="00BB23BC" w:rsidRPr="00BC1AFF" w:rsidRDefault="00BB23BC" w:rsidP="00C90281">
      <w:pPr>
        <w:pStyle w:val="Heading2"/>
        <w:numPr>
          <w:ilvl w:val="0"/>
          <w:numId w:val="0"/>
        </w:numPr>
        <w:ind w:left="1418"/>
        <w:rPr>
          <w:rStyle w:val="Strong"/>
          <w:b w:val="0"/>
          <w:bCs w:val="0"/>
        </w:rPr>
      </w:pPr>
    </w:p>
    <w:p w14:paraId="6CA30A58" w14:textId="543E2056" w:rsidR="0066702F" w:rsidRPr="00BC1AFF" w:rsidRDefault="4231E636" w:rsidP="00C90281">
      <w:pPr>
        <w:pStyle w:val="Heading2"/>
      </w:pPr>
      <w:r w:rsidRPr="00BC1AFF">
        <w:t xml:space="preserve">Once assessed, the change will then be submitted for further technical review by </w:t>
      </w:r>
      <w:r w:rsidR="49E037C4" w:rsidRPr="00BC1AFF">
        <w:t>us</w:t>
      </w:r>
      <w:r w:rsidRPr="00BC1AFF">
        <w:t>.</w:t>
      </w:r>
    </w:p>
    <w:p w14:paraId="45D0C92F" w14:textId="37A11B36" w:rsidR="0066702F" w:rsidRPr="00BC1AFF" w:rsidRDefault="4231E636" w:rsidP="00C90281">
      <w:pPr>
        <w:pStyle w:val="Heading2"/>
      </w:pPr>
      <w:r w:rsidRPr="00BC1AFF">
        <w:t>All Normal Changes will incur Additional Service Charge</w:t>
      </w:r>
      <w:r w:rsidR="008B3D85" w:rsidRPr="00BC1AFF">
        <w:t>s</w:t>
      </w:r>
      <w:r w:rsidRPr="00BC1AFF">
        <w:t xml:space="preserve"> which must be accepted in writing prior to any works commencing.</w:t>
      </w:r>
    </w:p>
    <w:p w14:paraId="75C2DA2D" w14:textId="1F5ACCAD" w:rsidR="0066702F" w:rsidRPr="00BC1AFF" w:rsidRDefault="00770E24" w:rsidP="00C90281">
      <w:pPr>
        <w:pStyle w:val="Heading2"/>
      </w:pPr>
      <w:r w:rsidRPr="00BC1AFF">
        <w:t>We</w:t>
      </w:r>
      <w:r w:rsidR="4231E636" w:rsidRPr="00BC1AFF">
        <w:t xml:space="preserve"> may, </w:t>
      </w:r>
      <w:r w:rsidR="3FE87E23" w:rsidRPr="00BC1AFF">
        <w:t>in our</w:t>
      </w:r>
      <w:r w:rsidR="4231E636" w:rsidRPr="00BC1AFF">
        <w:t xml:space="preserve"> discretion, define high impact/high risk Normal Changes as </w:t>
      </w:r>
      <w:r w:rsidR="5AF412B6" w:rsidRPr="00BC1AFF">
        <w:t xml:space="preserve">a discrete bundle of related IT project activities that is completed in accordance with an agreed </w:t>
      </w:r>
      <w:r w:rsidR="5AF412B6" w:rsidRPr="00BC1AFF">
        <w:lastRenderedPageBreak/>
        <w:t xml:space="preserve">statement of work outside this agreement </w:t>
      </w:r>
      <w:r w:rsidR="24B47504" w:rsidRPr="00BC1AFF">
        <w:t>(</w:t>
      </w:r>
      <w:r w:rsidR="4231E636" w:rsidRPr="00BC1AFF">
        <w:rPr>
          <w:b/>
          <w:bCs/>
        </w:rPr>
        <w:t>Project Service</w:t>
      </w:r>
      <w:r w:rsidR="24B47504" w:rsidRPr="00BC1AFF">
        <w:rPr>
          <w:b/>
          <w:bCs/>
        </w:rPr>
        <w:t>(s)</w:t>
      </w:r>
      <w:r w:rsidR="24B47504" w:rsidRPr="00BC1AFF">
        <w:t>)</w:t>
      </w:r>
      <w:r w:rsidR="4231E636" w:rsidRPr="00BC1AFF">
        <w:t>.</w:t>
      </w:r>
    </w:p>
    <w:p w14:paraId="709963E6" w14:textId="10C8C0A9" w:rsidR="00043BB3" w:rsidRPr="00BC1AFF" w:rsidRDefault="18DE564C" w:rsidP="00802292">
      <w:pPr>
        <w:pStyle w:val="Heading1"/>
      </w:pPr>
      <w:bookmarkStart w:id="221" w:name="_Toc115217354"/>
      <w:bookmarkStart w:id="222" w:name="_Toc137461069"/>
      <w:bookmarkStart w:id="223" w:name="_Toc138241437"/>
      <w:bookmarkStart w:id="224" w:name="_Toc160009034"/>
      <w:r w:rsidRPr="00BC1AFF">
        <w:t>Release Management</w:t>
      </w:r>
      <w:bookmarkEnd w:id="221"/>
      <w:bookmarkEnd w:id="222"/>
      <w:bookmarkEnd w:id="223"/>
      <w:bookmarkEnd w:id="224"/>
    </w:p>
    <w:p w14:paraId="439F83E3" w14:textId="5B06D5E5" w:rsidR="009769F2" w:rsidRPr="00BC1AFF" w:rsidRDefault="429B69D6" w:rsidP="00C90281">
      <w:pPr>
        <w:pStyle w:val="Heading2"/>
      </w:pPr>
      <w:r w:rsidRPr="00BC1AFF">
        <w:t xml:space="preserve">Software patch or firmware releases covering </w:t>
      </w:r>
      <w:r w:rsidR="00BE5C9A" w:rsidRPr="00BC1AFF">
        <w:t xml:space="preserve">managed </w:t>
      </w:r>
      <w:r w:rsidR="6907B19D" w:rsidRPr="00BC1AFF">
        <w:t xml:space="preserve">IT </w:t>
      </w:r>
      <w:r w:rsidRPr="00BC1AFF">
        <w:t>Environments</w:t>
      </w:r>
      <w:r w:rsidR="6907B19D" w:rsidRPr="00BC1AFF">
        <w:t xml:space="preserve"> </w:t>
      </w:r>
      <w:r w:rsidR="00BE5C9A" w:rsidRPr="00BC1AFF">
        <w:t>and</w:t>
      </w:r>
      <w:r w:rsidR="6907B19D" w:rsidRPr="00BC1AFF">
        <w:t xml:space="preserve"> Components</w:t>
      </w:r>
      <w:r w:rsidRPr="00BC1AFF">
        <w:t xml:space="preserve"> are reviewed by </w:t>
      </w:r>
      <w:r w:rsidR="7B46D75A" w:rsidRPr="00BC1AFF">
        <w:t>us</w:t>
      </w:r>
      <w:r w:rsidRPr="00BC1AFF">
        <w:t xml:space="preserve"> frequently. Advice and recommendations are provided to </w:t>
      </w:r>
      <w:r w:rsidR="7B46D75A" w:rsidRPr="00BC1AFF">
        <w:t>y</w:t>
      </w:r>
      <w:r w:rsidRPr="00BC1AFF">
        <w:t xml:space="preserve">ou as to which releases should be considered for installation. </w:t>
      </w:r>
    </w:p>
    <w:p w14:paraId="59936C2A" w14:textId="65451AE6" w:rsidR="009769F2" w:rsidRPr="00BC1AFF" w:rsidRDefault="429B69D6" w:rsidP="00C90281">
      <w:pPr>
        <w:pStyle w:val="Heading2"/>
      </w:pPr>
      <w:r w:rsidRPr="00BC1AFF">
        <w:t xml:space="preserve">Minor releases that can, in </w:t>
      </w:r>
      <w:r w:rsidR="7B46D75A" w:rsidRPr="00BC1AFF">
        <w:t>our</w:t>
      </w:r>
      <w:r w:rsidRPr="00BC1AFF">
        <w:t xml:space="preserve"> discretion, be completed as a Standard Change will be completed by </w:t>
      </w:r>
      <w:r w:rsidR="7D914311" w:rsidRPr="00BC1AFF">
        <w:t>us</w:t>
      </w:r>
      <w:r w:rsidRPr="00BC1AFF">
        <w:t xml:space="preserve"> during Business Hours. </w:t>
      </w:r>
    </w:p>
    <w:p w14:paraId="07A95E41" w14:textId="77777777" w:rsidR="009769F2" w:rsidRPr="00BC1AFF" w:rsidRDefault="429B69D6" w:rsidP="00C90281">
      <w:pPr>
        <w:pStyle w:val="Heading2"/>
      </w:pPr>
      <w:r w:rsidRPr="00BC1AFF">
        <w:t>Minor releases required to resolve a P1 or P2 Incident will follow the Emergency Change process.</w:t>
      </w:r>
    </w:p>
    <w:p w14:paraId="0093DD5A" w14:textId="6978E8DA" w:rsidR="009769F2" w:rsidRPr="00BC1AFF" w:rsidRDefault="429B69D6" w:rsidP="00C90281">
      <w:pPr>
        <w:pStyle w:val="Heading2"/>
        <w:rPr>
          <w:rStyle w:val="Strong"/>
          <w:b w:val="0"/>
          <w:bCs w:val="0"/>
        </w:rPr>
      </w:pPr>
      <w:r w:rsidRPr="00BC1AFF">
        <w:t xml:space="preserve">Major software upgrades or upgrades classified as a Normal Change or Project Services will be reviewed and incur Additional Service Charges. </w:t>
      </w:r>
    </w:p>
    <w:p w14:paraId="3B62E4D6" w14:textId="0CA5C253" w:rsidR="00833053" w:rsidRPr="00BC1AFF" w:rsidRDefault="18DE564C" w:rsidP="00802292">
      <w:pPr>
        <w:pStyle w:val="Heading1"/>
      </w:pPr>
      <w:bookmarkStart w:id="225" w:name="_Toc115217355"/>
      <w:bookmarkStart w:id="226" w:name="_Toc137461070"/>
      <w:bookmarkStart w:id="227" w:name="_Toc138241438"/>
      <w:bookmarkStart w:id="228" w:name="_Toc160009035"/>
      <w:r w:rsidRPr="00BC1AFF">
        <w:t>Deployment Management</w:t>
      </w:r>
      <w:bookmarkEnd w:id="225"/>
      <w:bookmarkEnd w:id="226"/>
      <w:bookmarkEnd w:id="227"/>
      <w:bookmarkEnd w:id="228"/>
    </w:p>
    <w:p w14:paraId="3E39343C" w14:textId="02E9F453" w:rsidR="00DF5166" w:rsidRPr="00BC1AFF" w:rsidRDefault="0E13B142" w:rsidP="00C90281">
      <w:pPr>
        <w:pStyle w:val="Heading2"/>
      </w:pPr>
      <w:r w:rsidRPr="00BC1AFF">
        <w:t xml:space="preserve">There are three classifications </w:t>
      </w:r>
      <w:r w:rsidR="009E7769" w:rsidRPr="00BC1AFF">
        <w:t>of</w:t>
      </w:r>
      <w:r w:rsidRPr="00BC1AFF">
        <w:t xml:space="preserve"> patching</w:t>
      </w:r>
      <w:r w:rsidR="009E7769" w:rsidRPr="00BC1AFF">
        <w:t>:</w:t>
      </w:r>
      <w:r w:rsidRPr="00BC1AFF">
        <w:t xml:space="preserve"> </w:t>
      </w:r>
    </w:p>
    <w:p w14:paraId="3395AE60" w14:textId="0BF4C361" w:rsidR="00DF5166" w:rsidRPr="00BC1AFF" w:rsidRDefault="0E13B142">
      <w:pPr>
        <w:pStyle w:val="Heading3"/>
        <w:keepLines/>
        <w:numPr>
          <w:ilvl w:val="2"/>
          <w:numId w:val="9"/>
        </w:numPr>
      </w:pPr>
      <w:r w:rsidRPr="00BC1AFF">
        <w:rPr>
          <w:b/>
          <w:bCs/>
        </w:rPr>
        <w:t>Urgent Release</w:t>
      </w:r>
      <w:r w:rsidRPr="00BC1AFF">
        <w:t xml:space="preserve"> – A patch release supported by the Vendor which is a dot release and addresses a known security </w:t>
      </w:r>
      <w:r w:rsidR="00E13C5D" w:rsidRPr="00BC1AFF">
        <w:t xml:space="preserve">issue </w:t>
      </w:r>
      <w:r w:rsidRPr="00BC1AFF">
        <w:t xml:space="preserve">which is applicable to the </w:t>
      </w:r>
      <w:r w:rsidR="005E4089" w:rsidRPr="00BC1AFF">
        <w:t xml:space="preserve">managed </w:t>
      </w:r>
      <w:r w:rsidR="1E597B8D" w:rsidRPr="00BC1AFF">
        <w:t xml:space="preserve">IT </w:t>
      </w:r>
      <w:r w:rsidRPr="00BC1AFF">
        <w:t>Environments</w:t>
      </w:r>
      <w:r w:rsidR="1E597B8D" w:rsidRPr="00BC1AFF">
        <w:t xml:space="preserve"> </w:t>
      </w:r>
      <w:r w:rsidR="004163FA" w:rsidRPr="00BC1AFF">
        <w:t>or</w:t>
      </w:r>
      <w:r w:rsidR="005E4089" w:rsidRPr="00BC1AFF">
        <w:t xml:space="preserve"> </w:t>
      </w:r>
      <w:r w:rsidR="1E597B8D" w:rsidRPr="00BC1AFF">
        <w:t>Components</w:t>
      </w:r>
      <w:r w:rsidRPr="00BC1AFF">
        <w:t xml:space="preserve"> covered by the </w:t>
      </w:r>
      <w:r w:rsidR="1E597B8D" w:rsidRPr="00BC1AFF">
        <w:t xml:space="preserve">Telstra Purple Managed </w:t>
      </w:r>
      <w:r w:rsidRPr="00BC1AFF">
        <w:t>Services.</w:t>
      </w:r>
    </w:p>
    <w:p w14:paraId="104F64C8" w14:textId="7A4EAE54" w:rsidR="00DF5166" w:rsidRPr="00BC1AFF" w:rsidRDefault="0E13B142">
      <w:pPr>
        <w:pStyle w:val="Heading3"/>
        <w:numPr>
          <w:ilvl w:val="2"/>
          <w:numId w:val="9"/>
        </w:numPr>
      </w:pPr>
      <w:r w:rsidRPr="00BC1AFF">
        <w:rPr>
          <w:b/>
          <w:bCs/>
        </w:rPr>
        <w:t>Minor Release</w:t>
      </w:r>
      <w:r w:rsidRPr="00BC1AFF">
        <w:t xml:space="preserve"> – A patch release supported by the Vendor that is a dot release and is recommended by </w:t>
      </w:r>
      <w:r w:rsidR="2CD03141" w:rsidRPr="00BC1AFF">
        <w:t>us</w:t>
      </w:r>
      <w:r w:rsidRPr="00BC1AFF">
        <w:t xml:space="preserve"> to overcome an issue impacting the </w:t>
      </w:r>
      <w:r w:rsidR="004163FA" w:rsidRPr="00BC1AFF">
        <w:t xml:space="preserve">managed </w:t>
      </w:r>
      <w:r w:rsidR="5801C800" w:rsidRPr="00BC1AFF">
        <w:t>IT Environment</w:t>
      </w:r>
      <w:r w:rsidR="004163FA" w:rsidRPr="00BC1AFF">
        <w:t>s</w:t>
      </w:r>
      <w:r w:rsidR="5801C800" w:rsidRPr="00BC1AFF">
        <w:t xml:space="preserve"> or Components </w:t>
      </w:r>
      <w:r w:rsidRPr="00BC1AFF">
        <w:t xml:space="preserve">or provide additional functionality that would be beneficial to </w:t>
      </w:r>
      <w:r w:rsidR="00E13C5D" w:rsidRPr="00BC1AFF">
        <w:t>you</w:t>
      </w:r>
      <w:r w:rsidRPr="00BC1AFF">
        <w:t>.</w:t>
      </w:r>
    </w:p>
    <w:p w14:paraId="50DA0035" w14:textId="6DF209E8" w:rsidR="00DF5166" w:rsidRPr="00BC1AFF" w:rsidRDefault="0E13B142">
      <w:pPr>
        <w:pStyle w:val="Heading3"/>
        <w:numPr>
          <w:ilvl w:val="2"/>
          <w:numId w:val="9"/>
        </w:numPr>
      </w:pPr>
      <w:r w:rsidRPr="00BC1AFF">
        <w:rPr>
          <w:b/>
          <w:bCs/>
        </w:rPr>
        <w:t>Major Release</w:t>
      </w:r>
      <w:r w:rsidRPr="00BC1AFF">
        <w:t xml:space="preserve"> – A patch or firmware release supported by the Vendor that will implement changes and/or add new functionality</w:t>
      </w:r>
      <w:r w:rsidR="009625F8" w:rsidRPr="00BC1AFF">
        <w:t xml:space="preserve"> to the managed IT Environments or Components</w:t>
      </w:r>
      <w:r w:rsidRPr="00BC1AFF">
        <w:t>.</w:t>
      </w:r>
    </w:p>
    <w:p w14:paraId="74BC2B75" w14:textId="5D35F395" w:rsidR="00DF5166" w:rsidRPr="00BC1AFF" w:rsidRDefault="0E13B142" w:rsidP="00C90281">
      <w:pPr>
        <w:pStyle w:val="Heading2"/>
      </w:pPr>
      <w:r w:rsidRPr="00BC1AFF">
        <w:t xml:space="preserve">Remediation of any dependant services that are required to perform upgrades remain </w:t>
      </w:r>
      <w:r w:rsidR="7862B98A" w:rsidRPr="00BC1AFF">
        <w:t xml:space="preserve">your </w:t>
      </w:r>
      <w:r w:rsidR="290FCD28" w:rsidRPr="00BC1AFF">
        <w:t>responsibility unless</w:t>
      </w:r>
      <w:r w:rsidRPr="00BC1AFF">
        <w:t xml:space="preserve"> </w:t>
      </w:r>
      <w:r w:rsidR="00CE124D" w:rsidRPr="00BC1AFF">
        <w:t xml:space="preserve">the </w:t>
      </w:r>
      <w:r w:rsidRPr="00BC1AFF">
        <w:t xml:space="preserve">dependant services are provided by </w:t>
      </w:r>
      <w:r w:rsidR="7862B98A" w:rsidRPr="00BC1AFF">
        <w:t>us</w:t>
      </w:r>
      <w:r w:rsidRPr="00BC1AFF">
        <w:t>.</w:t>
      </w:r>
    </w:p>
    <w:p w14:paraId="71DC1C77" w14:textId="565541D7" w:rsidR="00DF5166" w:rsidRPr="00BC1AFF" w:rsidRDefault="0E13B142" w:rsidP="00C90281">
      <w:pPr>
        <w:pStyle w:val="Heading2"/>
      </w:pPr>
      <w:r w:rsidRPr="00BC1AFF">
        <w:t>Patching will be in accordance with Change Enablement processes and Scheduled Maintenance as follows:</w:t>
      </w:r>
    </w:p>
    <w:p w14:paraId="243CEFE7" w14:textId="5CCCBBFE" w:rsidR="00DF5166" w:rsidRPr="00BC1AFF" w:rsidRDefault="0E13B142">
      <w:pPr>
        <w:pStyle w:val="Heading3"/>
        <w:numPr>
          <w:ilvl w:val="2"/>
          <w:numId w:val="9"/>
        </w:numPr>
      </w:pPr>
      <w:r w:rsidRPr="00BC1AFF">
        <w:t xml:space="preserve">Minor Releases that are Standard Changes will be completed by </w:t>
      </w:r>
      <w:r w:rsidR="3CA845D9" w:rsidRPr="00BC1AFF">
        <w:t>us</w:t>
      </w:r>
      <w:r w:rsidRPr="00BC1AFF">
        <w:t xml:space="preserve"> during Business Hours. </w:t>
      </w:r>
    </w:p>
    <w:p w14:paraId="50CC2F55" w14:textId="7AADA664" w:rsidR="00DF5166" w:rsidRPr="00BC1AFF" w:rsidRDefault="0E13B142">
      <w:pPr>
        <w:pStyle w:val="Heading3"/>
        <w:numPr>
          <w:ilvl w:val="2"/>
          <w:numId w:val="9"/>
        </w:numPr>
      </w:pPr>
      <w:r w:rsidRPr="00BC1AFF">
        <w:t xml:space="preserve">If Minor Releases cannot be completed as a Standard Change during Business Hours, then such Minor Releases will be applied by </w:t>
      </w:r>
      <w:r w:rsidR="3CA845D9" w:rsidRPr="00BC1AFF">
        <w:t>us</w:t>
      </w:r>
      <w:r w:rsidRPr="00BC1AFF">
        <w:t xml:space="preserve"> </w:t>
      </w:r>
      <w:r w:rsidR="00A92F53" w:rsidRPr="00BC1AFF">
        <w:t xml:space="preserve">in </w:t>
      </w:r>
      <w:r w:rsidRPr="00BC1AFF">
        <w:t xml:space="preserve">Support Hours as a </w:t>
      </w:r>
      <w:r w:rsidR="6353C062" w:rsidRPr="00BC1AFF">
        <w:t>N</w:t>
      </w:r>
      <w:r w:rsidRPr="00BC1AFF">
        <w:t xml:space="preserve">ormal </w:t>
      </w:r>
      <w:r w:rsidR="6353C062" w:rsidRPr="00BC1AFF">
        <w:t>C</w:t>
      </w:r>
      <w:r w:rsidRPr="00BC1AFF">
        <w:t>hange.</w:t>
      </w:r>
    </w:p>
    <w:p w14:paraId="4440B57B" w14:textId="312FD5D7" w:rsidR="00DF5166" w:rsidRPr="00BC1AFF" w:rsidRDefault="0E13B142">
      <w:pPr>
        <w:pStyle w:val="Heading3"/>
        <w:numPr>
          <w:ilvl w:val="2"/>
          <w:numId w:val="9"/>
        </w:numPr>
      </w:pPr>
      <w:r w:rsidRPr="00BC1AFF">
        <w:t xml:space="preserve">Urgent Releases deemed applicable to </w:t>
      </w:r>
      <w:r w:rsidR="6353C062" w:rsidRPr="00BC1AFF">
        <w:t>y</w:t>
      </w:r>
      <w:r w:rsidRPr="00BC1AFF">
        <w:t xml:space="preserve">our </w:t>
      </w:r>
      <w:r w:rsidR="00BB71ED" w:rsidRPr="00BC1AFF">
        <w:t xml:space="preserve">managed </w:t>
      </w:r>
      <w:r w:rsidR="6353C062" w:rsidRPr="00BC1AFF">
        <w:t>IT E</w:t>
      </w:r>
      <w:r w:rsidRPr="00BC1AFF">
        <w:t>nvironment</w:t>
      </w:r>
      <w:r w:rsidR="00E13C5D" w:rsidRPr="00BC1AFF">
        <w:t>s</w:t>
      </w:r>
      <w:r w:rsidR="6353C062" w:rsidRPr="00BC1AFF">
        <w:t xml:space="preserve"> or Components</w:t>
      </w:r>
      <w:r w:rsidRPr="00BC1AFF">
        <w:t xml:space="preserve"> will be applied within 72 hours of such release being made available by the Vendor, using either the </w:t>
      </w:r>
      <w:r w:rsidR="7D4BCB63" w:rsidRPr="00BC1AFF">
        <w:t>S</w:t>
      </w:r>
      <w:r w:rsidRPr="00BC1AFF">
        <w:t>tandard or Emergency Change process as required.</w:t>
      </w:r>
    </w:p>
    <w:p w14:paraId="017F1537" w14:textId="77777777" w:rsidR="00DF5166" w:rsidRPr="00BC1AFF" w:rsidRDefault="0E13B142" w:rsidP="00C90281">
      <w:pPr>
        <w:pStyle w:val="Heading2"/>
      </w:pPr>
      <w:r w:rsidRPr="00BC1AFF">
        <w:t xml:space="preserve">Major software upgrades are classified as a Normal Change, or Project Services, and will incur Additional Service Charges. </w:t>
      </w:r>
    </w:p>
    <w:p w14:paraId="3A0F1019" w14:textId="18B8DB53" w:rsidR="00B43F99" w:rsidRPr="00BC1AFF" w:rsidRDefault="353C3D22" w:rsidP="00802292">
      <w:pPr>
        <w:pStyle w:val="Heading1"/>
      </w:pPr>
      <w:bookmarkStart w:id="229" w:name="_Toc115217361"/>
      <w:bookmarkStart w:id="230" w:name="_Toc137461071"/>
      <w:bookmarkStart w:id="231" w:name="_Toc138241439"/>
      <w:bookmarkStart w:id="232" w:name="_Toc160009036"/>
      <w:r w:rsidRPr="00BC1AFF">
        <w:lastRenderedPageBreak/>
        <w:t xml:space="preserve">Capacity </w:t>
      </w:r>
      <w:r w:rsidR="00342421" w:rsidRPr="00BC1AFF">
        <w:t xml:space="preserve">AND PERFORMANCE </w:t>
      </w:r>
      <w:r w:rsidRPr="00BC1AFF">
        <w:t>Management</w:t>
      </w:r>
      <w:bookmarkEnd w:id="229"/>
      <w:bookmarkEnd w:id="230"/>
      <w:bookmarkEnd w:id="231"/>
      <w:bookmarkEnd w:id="232"/>
    </w:p>
    <w:p w14:paraId="6EE97249" w14:textId="718C0CF3" w:rsidR="00B43F99" w:rsidRPr="00BC1AFF" w:rsidRDefault="353C3D22" w:rsidP="00C90281">
      <w:pPr>
        <w:pStyle w:val="Heading2"/>
      </w:pPr>
      <w:r w:rsidRPr="00BC1AFF">
        <w:t xml:space="preserve">Capacity </w:t>
      </w:r>
      <w:r w:rsidR="006073D3" w:rsidRPr="00BC1AFF">
        <w:t xml:space="preserve">and Performance </w:t>
      </w:r>
      <w:r w:rsidRPr="00BC1AFF">
        <w:t xml:space="preserve">Management, where applicable for the </w:t>
      </w:r>
      <w:r w:rsidR="00EA3064" w:rsidRPr="00BC1AFF">
        <w:t xml:space="preserve">managed </w:t>
      </w:r>
      <w:r w:rsidR="3E396C4B" w:rsidRPr="00BC1AFF">
        <w:t>IT Environment</w:t>
      </w:r>
      <w:r w:rsidR="00E13C5D" w:rsidRPr="00BC1AFF">
        <w:t>s</w:t>
      </w:r>
      <w:r w:rsidR="3E396C4B" w:rsidRPr="00BC1AFF">
        <w:t xml:space="preserve"> </w:t>
      </w:r>
      <w:r w:rsidR="00EA3064" w:rsidRPr="00BC1AFF">
        <w:t xml:space="preserve">and </w:t>
      </w:r>
      <w:r w:rsidR="3E396C4B" w:rsidRPr="00BC1AFF">
        <w:t>Component</w:t>
      </w:r>
      <w:r w:rsidR="00EA3064" w:rsidRPr="00BC1AFF">
        <w:t>s</w:t>
      </w:r>
      <w:r w:rsidRPr="00BC1AFF">
        <w:t xml:space="preserve">, assesses current performance of the </w:t>
      </w:r>
      <w:r w:rsidR="002243D3" w:rsidRPr="00BC1AFF">
        <w:t xml:space="preserve">managed IT </w:t>
      </w:r>
      <w:r w:rsidRPr="00BC1AFF">
        <w:t>Environments</w:t>
      </w:r>
      <w:r w:rsidR="002243D3" w:rsidRPr="00BC1AFF">
        <w:t xml:space="preserve"> and Components</w:t>
      </w:r>
      <w:r w:rsidRPr="00BC1AFF">
        <w:t xml:space="preserve">. </w:t>
      </w:r>
      <w:r w:rsidR="3A5B3F95" w:rsidRPr="00BC1AFF">
        <w:t>We</w:t>
      </w:r>
      <w:r w:rsidRPr="00BC1AFF">
        <w:t xml:space="preserve"> will provide current capacity and performance information, with recommendations, for </w:t>
      </w:r>
      <w:r w:rsidR="3A5B3F95" w:rsidRPr="00BC1AFF">
        <w:t>y</w:t>
      </w:r>
      <w:r w:rsidRPr="00BC1AFF">
        <w:t xml:space="preserve">our consideration of future business requirements on </w:t>
      </w:r>
      <w:r w:rsidR="00A74F37" w:rsidRPr="00BC1AFF">
        <w:t xml:space="preserve">the managed IT </w:t>
      </w:r>
      <w:r w:rsidRPr="00BC1AFF">
        <w:t>Environments</w:t>
      </w:r>
      <w:r w:rsidR="00A74F37" w:rsidRPr="00BC1AFF">
        <w:t xml:space="preserve"> and Components</w:t>
      </w:r>
      <w:r w:rsidRPr="00BC1AFF">
        <w:t>.</w:t>
      </w:r>
    </w:p>
    <w:p w14:paraId="0CD2473E" w14:textId="0322CEC2" w:rsidR="00B43F99" w:rsidRPr="00BC1AFF" w:rsidRDefault="353C3D22" w:rsidP="00C90281">
      <w:pPr>
        <w:pStyle w:val="Heading2"/>
      </w:pPr>
      <w:r w:rsidRPr="00BC1AFF">
        <w:t xml:space="preserve">Capacity </w:t>
      </w:r>
      <w:r w:rsidR="006073D3" w:rsidRPr="00BC1AFF">
        <w:t xml:space="preserve">and Performance </w:t>
      </w:r>
      <w:r w:rsidRPr="00BC1AFF">
        <w:t xml:space="preserve">Management is performed reactively within the Proactive Monitoring and Incident Management processes, and proactively under Capacity </w:t>
      </w:r>
      <w:r w:rsidR="006073D3" w:rsidRPr="00BC1AFF">
        <w:t xml:space="preserve">and Performance </w:t>
      </w:r>
      <w:r w:rsidRPr="00BC1AFF">
        <w:t>Management.</w:t>
      </w:r>
    </w:p>
    <w:p w14:paraId="7A03DE93" w14:textId="0A9D683E" w:rsidR="00B43F99" w:rsidRPr="00BC1AFF" w:rsidRDefault="1176FFEF" w:rsidP="00C90281">
      <w:pPr>
        <w:pStyle w:val="Heading2"/>
      </w:pPr>
      <w:bookmarkStart w:id="233" w:name="_Hlk18322322"/>
      <w:r w:rsidRPr="00BC1AFF">
        <w:t>We</w:t>
      </w:r>
      <w:r w:rsidR="353C3D22" w:rsidRPr="00BC1AFF">
        <w:t xml:space="preserve"> will </w:t>
      </w:r>
      <w:r w:rsidRPr="00BC1AFF">
        <w:t>implement</w:t>
      </w:r>
      <w:r w:rsidR="353C3D22" w:rsidRPr="00BC1AFF">
        <w:t xml:space="preserve"> proactive measures to improve the performance of services wherever cost-justifiable</w:t>
      </w:r>
      <w:r w:rsidR="005A3FDD" w:rsidRPr="00BC1AFF">
        <w:t xml:space="preserve"> and</w:t>
      </w:r>
      <w:r w:rsidR="353C3D22" w:rsidRPr="00BC1AFF">
        <w:t xml:space="preserve"> in consultation with </w:t>
      </w:r>
      <w:r w:rsidR="5D7B73D6" w:rsidRPr="00BC1AFF">
        <w:t>you</w:t>
      </w:r>
      <w:r w:rsidR="353C3D22" w:rsidRPr="00BC1AFF">
        <w:t>.</w:t>
      </w:r>
    </w:p>
    <w:p w14:paraId="017EB16E" w14:textId="3782CF44" w:rsidR="00B43F99" w:rsidRPr="00BC1AFF" w:rsidRDefault="5D7B73D6" w:rsidP="00C90281">
      <w:pPr>
        <w:pStyle w:val="Heading2"/>
      </w:pPr>
      <w:r w:rsidRPr="00BC1AFF">
        <w:t>We</w:t>
      </w:r>
      <w:r w:rsidR="353C3D22" w:rsidRPr="00BC1AFF">
        <w:t xml:space="preserve"> will provide Capacity </w:t>
      </w:r>
      <w:r w:rsidR="006073D3" w:rsidRPr="00BC1AFF">
        <w:t xml:space="preserve">and Performance </w:t>
      </w:r>
      <w:r w:rsidR="353C3D22" w:rsidRPr="00BC1AFF">
        <w:t xml:space="preserve">Management information as part of </w:t>
      </w:r>
      <w:r w:rsidR="0089533C" w:rsidRPr="00BC1AFF">
        <w:t>Reporting</w:t>
      </w:r>
      <w:r w:rsidR="005A3FDD" w:rsidRPr="00BC1AFF">
        <w:t>,</w:t>
      </w:r>
      <w:r w:rsidR="0089533C" w:rsidRPr="00BC1AFF">
        <w:t xml:space="preserve"> </w:t>
      </w:r>
      <w:r w:rsidR="353C3D22" w:rsidRPr="00BC1AFF">
        <w:t xml:space="preserve">or this will be managed under </w:t>
      </w:r>
      <w:r w:rsidR="00106072" w:rsidRPr="00BC1AFF">
        <w:t xml:space="preserve">the </w:t>
      </w:r>
      <w:r w:rsidR="353C3D22" w:rsidRPr="00BC1AFF">
        <w:t xml:space="preserve">Incident Management process if </w:t>
      </w:r>
      <w:r w:rsidR="00E13C5D" w:rsidRPr="00BC1AFF">
        <w:t xml:space="preserve">there is a material impact on </w:t>
      </w:r>
      <w:r w:rsidR="353C3D22" w:rsidRPr="00BC1AFF">
        <w:t>service.</w:t>
      </w:r>
    </w:p>
    <w:p w14:paraId="4E1CB42E" w14:textId="40E0DEA7" w:rsidR="00DF5166" w:rsidRPr="00BC1AFF" w:rsidRDefault="70C613D6" w:rsidP="00802292">
      <w:pPr>
        <w:pStyle w:val="Heading1"/>
      </w:pPr>
      <w:bookmarkStart w:id="234" w:name="_Toc115217362"/>
      <w:bookmarkStart w:id="235" w:name="_Toc137461072"/>
      <w:bookmarkStart w:id="236" w:name="_Toc138241440"/>
      <w:bookmarkStart w:id="237" w:name="_Toc160009037"/>
      <w:bookmarkEnd w:id="233"/>
      <w:r w:rsidRPr="00BC1AFF">
        <w:t>Service Level Management</w:t>
      </w:r>
      <w:bookmarkEnd w:id="234"/>
      <w:bookmarkEnd w:id="235"/>
      <w:bookmarkEnd w:id="236"/>
      <w:bookmarkEnd w:id="237"/>
    </w:p>
    <w:p w14:paraId="36BFD6E3" w14:textId="77777777" w:rsidR="00D8204E" w:rsidRPr="00BC1AFF" w:rsidRDefault="56EC2D65" w:rsidP="00C90281">
      <w:pPr>
        <w:pStyle w:val="Heading2"/>
      </w:pPr>
      <w:r w:rsidRPr="00BC1AFF">
        <w:t xml:space="preserve">Service Level Management maintains and improves service quality through monitoring, reporting and reviewing IT service achievements. </w:t>
      </w:r>
    </w:p>
    <w:p w14:paraId="6ED3A8DD" w14:textId="0F677879" w:rsidR="00D8204E" w:rsidRPr="00BC1AFF" w:rsidRDefault="56EC2D65" w:rsidP="00C90281">
      <w:pPr>
        <w:pStyle w:val="Heading2"/>
      </w:pPr>
      <w:r w:rsidRPr="00BC1AFF">
        <w:t>The following table outlines the S</w:t>
      </w:r>
      <w:r w:rsidR="1EDAC47C" w:rsidRPr="00BC1AFF">
        <w:t>ervice Level Targets</w:t>
      </w:r>
      <w:r w:rsidRPr="00BC1AFF">
        <w:t xml:space="preserve"> and performance indicators associated with Incident and Change </w:t>
      </w:r>
      <w:r w:rsidR="00574171" w:rsidRPr="00BC1AFF">
        <w:t xml:space="preserve">Enablement </w:t>
      </w:r>
      <w:r w:rsidRPr="00BC1AFF">
        <w:t xml:space="preserve">events associated with </w:t>
      </w:r>
      <w:r w:rsidR="00312857" w:rsidRPr="00BC1AFF">
        <w:t>the managed</w:t>
      </w:r>
      <w:r w:rsidR="665F44C9" w:rsidRPr="00BC1AFF">
        <w:t xml:space="preserve"> IT </w:t>
      </w:r>
      <w:r w:rsidR="43B2B9D3" w:rsidRPr="00BC1AFF">
        <w:t xml:space="preserve">Environments </w:t>
      </w:r>
      <w:r w:rsidR="00574171" w:rsidRPr="00BC1AFF">
        <w:t>and</w:t>
      </w:r>
      <w:r w:rsidR="43B2B9D3" w:rsidRPr="00BC1AFF">
        <w:t xml:space="preserve"> Components</w:t>
      </w:r>
      <w:r w:rsidRPr="00BC1AFF">
        <w:t>.</w:t>
      </w:r>
    </w:p>
    <w:tbl>
      <w:tblPr>
        <w:tblStyle w:val="VMTStandardTable"/>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7232"/>
      </w:tblGrid>
      <w:tr w:rsidR="00D8204E" w:rsidRPr="00BC1AFF" w14:paraId="2E97BAC1" w14:textId="77777777" w:rsidTr="00865B70">
        <w:trPr>
          <w:cnfStyle w:val="100000000000" w:firstRow="1" w:lastRow="0" w:firstColumn="0" w:lastColumn="0" w:oddVBand="0" w:evenVBand="0" w:oddHBand="0"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1135" w:type="pct"/>
            <w:shd w:val="clear" w:color="auto" w:fill="F2F2F2" w:themeFill="background1" w:themeFillShade="F2"/>
            <w:hideMark/>
          </w:tcPr>
          <w:p w14:paraId="490212B5" w14:textId="77777777" w:rsidR="00D8204E" w:rsidRPr="00BC1AFF" w:rsidRDefault="00D8204E" w:rsidP="00865B70">
            <w:pPr>
              <w:pStyle w:val="VMTTableCompact"/>
              <w:spacing w:before="120" w:after="120"/>
              <w:rPr>
                <w:rFonts w:ascii="Verdana" w:hAnsi="Verdana"/>
                <w:b/>
                <w:sz w:val="20"/>
              </w:rPr>
            </w:pPr>
            <w:bookmarkStart w:id="238" w:name="_Hlk66962400"/>
            <w:bookmarkStart w:id="239" w:name="_Hlk18318774"/>
            <w:r w:rsidRPr="00BC1AFF">
              <w:rPr>
                <w:rFonts w:ascii="Verdana" w:hAnsi="Verdana"/>
                <w:b/>
                <w:sz w:val="20"/>
              </w:rPr>
              <w:t>Category</w:t>
            </w:r>
          </w:p>
        </w:tc>
        <w:tc>
          <w:tcPr>
            <w:tcW w:w="3865" w:type="pct"/>
            <w:shd w:val="clear" w:color="auto" w:fill="F2F2F2" w:themeFill="background1" w:themeFillShade="F2"/>
            <w:hideMark/>
          </w:tcPr>
          <w:p w14:paraId="6F947D4C" w14:textId="77777777" w:rsidR="00D8204E" w:rsidRPr="00BC1AFF" w:rsidRDefault="00D8204E" w:rsidP="00865B70">
            <w:pPr>
              <w:pStyle w:val="VMTTableCompact"/>
              <w:spacing w:before="120" w:after="120"/>
              <w:cnfStyle w:val="100000000000" w:firstRow="1" w:lastRow="0" w:firstColumn="0" w:lastColumn="0" w:oddVBand="0" w:evenVBand="0" w:oddHBand="0" w:evenHBand="0" w:firstRowFirstColumn="0" w:firstRowLastColumn="0" w:lastRowFirstColumn="0" w:lastRowLastColumn="0"/>
              <w:rPr>
                <w:rFonts w:ascii="Verdana" w:hAnsi="Verdana"/>
                <w:b/>
                <w:sz w:val="20"/>
              </w:rPr>
            </w:pPr>
            <w:r w:rsidRPr="00BC1AFF">
              <w:rPr>
                <w:rFonts w:ascii="Verdana" w:hAnsi="Verdana"/>
                <w:b/>
                <w:sz w:val="20"/>
              </w:rPr>
              <w:t>Service Level Target</w:t>
            </w:r>
          </w:p>
        </w:tc>
      </w:tr>
      <w:tr w:rsidR="00D8204E" w:rsidRPr="00BC1AFF" w14:paraId="284C0E94" w14:textId="77777777" w:rsidTr="00865B7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5" w:type="pct"/>
            <w:shd w:val="clear" w:color="auto" w:fill="F2F2F2" w:themeFill="background1" w:themeFillShade="F2"/>
            <w:hideMark/>
          </w:tcPr>
          <w:p w14:paraId="0DE4588E" w14:textId="77777777" w:rsidR="00D8204E" w:rsidRPr="00BC1AFF" w:rsidRDefault="00D8204E" w:rsidP="00865B70">
            <w:pPr>
              <w:pStyle w:val="VMTTableCompact"/>
              <w:spacing w:before="120" w:after="120"/>
              <w:rPr>
                <w:rFonts w:ascii="Verdana" w:hAnsi="Verdana"/>
                <w:sz w:val="20"/>
              </w:rPr>
            </w:pPr>
            <w:r w:rsidRPr="00BC1AFF">
              <w:rPr>
                <w:rFonts w:ascii="Verdana" w:hAnsi="Verdana"/>
                <w:sz w:val="20"/>
              </w:rPr>
              <w:t>P1 Incidents</w:t>
            </w:r>
          </w:p>
        </w:tc>
        <w:tc>
          <w:tcPr>
            <w:tcW w:w="3865" w:type="pct"/>
            <w:shd w:val="clear" w:color="auto" w:fill="auto"/>
            <w:hideMark/>
          </w:tcPr>
          <w:p w14:paraId="0C25FC48" w14:textId="77777777" w:rsidR="00D8204E" w:rsidRPr="00BC1AFF" w:rsidRDefault="00D8204E" w:rsidP="00865B70">
            <w:pPr>
              <w:pStyle w:val="VMTTableCompact"/>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BC1AFF">
              <w:rPr>
                <w:rFonts w:ascii="Verdana" w:hAnsi="Verdana"/>
                <w:sz w:val="20"/>
              </w:rPr>
              <w:t>98% of incidents responded to within 15 minutes</w:t>
            </w:r>
          </w:p>
        </w:tc>
      </w:tr>
      <w:tr w:rsidR="00D8204E" w:rsidRPr="00BC1AFF" w14:paraId="6962A925" w14:textId="77777777" w:rsidTr="00865B70">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5" w:type="pct"/>
            <w:shd w:val="clear" w:color="auto" w:fill="F2F2F2" w:themeFill="background1" w:themeFillShade="F2"/>
            <w:hideMark/>
          </w:tcPr>
          <w:p w14:paraId="08D814FE" w14:textId="77777777" w:rsidR="00D8204E" w:rsidRPr="00BC1AFF" w:rsidRDefault="00D8204E" w:rsidP="00865B70">
            <w:pPr>
              <w:pStyle w:val="VMTTableCompact"/>
              <w:spacing w:before="120" w:after="120"/>
              <w:rPr>
                <w:rFonts w:ascii="Verdana" w:hAnsi="Verdana"/>
                <w:sz w:val="20"/>
              </w:rPr>
            </w:pPr>
            <w:r w:rsidRPr="00BC1AFF">
              <w:rPr>
                <w:rFonts w:ascii="Verdana" w:hAnsi="Verdana"/>
                <w:sz w:val="20"/>
              </w:rPr>
              <w:t>P2 Incidents</w:t>
            </w:r>
          </w:p>
        </w:tc>
        <w:tc>
          <w:tcPr>
            <w:tcW w:w="3865" w:type="pct"/>
            <w:shd w:val="clear" w:color="auto" w:fill="auto"/>
            <w:hideMark/>
          </w:tcPr>
          <w:p w14:paraId="64AA03DA" w14:textId="77777777" w:rsidR="00D8204E" w:rsidRPr="00BC1AFF" w:rsidRDefault="00D8204E" w:rsidP="00865B70">
            <w:pPr>
              <w:pStyle w:val="VMTTableCompact"/>
              <w:spacing w:before="120" w:after="120"/>
              <w:cnfStyle w:val="000000010000" w:firstRow="0" w:lastRow="0" w:firstColumn="0" w:lastColumn="0" w:oddVBand="0" w:evenVBand="0" w:oddHBand="0" w:evenHBand="1" w:firstRowFirstColumn="0" w:firstRowLastColumn="0" w:lastRowFirstColumn="0" w:lastRowLastColumn="0"/>
              <w:rPr>
                <w:rFonts w:ascii="Verdana" w:hAnsi="Verdana"/>
                <w:sz w:val="20"/>
              </w:rPr>
            </w:pPr>
            <w:r w:rsidRPr="00BC1AFF">
              <w:rPr>
                <w:rFonts w:ascii="Verdana" w:hAnsi="Verdana"/>
                <w:sz w:val="20"/>
              </w:rPr>
              <w:t>98% of incidents responded to within 30 minutes</w:t>
            </w:r>
          </w:p>
        </w:tc>
      </w:tr>
      <w:tr w:rsidR="00D8204E" w:rsidRPr="00BC1AFF" w14:paraId="37972343" w14:textId="77777777" w:rsidTr="00865B7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5" w:type="pct"/>
            <w:shd w:val="clear" w:color="auto" w:fill="F2F2F2" w:themeFill="background1" w:themeFillShade="F2"/>
          </w:tcPr>
          <w:p w14:paraId="08FFE050" w14:textId="77777777" w:rsidR="00D8204E" w:rsidRPr="00BC1AFF" w:rsidRDefault="00D8204E" w:rsidP="00865B70">
            <w:pPr>
              <w:pStyle w:val="VMTTableCompact"/>
              <w:spacing w:before="120" w:after="120"/>
              <w:rPr>
                <w:rFonts w:ascii="Verdana" w:hAnsi="Verdana"/>
                <w:sz w:val="20"/>
              </w:rPr>
            </w:pPr>
            <w:r w:rsidRPr="00BC1AFF">
              <w:rPr>
                <w:rFonts w:ascii="Verdana" w:hAnsi="Verdana"/>
                <w:sz w:val="20"/>
              </w:rPr>
              <w:t>P3 Incidents</w:t>
            </w:r>
          </w:p>
        </w:tc>
        <w:tc>
          <w:tcPr>
            <w:tcW w:w="3865" w:type="pct"/>
            <w:shd w:val="clear" w:color="auto" w:fill="auto"/>
          </w:tcPr>
          <w:p w14:paraId="5B4D17CE" w14:textId="77777777" w:rsidR="00D8204E" w:rsidRPr="00BC1AFF" w:rsidRDefault="00D8204E" w:rsidP="00865B70">
            <w:pPr>
              <w:pStyle w:val="VMTTableCompact"/>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BC1AFF">
              <w:rPr>
                <w:rFonts w:ascii="Verdana" w:hAnsi="Verdana"/>
                <w:sz w:val="20"/>
              </w:rPr>
              <w:t>98% of Incidents responded to within 4 hours during Business Hours</w:t>
            </w:r>
          </w:p>
        </w:tc>
      </w:tr>
      <w:bookmarkEnd w:id="238"/>
      <w:tr w:rsidR="00D8204E" w:rsidRPr="00BC1AFF" w14:paraId="7517F027" w14:textId="77777777" w:rsidTr="00865B70">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5" w:type="pct"/>
            <w:shd w:val="clear" w:color="auto" w:fill="F2F2F2" w:themeFill="background1" w:themeFillShade="F2"/>
          </w:tcPr>
          <w:p w14:paraId="3C308A9F" w14:textId="77777777" w:rsidR="00D8204E" w:rsidRPr="00BC1AFF" w:rsidRDefault="00D8204E" w:rsidP="00865B70">
            <w:pPr>
              <w:pStyle w:val="VMTTableCompact"/>
              <w:spacing w:before="120" w:after="120"/>
              <w:rPr>
                <w:rFonts w:ascii="Verdana" w:hAnsi="Verdana"/>
                <w:sz w:val="20"/>
              </w:rPr>
            </w:pPr>
            <w:r w:rsidRPr="00BC1AFF">
              <w:rPr>
                <w:rFonts w:ascii="Verdana" w:hAnsi="Verdana"/>
                <w:sz w:val="20"/>
              </w:rPr>
              <w:t>P4 Incidents</w:t>
            </w:r>
          </w:p>
        </w:tc>
        <w:tc>
          <w:tcPr>
            <w:tcW w:w="3865" w:type="pct"/>
            <w:shd w:val="clear" w:color="auto" w:fill="auto"/>
          </w:tcPr>
          <w:p w14:paraId="2D42C1F7" w14:textId="77777777" w:rsidR="00D8204E" w:rsidRPr="00BC1AFF" w:rsidRDefault="00D8204E" w:rsidP="00865B70">
            <w:pPr>
              <w:pStyle w:val="VMTTableCompact"/>
              <w:spacing w:before="120" w:after="120"/>
              <w:cnfStyle w:val="000000010000" w:firstRow="0" w:lastRow="0" w:firstColumn="0" w:lastColumn="0" w:oddVBand="0" w:evenVBand="0" w:oddHBand="0" w:evenHBand="1" w:firstRowFirstColumn="0" w:firstRowLastColumn="0" w:lastRowFirstColumn="0" w:lastRowLastColumn="0"/>
              <w:rPr>
                <w:rFonts w:ascii="Verdana" w:hAnsi="Verdana"/>
                <w:sz w:val="20"/>
              </w:rPr>
            </w:pPr>
            <w:r w:rsidRPr="00BC1AFF">
              <w:rPr>
                <w:rFonts w:ascii="Verdana" w:hAnsi="Verdana"/>
                <w:sz w:val="20"/>
              </w:rPr>
              <w:t>98% of Incidents responded to within 8 Business Hours</w:t>
            </w:r>
          </w:p>
        </w:tc>
      </w:tr>
      <w:tr w:rsidR="00D8204E" w:rsidRPr="00BC1AFF" w14:paraId="6F508423" w14:textId="77777777" w:rsidTr="00865B70">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5" w:type="pct"/>
            <w:shd w:val="clear" w:color="auto" w:fill="F2F2F2" w:themeFill="background1" w:themeFillShade="F2"/>
            <w:hideMark/>
          </w:tcPr>
          <w:p w14:paraId="3264F6B0" w14:textId="77777777" w:rsidR="00D8204E" w:rsidRPr="00BC1AFF" w:rsidRDefault="00D8204E" w:rsidP="00865B70">
            <w:pPr>
              <w:pStyle w:val="VMTTableCompact"/>
              <w:spacing w:before="120" w:after="120"/>
              <w:rPr>
                <w:rFonts w:ascii="Verdana" w:hAnsi="Verdana"/>
                <w:sz w:val="20"/>
              </w:rPr>
            </w:pPr>
            <w:r w:rsidRPr="00BC1AFF">
              <w:rPr>
                <w:rFonts w:ascii="Verdana" w:hAnsi="Verdana"/>
                <w:sz w:val="20"/>
              </w:rPr>
              <w:t>Normal Change</w:t>
            </w:r>
          </w:p>
        </w:tc>
        <w:tc>
          <w:tcPr>
            <w:tcW w:w="3865" w:type="pct"/>
            <w:shd w:val="clear" w:color="auto" w:fill="auto"/>
            <w:hideMark/>
          </w:tcPr>
          <w:p w14:paraId="665894C7" w14:textId="32285143" w:rsidR="00D8204E" w:rsidRPr="00BC1AFF" w:rsidRDefault="00D8204E" w:rsidP="00865B70">
            <w:pPr>
              <w:pStyle w:val="VMTTableCompact"/>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0"/>
              </w:rPr>
            </w:pPr>
            <w:r w:rsidRPr="00BC1AFF">
              <w:rPr>
                <w:rFonts w:ascii="Verdana" w:hAnsi="Verdana"/>
                <w:sz w:val="20"/>
              </w:rPr>
              <w:t>100% of Changes completed within CAB approved timeslot*</w:t>
            </w:r>
          </w:p>
        </w:tc>
      </w:tr>
      <w:tr w:rsidR="00D8204E" w:rsidRPr="00BC1AFF" w14:paraId="4EFA8259" w14:textId="77777777" w:rsidTr="00865B70">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135" w:type="pct"/>
            <w:shd w:val="clear" w:color="auto" w:fill="F2F2F2" w:themeFill="background1" w:themeFillShade="F2"/>
            <w:hideMark/>
          </w:tcPr>
          <w:p w14:paraId="7EEA177D" w14:textId="77777777" w:rsidR="00D8204E" w:rsidRPr="00BC1AFF" w:rsidRDefault="00D8204E" w:rsidP="00865B70">
            <w:pPr>
              <w:pStyle w:val="VMTTableCompact"/>
              <w:spacing w:before="120" w:after="120"/>
              <w:rPr>
                <w:rFonts w:ascii="Verdana" w:hAnsi="Verdana"/>
                <w:sz w:val="20"/>
              </w:rPr>
            </w:pPr>
            <w:r w:rsidRPr="00BC1AFF">
              <w:rPr>
                <w:rFonts w:ascii="Verdana" w:hAnsi="Verdana"/>
                <w:sz w:val="20"/>
              </w:rPr>
              <w:t>Standard Change</w:t>
            </w:r>
          </w:p>
        </w:tc>
        <w:tc>
          <w:tcPr>
            <w:tcW w:w="3865" w:type="pct"/>
            <w:shd w:val="clear" w:color="auto" w:fill="auto"/>
            <w:hideMark/>
          </w:tcPr>
          <w:p w14:paraId="75942273" w14:textId="77777777" w:rsidR="00D8204E" w:rsidRPr="00BC1AFF" w:rsidRDefault="00D8204E" w:rsidP="00865B70">
            <w:pPr>
              <w:pStyle w:val="VMTTableCompact"/>
              <w:spacing w:before="120" w:after="120"/>
              <w:cnfStyle w:val="000000010000" w:firstRow="0" w:lastRow="0" w:firstColumn="0" w:lastColumn="0" w:oddVBand="0" w:evenVBand="0" w:oddHBand="0" w:evenHBand="1" w:firstRowFirstColumn="0" w:firstRowLastColumn="0" w:lastRowFirstColumn="0" w:lastRowLastColumn="0"/>
              <w:rPr>
                <w:rFonts w:ascii="Verdana" w:hAnsi="Verdana"/>
                <w:sz w:val="20"/>
              </w:rPr>
            </w:pPr>
            <w:r w:rsidRPr="00BC1AFF">
              <w:rPr>
                <w:rFonts w:ascii="Verdana" w:hAnsi="Verdana"/>
                <w:sz w:val="20"/>
              </w:rPr>
              <w:t>100% of Changes completed within approved timeslot*</w:t>
            </w:r>
          </w:p>
        </w:tc>
      </w:tr>
    </w:tbl>
    <w:p w14:paraId="4A861E77" w14:textId="1517BF84" w:rsidR="00D8204E" w:rsidRPr="00BC1AFF" w:rsidRDefault="56EC2D65" w:rsidP="00865B70">
      <w:pPr>
        <w:pStyle w:val="ListParagraph"/>
        <w:spacing w:before="120" w:after="120" w:line="264" w:lineRule="auto"/>
        <w:ind w:left="709"/>
        <w:jc w:val="both"/>
        <w:rPr>
          <w:rFonts w:cs="Arial"/>
          <w:i/>
          <w:iCs/>
        </w:rPr>
      </w:pPr>
      <w:bookmarkStart w:id="240" w:name="_Toc450252287"/>
      <w:bookmarkStart w:id="241" w:name="_Toc451520064"/>
      <w:bookmarkStart w:id="242" w:name="_Ref469851524"/>
      <w:bookmarkEnd w:id="239"/>
      <w:r w:rsidRPr="00BC1AFF">
        <w:rPr>
          <w:rFonts w:cs="Arial"/>
          <w:b/>
          <w:bCs/>
          <w:i/>
          <w:iCs/>
        </w:rPr>
        <w:t>*</w:t>
      </w:r>
      <w:r w:rsidRPr="00BC1AFF">
        <w:rPr>
          <w:rFonts w:cs="Arial"/>
          <w:i/>
          <w:iCs/>
        </w:rPr>
        <w:t xml:space="preserve"> Completion of a </w:t>
      </w:r>
      <w:r w:rsidR="6FFC1E98" w:rsidRPr="00BC1AFF">
        <w:rPr>
          <w:rFonts w:cs="Arial"/>
          <w:i/>
          <w:iCs/>
        </w:rPr>
        <w:t>C</w:t>
      </w:r>
      <w:r w:rsidRPr="00BC1AFF">
        <w:rPr>
          <w:rFonts w:cs="Arial"/>
          <w:i/>
          <w:iCs/>
        </w:rPr>
        <w:t xml:space="preserve">hange does not indicate success or failure. A failed </w:t>
      </w:r>
      <w:r w:rsidR="6FFC1E98" w:rsidRPr="00BC1AFF">
        <w:rPr>
          <w:rFonts w:cs="Arial"/>
          <w:i/>
          <w:iCs/>
        </w:rPr>
        <w:t>C</w:t>
      </w:r>
      <w:r w:rsidRPr="00BC1AFF">
        <w:rPr>
          <w:rFonts w:cs="Arial"/>
          <w:i/>
          <w:iCs/>
        </w:rPr>
        <w:t xml:space="preserve">hange must be rolled back within the allocated timeslot as per approved rollback plan unless otherwise agreed with </w:t>
      </w:r>
      <w:r w:rsidR="00EF5EB5" w:rsidRPr="00BC1AFF">
        <w:rPr>
          <w:rFonts w:cs="Arial"/>
          <w:i/>
          <w:iCs/>
        </w:rPr>
        <w:t>you</w:t>
      </w:r>
      <w:r w:rsidRPr="00BC1AFF">
        <w:rPr>
          <w:rFonts w:cs="Arial"/>
          <w:i/>
          <w:iCs/>
        </w:rPr>
        <w:t>.</w:t>
      </w:r>
    </w:p>
    <w:bookmarkEnd w:id="240"/>
    <w:bookmarkEnd w:id="241"/>
    <w:bookmarkEnd w:id="242"/>
    <w:p w14:paraId="164B9645" w14:textId="796ACF21" w:rsidR="00D8204E" w:rsidRPr="00BC1AFF" w:rsidRDefault="56EC2D65" w:rsidP="00C90281">
      <w:pPr>
        <w:pStyle w:val="Heading2"/>
      </w:pPr>
      <w:r w:rsidRPr="00BC1AFF">
        <w:t xml:space="preserve">The Incident response service level target (or “incidents responded to” in table above) measures the time interval between the </w:t>
      </w:r>
      <w:r w:rsidR="00E13C5D" w:rsidRPr="00BC1AFF">
        <w:t xml:space="preserve">notification </w:t>
      </w:r>
      <w:r w:rsidRPr="00BC1AFF">
        <w:t xml:space="preserve">of an incident either from </w:t>
      </w:r>
      <w:r w:rsidR="00CD4682" w:rsidRPr="00BC1AFF">
        <w:t>y</w:t>
      </w:r>
      <w:r w:rsidRPr="00BC1AFF">
        <w:t xml:space="preserve">our notification by phone, an automated proactive alert, or manual discovery is </w:t>
      </w:r>
      <w:r w:rsidR="00690693" w:rsidRPr="00BC1AFF">
        <w:t>identified</w:t>
      </w:r>
      <w:r w:rsidR="00DC41B2" w:rsidRPr="00BC1AFF">
        <w:t xml:space="preserve"> by </w:t>
      </w:r>
      <w:r w:rsidR="00770E24" w:rsidRPr="00BC1AFF">
        <w:t>the</w:t>
      </w:r>
      <w:r w:rsidR="00EF5EB5" w:rsidRPr="00BC1AFF">
        <w:t xml:space="preserve"> </w:t>
      </w:r>
      <w:r w:rsidR="00C75ACF" w:rsidRPr="00BC1AFF">
        <w:t xml:space="preserve">Managed Services </w:t>
      </w:r>
      <w:r w:rsidR="00E13C5D" w:rsidRPr="00BC1AFF">
        <w:t>T</w:t>
      </w:r>
      <w:r w:rsidR="00C75ACF" w:rsidRPr="00BC1AFF">
        <w:t>eam</w:t>
      </w:r>
      <w:r w:rsidRPr="00BC1AFF">
        <w:t>, and the time taken to issue a service ticket acknowledging the issue.</w:t>
      </w:r>
    </w:p>
    <w:p w14:paraId="6CD0A324" w14:textId="77777777" w:rsidR="00D8204E" w:rsidRPr="00BC1AFF" w:rsidRDefault="56EC2D65" w:rsidP="4DD98697">
      <w:pPr>
        <w:pStyle w:val="SubHead"/>
      </w:pPr>
      <w:bookmarkStart w:id="243" w:name="_Toc115217363"/>
      <w:bookmarkStart w:id="244" w:name="_Toc137461073"/>
      <w:bookmarkStart w:id="245" w:name="_Toc138241441"/>
      <w:bookmarkStart w:id="246" w:name="_Toc160009038"/>
      <w:r w:rsidRPr="00BC1AFF">
        <w:lastRenderedPageBreak/>
        <w:t>Service Level Commencement, Reporting and Application</w:t>
      </w:r>
      <w:bookmarkEnd w:id="243"/>
      <w:bookmarkEnd w:id="244"/>
      <w:bookmarkEnd w:id="245"/>
      <w:bookmarkEnd w:id="246"/>
    </w:p>
    <w:p w14:paraId="1B0F8043" w14:textId="688DAF12" w:rsidR="00D8204E" w:rsidRPr="00BC1AFF" w:rsidRDefault="56EC2D65" w:rsidP="00C90281">
      <w:pPr>
        <w:pStyle w:val="Heading2"/>
      </w:pPr>
      <w:bookmarkStart w:id="247" w:name="_Ref469851517"/>
      <w:r w:rsidRPr="00BC1AFF">
        <w:t xml:space="preserve">Service Levels will commence the date </w:t>
      </w:r>
      <w:r w:rsidR="6E62620B" w:rsidRPr="00BC1AFF">
        <w:t>w</w:t>
      </w:r>
      <w:r w:rsidRPr="00BC1AFF">
        <w:t xml:space="preserve">e commence monitoring each </w:t>
      </w:r>
      <w:r w:rsidR="7F3D1CF8" w:rsidRPr="00BC1AFF">
        <w:t>IT Environment</w:t>
      </w:r>
      <w:r w:rsidR="00E13C5D" w:rsidRPr="00BC1AFF">
        <w:t>s</w:t>
      </w:r>
      <w:r w:rsidR="7F3D1CF8" w:rsidRPr="00BC1AFF">
        <w:t xml:space="preserve"> or Component</w:t>
      </w:r>
      <w:r w:rsidR="00E13C5D" w:rsidRPr="00BC1AFF">
        <w:t>s</w:t>
      </w:r>
      <w:r w:rsidRPr="00BC1AFF">
        <w:t xml:space="preserve"> using Proactive Monitoring. </w:t>
      </w:r>
    </w:p>
    <w:bookmarkEnd w:id="247"/>
    <w:p w14:paraId="3CB83845" w14:textId="77777777" w:rsidR="00D8204E" w:rsidRPr="00BC1AFF" w:rsidRDefault="56EC2D65" w:rsidP="00C90281">
      <w:pPr>
        <w:pStyle w:val="Heading2"/>
      </w:pPr>
      <w:r w:rsidRPr="00BC1AFF">
        <w:t>Service Level reporting will commence from the first of the month subsequent to commencement of service levels and delivered on or around the second Thursday of the following month.</w:t>
      </w:r>
    </w:p>
    <w:p w14:paraId="0253962C" w14:textId="77777777" w:rsidR="00D8204E" w:rsidRPr="00BC1AFF" w:rsidRDefault="56EC2D65" w:rsidP="4DD98697">
      <w:pPr>
        <w:pStyle w:val="SubHead"/>
      </w:pPr>
      <w:bookmarkStart w:id="248" w:name="_Toc450252288"/>
      <w:bookmarkStart w:id="249" w:name="_Toc451520065"/>
      <w:bookmarkStart w:id="250" w:name="_Toc115217364"/>
      <w:bookmarkStart w:id="251" w:name="_Toc137461074"/>
      <w:bookmarkStart w:id="252" w:name="_Toc138241442"/>
      <w:bookmarkStart w:id="253" w:name="_Toc160009039"/>
      <w:r w:rsidRPr="00BC1AFF">
        <w:t>Service Level Exclusions</w:t>
      </w:r>
      <w:bookmarkEnd w:id="248"/>
      <w:bookmarkEnd w:id="249"/>
      <w:bookmarkEnd w:id="250"/>
      <w:bookmarkEnd w:id="251"/>
      <w:bookmarkEnd w:id="252"/>
      <w:bookmarkEnd w:id="253"/>
    </w:p>
    <w:p w14:paraId="5BB4C710" w14:textId="1EF4AC55" w:rsidR="00D8204E" w:rsidRPr="00BC1AFF" w:rsidRDefault="56EC2D65" w:rsidP="00C90281">
      <w:pPr>
        <w:pStyle w:val="Heading2"/>
      </w:pPr>
      <w:r w:rsidRPr="00BC1AFF">
        <w:t xml:space="preserve">Unless otherwise agreed in writing, </w:t>
      </w:r>
      <w:r w:rsidR="375BA2F5" w:rsidRPr="00BC1AFF">
        <w:t>we</w:t>
      </w:r>
      <w:r w:rsidRPr="00BC1AFF">
        <w:t xml:space="preserve"> are not responsible for a failure to meet a Service Level to the extent that </w:t>
      </w:r>
      <w:r w:rsidR="375BA2F5" w:rsidRPr="00BC1AFF">
        <w:t xml:space="preserve">you </w:t>
      </w:r>
      <w:r w:rsidRPr="00BC1AFF">
        <w:t>cause the failure as a result of:</w:t>
      </w:r>
    </w:p>
    <w:p w14:paraId="414589AE" w14:textId="2742A1AF" w:rsidR="00D8204E" w:rsidRPr="00BC1AFF" w:rsidRDefault="56EC2D65" w:rsidP="4DD98697">
      <w:pPr>
        <w:pStyle w:val="Heading3"/>
      </w:pPr>
      <w:r w:rsidRPr="00BC1AFF">
        <w:t xml:space="preserve">a breach of </w:t>
      </w:r>
      <w:r w:rsidR="375BA2F5" w:rsidRPr="00BC1AFF">
        <w:t xml:space="preserve">your </w:t>
      </w:r>
      <w:r w:rsidRPr="00BC1AFF">
        <w:t xml:space="preserve">obligations under </w:t>
      </w:r>
      <w:r w:rsidR="00E13C5D" w:rsidRPr="00BC1AFF">
        <w:t>these terms or the terms of an Order</w:t>
      </w:r>
      <w:r w:rsidRPr="00BC1AFF">
        <w:t>,</w:t>
      </w:r>
    </w:p>
    <w:p w14:paraId="23BFB307" w14:textId="53644B29" w:rsidR="00D8204E" w:rsidRPr="00BC1AFF" w:rsidRDefault="56EC2D65" w:rsidP="4DD98697">
      <w:pPr>
        <w:pStyle w:val="Heading3"/>
      </w:pPr>
      <w:r w:rsidRPr="00BC1AFF">
        <w:t>misconfiguring a platform which directly impacts the</w:t>
      </w:r>
      <w:r w:rsidR="00EA6C95" w:rsidRPr="00BC1AFF">
        <w:t xml:space="preserve"> managed IT Environments and Components</w:t>
      </w:r>
    </w:p>
    <w:p w14:paraId="0C43CCB7" w14:textId="77777777" w:rsidR="00D8204E" w:rsidRPr="00BC1AFF" w:rsidRDefault="56EC2D65" w:rsidP="4DD98697">
      <w:pPr>
        <w:pStyle w:val="Heading3"/>
      </w:pPr>
      <w:r w:rsidRPr="00BC1AFF">
        <w:t>causing a catastrophic equipment failure due to an undocumented bug introduced on an application or IT system,</w:t>
      </w:r>
    </w:p>
    <w:p w14:paraId="201152A9" w14:textId="77777777" w:rsidR="00D8204E" w:rsidRPr="00BC1AFF" w:rsidRDefault="56EC2D65" w:rsidP="4DD98697">
      <w:pPr>
        <w:pStyle w:val="Heading3"/>
      </w:pPr>
      <w:r w:rsidRPr="00BC1AFF">
        <w:t>negligent acts or omissions,</w:t>
      </w:r>
    </w:p>
    <w:p w14:paraId="539CF07D" w14:textId="7DAE17A0" w:rsidR="00D8204E" w:rsidRPr="00BC1AFF" w:rsidRDefault="56EC2D65" w:rsidP="4DD98697">
      <w:pPr>
        <w:pStyle w:val="Heading3"/>
      </w:pPr>
      <w:r w:rsidRPr="00BC1AFF">
        <w:t xml:space="preserve">implementing changes which directly impacts the </w:t>
      </w:r>
      <w:r w:rsidR="001571C9" w:rsidRPr="00BC1AFF">
        <w:t>managed IT Environments and Components</w:t>
      </w:r>
      <w:r w:rsidRPr="00BC1AFF">
        <w:t xml:space="preserve">, </w:t>
      </w:r>
    </w:p>
    <w:p w14:paraId="46C2D61C" w14:textId="0F6046A0" w:rsidR="00D8204E" w:rsidRPr="00BC1AFF" w:rsidRDefault="56EC2D65" w:rsidP="4DD98697">
      <w:pPr>
        <w:pStyle w:val="Heading3"/>
      </w:pPr>
      <w:r w:rsidRPr="00BC1AFF">
        <w:t xml:space="preserve">failing to follow </w:t>
      </w:r>
      <w:r w:rsidR="49198230" w:rsidRPr="00BC1AFF">
        <w:t>our</w:t>
      </w:r>
      <w:r w:rsidRPr="00BC1AFF">
        <w:t xml:space="preserve"> reasonable directions which directly impacts the </w:t>
      </w:r>
      <w:r w:rsidR="001571C9" w:rsidRPr="00BC1AFF">
        <w:t>managed IT Environments and Components</w:t>
      </w:r>
      <w:r w:rsidR="00353E02" w:rsidRPr="00BC1AFF">
        <w:rPr>
          <w:strike/>
        </w:rPr>
        <w:t>,</w:t>
      </w:r>
    </w:p>
    <w:p w14:paraId="3B9CBCD3" w14:textId="629F9E69" w:rsidR="00D8204E" w:rsidRPr="00BC1AFF" w:rsidRDefault="56EC2D65" w:rsidP="4DD98697">
      <w:pPr>
        <w:pStyle w:val="Heading3"/>
      </w:pPr>
      <w:r w:rsidRPr="00BC1AFF">
        <w:t xml:space="preserve">not providing </w:t>
      </w:r>
      <w:r w:rsidR="49198230" w:rsidRPr="00BC1AFF">
        <w:t>us</w:t>
      </w:r>
      <w:r w:rsidRPr="00BC1AFF">
        <w:t xml:space="preserve"> with full and accurate information detailing any requests or relating to any Incidents reported to </w:t>
      </w:r>
      <w:r w:rsidR="4F8CEA29" w:rsidRPr="00BC1AFF">
        <w:t>us</w:t>
      </w:r>
      <w:r w:rsidRPr="00BC1AFF">
        <w:t>; or</w:t>
      </w:r>
    </w:p>
    <w:p w14:paraId="0704BD87" w14:textId="21EE1539" w:rsidR="00D8204E" w:rsidRPr="00BC1AFF" w:rsidRDefault="56EC2D65" w:rsidP="4DD98697">
      <w:pPr>
        <w:pStyle w:val="Heading3"/>
      </w:pPr>
      <w:r w:rsidRPr="00BC1AFF">
        <w:t xml:space="preserve">failing to comply with a request from </w:t>
      </w:r>
      <w:r w:rsidR="4F8CEA29" w:rsidRPr="00BC1AFF">
        <w:t>us</w:t>
      </w:r>
      <w:r w:rsidRPr="00BC1AFF">
        <w:t xml:space="preserve"> to maintain sufficient capacity or performance levels including but not limited to:</w:t>
      </w:r>
      <w:r w:rsidR="00D8204E" w:rsidRPr="00BC1AFF">
        <w:tab/>
      </w:r>
    </w:p>
    <w:p w14:paraId="5BE79379" w14:textId="77777777" w:rsidR="00D8204E" w:rsidRPr="00BC1AFF" w:rsidRDefault="56EC2D65" w:rsidP="005A483F">
      <w:pPr>
        <w:pStyle w:val="Heading4"/>
      </w:pPr>
      <w:r w:rsidRPr="00BC1AFF">
        <w:t>sufficient storage capacity for virtual disks,</w:t>
      </w:r>
    </w:p>
    <w:p w14:paraId="5E1161F8" w14:textId="77777777" w:rsidR="00D8204E" w:rsidRPr="00BC1AFF" w:rsidRDefault="56EC2D65" w:rsidP="005A483F">
      <w:pPr>
        <w:pStyle w:val="Heading4"/>
      </w:pPr>
      <w:r w:rsidRPr="00BC1AFF">
        <w:t>network bandwidth,</w:t>
      </w:r>
    </w:p>
    <w:p w14:paraId="5BE85F34" w14:textId="77777777" w:rsidR="00D8204E" w:rsidRPr="00BC1AFF" w:rsidRDefault="56EC2D65" w:rsidP="005A483F">
      <w:pPr>
        <w:pStyle w:val="Heading4"/>
      </w:pPr>
      <w:r w:rsidRPr="00BC1AFF">
        <w:t>compute capacity; or</w:t>
      </w:r>
    </w:p>
    <w:p w14:paraId="7C992E3F" w14:textId="2A29614C" w:rsidR="00D8204E" w:rsidRPr="00BC1AFF" w:rsidRDefault="56EC2D65" w:rsidP="005A483F">
      <w:pPr>
        <w:pStyle w:val="Heading4"/>
      </w:pPr>
      <w:r w:rsidRPr="00BC1AFF">
        <w:t xml:space="preserve">such failure which directly impacts the </w:t>
      </w:r>
      <w:r w:rsidR="0066745C" w:rsidRPr="00BC1AFF">
        <w:t>managed IT Environments and Components</w:t>
      </w:r>
      <w:r w:rsidRPr="00BC1AFF">
        <w:t>.</w:t>
      </w:r>
    </w:p>
    <w:p w14:paraId="1B90175B" w14:textId="025D8C9F" w:rsidR="00D8204E" w:rsidRPr="00BC1AFF" w:rsidRDefault="56EC2D65" w:rsidP="00C90281">
      <w:pPr>
        <w:pStyle w:val="Heading2"/>
      </w:pPr>
      <w:r w:rsidRPr="00BC1AFF">
        <w:t xml:space="preserve">Unless otherwise agreed in writing, </w:t>
      </w:r>
      <w:r w:rsidR="6828B8B8" w:rsidRPr="00BC1AFF">
        <w:t>we</w:t>
      </w:r>
      <w:r w:rsidRPr="00BC1AFF">
        <w:t xml:space="preserve"> are not responsible for a failure to meet a Service Level due to:</w:t>
      </w:r>
    </w:p>
    <w:p w14:paraId="01DCCA44" w14:textId="63CC7D45" w:rsidR="00D8204E" w:rsidRPr="00BC1AFF" w:rsidRDefault="56EC2D65" w:rsidP="4DD98697">
      <w:pPr>
        <w:pStyle w:val="Heading3"/>
      </w:pPr>
      <w:r w:rsidRPr="00BC1AFF">
        <w:t>a failure caused by a third party</w:t>
      </w:r>
      <w:r w:rsidR="00CE165E">
        <w:t xml:space="preserve"> (other than our contractors)</w:t>
      </w:r>
      <w:r w:rsidRPr="00BC1AFF">
        <w:t>;</w:t>
      </w:r>
    </w:p>
    <w:p w14:paraId="0E483BC4" w14:textId="04CF13BF" w:rsidR="00D8204E" w:rsidRPr="00BC1AFF" w:rsidRDefault="56EC2D65" w:rsidP="4DD98697">
      <w:pPr>
        <w:pStyle w:val="Heading3"/>
      </w:pPr>
      <w:r w:rsidRPr="00BC1AFF">
        <w:t xml:space="preserve">limitations of </w:t>
      </w:r>
      <w:r w:rsidR="6828B8B8" w:rsidRPr="00BC1AFF">
        <w:t>y</w:t>
      </w:r>
      <w:r w:rsidRPr="00BC1AFF">
        <w:t>our Vendor or third-party support agreement;</w:t>
      </w:r>
    </w:p>
    <w:p w14:paraId="0429965E" w14:textId="61568601" w:rsidR="00D8204E" w:rsidRPr="00BC1AFF" w:rsidRDefault="00BB323C" w:rsidP="4DD98697">
      <w:pPr>
        <w:pStyle w:val="Heading3"/>
      </w:pPr>
      <w:r w:rsidRPr="00BC1AFF">
        <w:t>circumstances outside of our reasonable control</w:t>
      </w:r>
      <w:r w:rsidR="56EC2D65" w:rsidRPr="00BC1AFF">
        <w:t>; or</w:t>
      </w:r>
    </w:p>
    <w:p w14:paraId="4A7A3531" w14:textId="797CD8CA" w:rsidR="00D8204E" w:rsidRPr="00BC1AFF" w:rsidRDefault="56EC2D65" w:rsidP="4DD98697">
      <w:pPr>
        <w:pStyle w:val="Heading3"/>
      </w:pPr>
      <w:r w:rsidRPr="00BC1AFF">
        <w:lastRenderedPageBreak/>
        <w:t>any third-party software or equipment used, operated or interfaced with</w:t>
      </w:r>
      <w:r w:rsidR="7E60B4A4" w:rsidRPr="00BC1AFF">
        <w:t xml:space="preserve"> your IT Environment</w:t>
      </w:r>
      <w:r w:rsidR="00D560F5" w:rsidRPr="00BC1AFF">
        <w:t>s</w:t>
      </w:r>
      <w:r w:rsidR="7E60B4A4" w:rsidRPr="00BC1AFF">
        <w:t xml:space="preserve"> </w:t>
      </w:r>
      <w:r w:rsidR="00D90DA6" w:rsidRPr="00BC1AFF">
        <w:t>and</w:t>
      </w:r>
      <w:r w:rsidR="7E60B4A4" w:rsidRPr="00BC1AFF">
        <w:t xml:space="preserve"> Components </w:t>
      </w:r>
      <w:r w:rsidRPr="00BC1AFF">
        <w:t xml:space="preserve">not provided by </w:t>
      </w:r>
      <w:r w:rsidR="00D90DA6" w:rsidRPr="00BC1AFF">
        <w:t>us</w:t>
      </w:r>
      <w:r w:rsidRPr="00BC1AFF">
        <w:t>.</w:t>
      </w:r>
    </w:p>
    <w:p w14:paraId="4D57769C" w14:textId="13DDDFAE" w:rsidR="00D8204E" w:rsidRPr="00BC1AFF" w:rsidRDefault="79745850" w:rsidP="00C90281">
      <w:pPr>
        <w:pStyle w:val="Heading2"/>
      </w:pPr>
      <w:r w:rsidRPr="00BC1AFF">
        <w:t>We</w:t>
      </w:r>
      <w:r w:rsidR="56EC2D65" w:rsidRPr="00BC1AFF">
        <w:t xml:space="preserve"> may not carry out all requests or rectify all Incidents as part of the Service Levels and may charge </w:t>
      </w:r>
      <w:r w:rsidRPr="00BC1AFF">
        <w:t>you for our</w:t>
      </w:r>
      <w:r w:rsidR="56EC2D65" w:rsidRPr="00BC1AFF">
        <w:t xml:space="preserve"> reasonable costs incurred in identifying, examining and rectifying any of the following Incidents caused by </w:t>
      </w:r>
      <w:r w:rsidR="000D4EB8" w:rsidRPr="00BC1AFF">
        <w:t>y</w:t>
      </w:r>
      <w:r w:rsidR="56EC2D65" w:rsidRPr="00BC1AFF">
        <w:t xml:space="preserve">ou or any other party that are not </w:t>
      </w:r>
      <w:r w:rsidRPr="00BC1AFF">
        <w:t>our</w:t>
      </w:r>
      <w:r w:rsidR="56EC2D65" w:rsidRPr="00BC1AFF">
        <w:t xml:space="preserve"> responsibility:</w:t>
      </w:r>
    </w:p>
    <w:p w14:paraId="2F6E2866" w14:textId="715D0F49" w:rsidR="00D8204E" w:rsidRPr="00BC1AFF" w:rsidRDefault="56EC2D65" w:rsidP="4DD98697">
      <w:pPr>
        <w:pStyle w:val="Heading3"/>
      </w:pPr>
      <w:r w:rsidRPr="00BC1AFF">
        <w:t xml:space="preserve">where there is a breach </w:t>
      </w:r>
      <w:r w:rsidR="00CE165E">
        <w:t xml:space="preserve">by you </w:t>
      </w:r>
      <w:r w:rsidRPr="00BC1AFF">
        <w:t>of</w:t>
      </w:r>
      <w:r w:rsidR="2AE1CBC4" w:rsidRPr="00BC1AFF">
        <w:t>:</w:t>
      </w:r>
    </w:p>
    <w:p w14:paraId="30108FD9" w14:textId="311A47F9" w:rsidR="00D8204E" w:rsidRPr="00BC1AFF" w:rsidRDefault="00E13C5D" w:rsidP="005A483F">
      <w:pPr>
        <w:pStyle w:val="Heading4"/>
      </w:pPr>
      <w:r w:rsidRPr="00BC1AFF">
        <w:t>these terms or the terms of an Order</w:t>
      </w:r>
      <w:r w:rsidR="2AE1CBC4" w:rsidRPr="00BC1AFF">
        <w:t>;</w:t>
      </w:r>
    </w:p>
    <w:p w14:paraId="066B338E" w14:textId="3D952A16" w:rsidR="00D8204E" w:rsidRPr="00BC1AFF" w:rsidRDefault="56EC2D65" w:rsidP="005A483F">
      <w:pPr>
        <w:pStyle w:val="Heading4"/>
      </w:pPr>
      <w:r w:rsidRPr="00BC1AFF">
        <w:t xml:space="preserve">the responsibilities assigned to </w:t>
      </w:r>
      <w:r w:rsidR="7C968D64" w:rsidRPr="00BC1AFF">
        <w:t>y</w:t>
      </w:r>
      <w:r w:rsidRPr="00BC1AFF">
        <w:t xml:space="preserve">ou in relation to the relevant products as part of the </w:t>
      </w:r>
      <w:r w:rsidR="006573FF" w:rsidRPr="00BC1AFF">
        <w:t>managed IT Environments and Components</w:t>
      </w:r>
      <w:r w:rsidR="2AE1CBC4" w:rsidRPr="00BC1AFF">
        <w:t>;</w:t>
      </w:r>
      <w:r w:rsidRPr="00BC1AFF">
        <w:t xml:space="preserve"> or</w:t>
      </w:r>
    </w:p>
    <w:p w14:paraId="59A57925" w14:textId="437EADC6" w:rsidR="00D8204E" w:rsidRPr="00BC1AFF" w:rsidRDefault="56EC2D65" w:rsidP="005A483F">
      <w:pPr>
        <w:pStyle w:val="Heading4"/>
      </w:pPr>
      <w:r w:rsidRPr="00BC1AFF">
        <w:t xml:space="preserve">any documents provided by </w:t>
      </w:r>
      <w:r w:rsidR="7C968D64" w:rsidRPr="00BC1AFF">
        <w:t>us</w:t>
      </w:r>
      <w:r w:rsidRPr="00BC1AFF">
        <w:t xml:space="preserve"> as part of the </w:t>
      </w:r>
      <w:r w:rsidR="006573FF" w:rsidRPr="00BC1AFF">
        <w:t>managed IT Environments and Components</w:t>
      </w:r>
      <w:r w:rsidR="2AE1CBC4" w:rsidRPr="00BC1AFF">
        <w:t>;</w:t>
      </w:r>
    </w:p>
    <w:p w14:paraId="3C2560E0" w14:textId="55D06FE1" w:rsidR="00D8204E" w:rsidRPr="00BC1AFF" w:rsidRDefault="56EC2D65" w:rsidP="4DD98697">
      <w:pPr>
        <w:pStyle w:val="Heading3"/>
      </w:pPr>
      <w:r w:rsidRPr="00BC1AFF">
        <w:t xml:space="preserve">due to a change, act or omission made by </w:t>
      </w:r>
      <w:r w:rsidR="2AE1CBC4" w:rsidRPr="00BC1AFF">
        <w:t xml:space="preserve">you </w:t>
      </w:r>
      <w:r w:rsidRPr="00BC1AFF">
        <w:t xml:space="preserve">which causes damage and/or service degradation to physical or virtual </w:t>
      </w:r>
      <w:r w:rsidR="00E13C5D" w:rsidRPr="00BC1AFF">
        <w:t>e</w:t>
      </w:r>
      <w:r w:rsidRPr="00BC1AFF">
        <w:t xml:space="preserve">nvironments supported under the </w:t>
      </w:r>
      <w:r w:rsidR="2AE1CBC4" w:rsidRPr="00BC1AFF">
        <w:t xml:space="preserve">Telstra Purple Managed </w:t>
      </w:r>
      <w:r w:rsidRPr="00BC1AFF">
        <w:t>Service</w:t>
      </w:r>
      <w:r w:rsidR="2AE1CBC4" w:rsidRPr="00BC1AFF">
        <w:t>s;</w:t>
      </w:r>
    </w:p>
    <w:p w14:paraId="01024274" w14:textId="730FB0CE" w:rsidR="00D8204E" w:rsidRPr="00BC1AFF" w:rsidRDefault="56EC2D65" w:rsidP="4DD98697">
      <w:pPr>
        <w:pStyle w:val="Heading3"/>
      </w:pPr>
      <w:r w:rsidRPr="00BC1AFF">
        <w:t xml:space="preserve">as a result of software </w:t>
      </w:r>
      <w:r w:rsidR="00CE165E">
        <w:t xml:space="preserve">(that is not provided by us or our contractors) </w:t>
      </w:r>
      <w:r w:rsidRPr="00BC1AFF">
        <w:t xml:space="preserve">being incompatible with a product, service or feature provided by </w:t>
      </w:r>
      <w:r w:rsidR="2AE1CBC4" w:rsidRPr="00BC1AFF">
        <w:t>us</w:t>
      </w:r>
      <w:r w:rsidRPr="00BC1AFF">
        <w:t xml:space="preserve"> unless a Change Request has been formally raised and accepted by all parties; or</w:t>
      </w:r>
    </w:p>
    <w:p w14:paraId="4EBBFDC8" w14:textId="07B9EDA8" w:rsidR="00D8204E" w:rsidRPr="00BC1AFF" w:rsidRDefault="56EC2D65" w:rsidP="4DD98697">
      <w:pPr>
        <w:pStyle w:val="Heading3"/>
      </w:pPr>
      <w:r w:rsidRPr="00BC1AFF">
        <w:t xml:space="preserve">any support and maintenance outside </w:t>
      </w:r>
      <w:r w:rsidR="2AE1CBC4" w:rsidRPr="00BC1AFF">
        <w:t>our</w:t>
      </w:r>
      <w:r w:rsidRPr="00BC1AFF">
        <w:t xml:space="preserve"> responsibilities.</w:t>
      </w:r>
    </w:p>
    <w:p w14:paraId="33D29E48" w14:textId="73A39851" w:rsidR="00D116CE" w:rsidRPr="00BC1AFF" w:rsidRDefault="0D76982F" w:rsidP="00802292">
      <w:pPr>
        <w:pStyle w:val="Heading1"/>
      </w:pPr>
      <w:bookmarkStart w:id="254" w:name="_Toc115217365"/>
      <w:bookmarkStart w:id="255" w:name="_Toc137461075"/>
      <w:bookmarkStart w:id="256" w:name="_Toc138241443"/>
      <w:bookmarkStart w:id="257" w:name="_Toc160009040"/>
      <w:r w:rsidRPr="00BC1AFF">
        <w:t>Measurement and Reporting</w:t>
      </w:r>
      <w:bookmarkEnd w:id="254"/>
      <w:bookmarkEnd w:id="255"/>
      <w:bookmarkEnd w:id="256"/>
      <w:bookmarkEnd w:id="257"/>
    </w:p>
    <w:p w14:paraId="4D98C9D0" w14:textId="0D7E6205" w:rsidR="00A85D64" w:rsidRPr="00BC1AFF" w:rsidRDefault="2AE1CBC4" w:rsidP="00C90281">
      <w:pPr>
        <w:pStyle w:val="Heading2"/>
      </w:pPr>
      <w:r w:rsidRPr="00BC1AFF">
        <w:t>We</w:t>
      </w:r>
      <w:r w:rsidR="662F06E1" w:rsidRPr="00BC1AFF">
        <w:t xml:space="preserve"> will provide a report to </w:t>
      </w:r>
      <w:r w:rsidRPr="00BC1AFF">
        <w:t>you</w:t>
      </w:r>
      <w:r w:rsidR="662F06E1" w:rsidRPr="00BC1AFF">
        <w:t>, detailing work completed.   This will typically include the below:</w:t>
      </w:r>
    </w:p>
    <w:p w14:paraId="35522AA6" w14:textId="1A245503" w:rsidR="00A85D64" w:rsidRPr="00BC1AFF" w:rsidRDefault="002530D5" w:rsidP="4DD98697">
      <w:pPr>
        <w:pStyle w:val="Heading3"/>
      </w:pPr>
      <w:r w:rsidRPr="00BC1AFF">
        <w:t>a</w:t>
      </w:r>
      <w:r w:rsidR="662F06E1" w:rsidRPr="00BC1AFF">
        <w:t>ll incidents, requests</w:t>
      </w:r>
      <w:r w:rsidR="00316633" w:rsidRPr="00BC1AFF">
        <w:t>, problem records</w:t>
      </w:r>
      <w:r w:rsidR="662F06E1" w:rsidRPr="00BC1AFF">
        <w:t xml:space="preserve"> and changes logged during the month</w:t>
      </w:r>
      <w:r w:rsidRPr="00BC1AFF">
        <w:t>;</w:t>
      </w:r>
    </w:p>
    <w:p w14:paraId="6C1BFDCE" w14:textId="11990D5E" w:rsidR="00A85D64" w:rsidRPr="00BC1AFF" w:rsidRDefault="002530D5" w:rsidP="4DD98697">
      <w:pPr>
        <w:pStyle w:val="Heading3"/>
      </w:pPr>
      <w:r w:rsidRPr="00BC1AFF">
        <w:t>p</w:t>
      </w:r>
      <w:r w:rsidR="662F06E1" w:rsidRPr="00BC1AFF">
        <w:t>erformance reports (</w:t>
      </w:r>
      <w:r w:rsidR="00365E4B" w:rsidRPr="00BC1AFF">
        <w:t>as outlined in the MSD</w:t>
      </w:r>
      <w:r w:rsidR="00E13C5D" w:rsidRPr="00BC1AFF">
        <w:t>(</w:t>
      </w:r>
      <w:r w:rsidR="004F4BA8" w:rsidRPr="00BC1AFF">
        <w:t>s</w:t>
      </w:r>
      <w:r w:rsidR="00E13C5D" w:rsidRPr="00BC1AFF">
        <w:t>)</w:t>
      </w:r>
      <w:r w:rsidR="662F06E1" w:rsidRPr="00BC1AFF">
        <w:t>)</w:t>
      </w:r>
      <w:r w:rsidRPr="00BC1AFF">
        <w:t>; and</w:t>
      </w:r>
    </w:p>
    <w:p w14:paraId="471DEFF4" w14:textId="37A283AD" w:rsidR="00A85D64" w:rsidRPr="00BC1AFF" w:rsidRDefault="002530D5" w:rsidP="4DD98697">
      <w:pPr>
        <w:pStyle w:val="Heading3"/>
      </w:pPr>
      <w:r w:rsidRPr="00BC1AFF">
        <w:t>y</w:t>
      </w:r>
      <w:r w:rsidR="4E9F9CEF" w:rsidRPr="00BC1AFF">
        <w:t xml:space="preserve">our </w:t>
      </w:r>
      <w:r w:rsidR="00B04587" w:rsidRPr="00BC1AFF">
        <w:t xml:space="preserve">managed </w:t>
      </w:r>
      <w:r w:rsidR="4E9F9CEF" w:rsidRPr="00BC1AFF">
        <w:t>IT Environment</w:t>
      </w:r>
      <w:r w:rsidR="00B04587" w:rsidRPr="00BC1AFF">
        <w:t>s and</w:t>
      </w:r>
      <w:r w:rsidR="4E9F9CEF" w:rsidRPr="00BC1AFF">
        <w:t xml:space="preserve"> Component</w:t>
      </w:r>
      <w:r w:rsidR="00B04587" w:rsidRPr="00BC1AFF">
        <w:t>s</w:t>
      </w:r>
      <w:r w:rsidR="662F06E1" w:rsidRPr="00BC1AFF">
        <w:t xml:space="preserve"> availability statistics</w:t>
      </w:r>
      <w:r w:rsidR="001F57E1" w:rsidRPr="00BC1AFF">
        <w:t xml:space="preserve"> (as outlined in the MSD</w:t>
      </w:r>
      <w:r w:rsidR="00E13C5D" w:rsidRPr="00BC1AFF">
        <w:t>(</w:t>
      </w:r>
      <w:r w:rsidR="004F4BA8" w:rsidRPr="00BC1AFF">
        <w:t>s</w:t>
      </w:r>
      <w:r w:rsidR="00E13C5D" w:rsidRPr="00BC1AFF">
        <w:t>)</w:t>
      </w:r>
      <w:r w:rsidR="001F57E1" w:rsidRPr="00BC1AFF">
        <w:t>)</w:t>
      </w:r>
      <w:r w:rsidRPr="00BC1AFF">
        <w:t>.</w:t>
      </w:r>
    </w:p>
    <w:p w14:paraId="0A142452" w14:textId="70A243FC" w:rsidR="00A85D64" w:rsidRPr="00BC1AFF" w:rsidRDefault="662F06E1" w:rsidP="00C90281">
      <w:pPr>
        <w:pStyle w:val="Heading2"/>
      </w:pPr>
      <w:r w:rsidRPr="00BC1AFF">
        <w:t xml:space="preserve">Additional information may be reported on dependent on the </w:t>
      </w:r>
      <w:r w:rsidR="35A84D12" w:rsidRPr="00BC1AFF">
        <w:t>Telstra Purple Managed S</w:t>
      </w:r>
      <w:r w:rsidRPr="00BC1AFF">
        <w:t>ervice</w:t>
      </w:r>
      <w:r w:rsidR="35A84D12" w:rsidRPr="00BC1AFF">
        <w:t>s</w:t>
      </w:r>
      <w:r w:rsidRPr="00BC1AFF">
        <w:t xml:space="preserve"> </w:t>
      </w:r>
      <w:r w:rsidR="35A84D12" w:rsidRPr="00BC1AFF">
        <w:t>w</w:t>
      </w:r>
      <w:r w:rsidRPr="00BC1AFF">
        <w:t xml:space="preserve">e are providing to </w:t>
      </w:r>
      <w:r w:rsidR="35A84D12" w:rsidRPr="00BC1AFF">
        <w:t>y</w:t>
      </w:r>
      <w:r w:rsidRPr="00BC1AFF">
        <w:t xml:space="preserve">ou. These reporting elements will be listed within the related </w:t>
      </w:r>
      <w:r w:rsidR="35A84D12" w:rsidRPr="00BC1AFF">
        <w:t>MSD</w:t>
      </w:r>
      <w:r w:rsidR="00E13C5D" w:rsidRPr="00BC1AFF">
        <w:t>(</w:t>
      </w:r>
      <w:r w:rsidR="004F4BA8" w:rsidRPr="00BC1AFF">
        <w:t>s</w:t>
      </w:r>
      <w:r w:rsidR="00E13C5D" w:rsidRPr="00BC1AFF">
        <w:t>)</w:t>
      </w:r>
      <w:r w:rsidR="35A84D12" w:rsidRPr="00BC1AFF">
        <w:t>.</w:t>
      </w:r>
    </w:p>
    <w:p w14:paraId="7D26157B" w14:textId="661CD66E" w:rsidR="00FC79F5" w:rsidRPr="00BC1AFF" w:rsidRDefault="22DFEAEE" w:rsidP="00802292">
      <w:pPr>
        <w:pStyle w:val="Heading1"/>
      </w:pPr>
      <w:bookmarkStart w:id="258" w:name="_Toc115217366"/>
      <w:bookmarkStart w:id="259" w:name="_Toc137461076"/>
      <w:bookmarkStart w:id="260" w:name="_Toc138241444"/>
      <w:bookmarkStart w:id="261" w:name="_Toc160009041"/>
      <w:r w:rsidRPr="00BC1AFF">
        <w:t>relationship</w:t>
      </w:r>
      <w:r w:rsidR="1A5146C8" w:rsidRPr="00BC1AFF">
        <w:t xml:space="preserve"> Management</w:t>
      </w:r>
      <w:bookmarkEnd w:id="258"/>
      <w:bookmarkEnd w:id="259"/>
      <w:bookmarkEnd w:id="260"/>
      <w:bookmarkEnd w:id="261"/>
    </w:p>
    <w:p w14:paraId="0229EA13" w14:textId="3A732BA4" w:rsidR="00FD76C3" w:rsidRPr="00BC1AFF" w:rsidRDefault="4B32E249" w:rsidP="00C90281">
      <w:pPr>
        <w:pStyle w:val="Heading2"/>
      </w:pPr>
      <w:r w:rsidRPr="00BC1AFF">
        <w:t>The</w:t>
      </w:r>
      <w:r w:rsidR="6F589DED" w:rsidRPr="00BC1AFF">
        <w:t xml:space="preserve"> </w:t>
      </w:r>
      <w:r w:rsidR="005401D3" w:rsidRPr="00BC1AFF">
        <w:t>Relationship M</w:t>
      </w:r>
      <w:r w:rsidR="6F589DED" w:rsidRPr="00BC1AFF">
        <w:t xml:space="preserve">anagement process </w:t>
      </w:r>
      <w:r w:rsidR="006C3AA5" w:rsidRPr="00BC1AFF">
        <w:t xml:space="preserve">may </w:t>
      </w:r>
      <w:r w:rsidR="6F589DED" w:rsidRPr="00BC1AFF">
        <w:t>include the introduction of a</w:t>
      </w:r>
      <w:r w:rsidR="6B955C8E" w:rsidRPr="00BC1AFF">
        <w:t xml:space="preserve"> Service Delivery Manager</w:t>
      </w:r>
      <w:r w:rsidR="6F589DED" w:rsidRPr="00BC1AFF">
        <w:t xml:space="preserve"> </w:t>
      </w:r>
      <w:r w:rsidR="6B955C8E" w:rsidRPr="00BC1AFF">
        <w:t>(</w:t>
      </w:r>
      <w:r w:rsidR="6F589DED" w:rsidRPr="00BC1AFF">
        <w:rPr>
          <w:b/>
          <w:bCs/>
        </w:rPr>
        <w:t>SDM</w:t>
      </w:r>
      <w:r w:rsidR="6B955C8E" w:rsidRPr="00BC1AFF">
        <w:t>)</w:t>
      </w:r>
      <w:r w:rsidR="6F589DED" w:rsidRPr="00BC1AFF">
        <w:t xml:space="preserve"> to manage the </w:t>
      </w:r>
      <w:r w:rsidR="006C3AA5" w:rsidRPr="00BC1AFF">
        <w:t>service levels of your</w:t>
      </w:r>
      <w:r w:rsidR="00225393" w:rsidRPr="00BC1AFF">
        <w:t xml:space="preserve"> </w:t>
      </w:r>
      <w:r w:rsidR="00A2599C" w:rsidRPr="00BC1AFF">
        <w:t xml:space="preserve">Telstra Purple Managed </w:t>
      </w:r>
      <w:r w:rsidR="00225393" w:rsidRPr="00BC1AFF">
        <w:t xml:space="preserve">Services </w:t>
      </w:r>
      <w:r w:rsidR="6F589DED" w:rsidRPr="00BC1AFF">
        <w:t xml:space="preserve">and </w:t>
      </w:r>
      <w:r w:rsidR="00503C6F" w:rsidRPr="00BC1AFF">
        <w:t xml:space="preserve">your </w:t>
      </w:r>
      <w:r w:rsidR="6F589DED" w:rsidRPr="00BC1AFF">
        <w:t>relationship</w:t>
      </w:r>
      <w:r w:rsidR="00503C6F" w:rsidRPr="00BC1AFF">
        <w:t xml:space="preserve"> with us</w:t>
      </w:r>
      <w:r w:rsidR="6F589DED" w:rsidRPr="00BC1AFF">
        <w:t xml:space="preserve">. </w:t>
      </w:r>
    </w:p>
    <w:p w14:paraId="7659D1C2" w14:textId="035A75B7" w:rsidR="00FD76C3" w:rsidRPr="00BC1AFF" w:rsidRDefault="00A2599C" w:rsidP="00C90281">
      <w:pPr>
        <w:pStyle w:val="Heading2"/>
        <w:rPr>
          <w:strike/>
        </w:rPr>
      </w:pPr>
      <w:r w:rsidRPr="00BC1AFF">
        <w:t>If</w:t>
      </w:r>
      <w:r w:rsidR="006C3AA5" w:rsidRPr="00BC1AFF">
        <w:t xml:space="preserve"> an </w:t>
      </w:r>
      <w:r w:rsidR="6F589DED" w:rsidRPr="00BC1AFF">
        <w:t xml:space="preserve">SDM </w:t>
      </w:r>
      <w:r w:rsidR="006C3AA5" w:rsidRPr="00BC1AFF">
        <w:t>is included</w:t>
      </w:r>
      <w:r w:rsidRPr="00BC1AFF">
        <w:t xml:space="preserve"> in your Telstra Purple Managed Service</w:t>
      </w:r>
      <w:r w:rsidR="006C3AA5" w:rsidRPr="00BC1AFF">
        <w:t xml:space="preserve">, they </w:t>
      </w:r>
      <w:r w:rsidR="6F589DED" w:rsidRPr="00BC1AFF">
        <w:t xml:space="preserve">will be responsible </w:t>
      </w:r>
      <w:r w:rsidR="006820C2" w:rsidRPr="00BC1AFF">
        <w:t xml:space="preserve">for </w:t>
      </w:r>
      <w:r w:rsidR="006951EA" w:rsidRPr="00BC1AFF">
        <w:t>the following:</w:t>
      </w:r>
    </w:p>
    <w:p w14:paraId="6D42420F" w14:textId="5B322458" w:rsidR="006951EA" w:rsidRPr="00BC1AFF" w:rsidRDefault="006951EA" w:rsidP="006951EA">
      <w:pPr>
        <w:pStyle w:val="Heading3"/>
      </w:pPr>
      <w:r w:rsidRPr="00BC1AFF">
        <w:t>customer on-boarding (pack and workshop)</w:t>
      </w:r>
    </w:p>
    <w:p w14:paraId="4DB05496" w14:textId="32FC40DE" w:rsidR="006951EA" w:rsidRPr="00BC1AFF" w:rsidRDefault="006951EA" w:rsidP="006951EA">
      <w:pPr>
        <w:pStyle w:val="Heading3"/>
      </w:pPr>
      <w:r w:rsidRPr="00BC1AFF">
        <w:lastRenderedPageBreak/>
        <w:t>contract management</w:t>
      </w:r>
    </w:p>
    <w:p w14:paraId="06427172" w14:textId="4F423769" w:rsidR="006951EA" w:rsidRPr="00BC1AFF" w:rsidRDefault="006951EA" w:rsidP="006951EA">
      <w:pPr>
        <w:pStyle w:val="Heading3"/>
      </w:pPr>
      <w:r w:rsidRPr="00BC1AFF">
        <w:t>quarterly or monthly service review meeting and report with additional content, including:</w:t>
      </w:r>
    </w:p>
    <w:p w14:paraId="3A548E49" w14:textId="2D9B5F93" w:rsidR="006951EA" w:rsidRPr="00BC1AFF" w:rsidRDefault="006951EA" w:rsidP="005A483F">
      <w:pPr>
        <w:pStyle w:val="Heading4"/>
      </w:pPr>
      <w:r w:rsidRPr="00BC1AFF">
        <w:t>executive summary; and</w:t>
      </w:r>
    </w:p>
    <w:p w14:paraId="3CAE5DB9" w14:textId="2FA0CC19" w:rsidR="006951EA" w:rsidRPr="00BC1AFF" w:rsidRDefault="006951EA" w:rsidP="005A483F">
      <w:pPr>
        <w:pStyle w:val="Heading4"/>
      </w:pPr>
      <w:r w:rsidRPr="00BC1AFF">
        <w:t>service delivery minutes/actions</w:t>
      </w:r>
    </w:p>
    <w:p w14:paraId="46C2A137" w14:textId="722F5976" w:rsidR="006951EA" w:rsidRPr="00BC1AFF" w:rsidRDefault="006951EA" w:rsidP="006951EA">
      <w:pPr>
        <w:pStyle w:val="Heading3"/>
      </w:pPr>
      <w:r w:rsidRPr="00BC1AFF">
        <w:t>escalation management</w:t>
      </w:r>
    </w:p>
    <w:p w14:paraId="5E89C738" w14:textId="7B5D3CA4" w:rsidR="006951EA" w:rsidRPr="00BC1AFF" w:rsidRDefault="006951EA" w:rsidP="006951EA">
      <w:pPr>
        <w:pStyle w:val="Heading3"/>
      </w:pPr>
      <w:r w:rsidRPr="00BC1AFF">
        <w:t>Post Incident Review (PIR)</w:t>
      </w:r>
      <w:r w:rsidR="002F513A" w:rsidRPr="00BC1AFF">
        <w:t>; and</w:t>
      </w:r>
    </w:p>
    <w:p w14:paraId="42EC6147" w14:textId="6AD6A1FE" w:rsidR="002F513A" w:rsidRPr="00BC1AFF" w:rsidRDefault="002F513A" w:rsidP="00865B70">
      <w:pPr>
        <w:pStyle w:val="Heading3"/>
      </w:pPr>
      <w:r w:rsidRPr="00BC1AFF">
        <w:t>Continual service improvement</w:t>
      </w:r>
    </w:p>
    <w:p w14:paraId="4D3E5EB6" w14:textId="43E0A44D" w:rsidR="00FD76C3" w:rsidRPr="00BC1AFF" w:rsidRDefault="76E921B6" w:rsidP="00C90281">
      <w:pPr>
        <w:pStyle w:val="Heading2"/>
      </w:pPr>
      <w:r w:rsidRPr="00BC1AFF">
        <w:t>A s</w:t>
      </w:r>
      <w:r w:rsidR="6F589DED" w:rsidRPr="00BC1AFF">
        <w:t xml:space="preserve">chedule of Service Review Reports &amp; Meeting is agreed with </w:t>
      </w:r>
      <w:r w:rsidR="638861B3" w:rsidRPr="00BC1AFF">
        <w:t xml:space="preserve">you </w:t>
      </w:r>
      <w:r w:rsidR="6F589DED" w:rsidRPr="00BC1AFF">
        <w:t xml:space="preserve">as part of </w:t>
      </w:r>
      <w:r w:rsidR="1C49DEF5" w:rsidRPr="00BC1AFF">
        <w:t>onboarding</w:t>
      </w:r>
      <w:r w:rsidRPr="00BC1AFF">
        <w:t>.</w:t>
      </w:r>
    </w:p>
    <w:p w14:paraId="6CC45C48" w14:textId="3962B016" w:rsidR="00FD76C3" w:rsidRPr="00BC1AFF" w:rsidRDefault="6F589DED" w:rsidP="00C90281">
      <w:pPr>
        <w:pStyle w:val="Heading2"/>
      </w:pPr>
      <w:r w:rsidRPr="00BC1AFF">
        <w:t xml:space="preserve">In addition, the SDM will drive further </w:t>
      </w:r>
      <w:r w:rsidR="00AB2E67" w:rsidRPr="00BC1AFF">
        <w:t xml:space="preserve">Relationship </w:t>
      </w:r>
      <w:r w:rsidRPr="00BC1AFF">
        <w:t>Management functions as described below.</w:t>
      </w:r>
    </w:p>
    <w:p w14:paraId="44153323" w14:textId="77777777" w:rsidR="00FD76C3" w:rsidRPr="00BC1AFF" w:rsidRDefault="6F589DED" w:rsidP="4DD98697">
      <w:pPr>
        <w:pStyle w:val="SubHead"/>
      </w:pPr>
      <w:bookmarkStart w:id="262" w:name="_Toc115217367"/>
      <w:bookmarkStart w:id="263" w:name="_Toc137461077"/>
      <w:bookmarkStart w:id="264" w:name="_Toc138241445"/>
      <w:bookmarkStart w:id="265" w:name="_Toc160009042"/>
      <w:r w:rsidRPr="00BC1AFF">
        <w:t>Service Transition</w:t>
      </w:r>
      <w:bookmarkEnd w:id="262"/>
      <w:bookmarkEnd w:id="263"/>
      <w:bookmarkEnd w:id="264"/>
      <w:bookmarkEnd w:id="265"/>
    </w:p>
    <w:p w14:paraId="7C579EA7" w14:textId="221370B2" w:rsidR="00FD76C3" w:rsidRPr="00BC1AFF" w:rsidRDefault="007D2578" w:rsidP="00C90281">
      <w:pPr>
        <w:pStyle w:val="Heading2"/>
      </w:pPr>
      <w:r w:rsidRPr="00BC1AFF">
        <w:t>The</w:t>
      </w:r>
      <w:r w:rsidR="6F589DED" w:rsidRPr="00BC1AFF">
        <w:t xml:space="preserve"> </w:t>
      </w:r>
      <w:r w:rsidR="001623D3" w:rsidRPr="00BC1AFF">
        <w:t>Managed Services</w:t>
      </w:r>
      <w:r w:rsidR="6F589DED" w:rsidRPr="00BC1AFF">
        <w:t xml:space="preserve"> </w:t>
      </w:r>
      <w:r w:rsidR="00E13C5D" w:rsidRPr="00BC1AFF">
        <w:t>T</w:t>
      </w:r>
      <w:r w:rsidR="6F589DED" w:rsidRPr="00BC1AFF">
        <w:t xml:space="preserve">eam will be responsible for transitioning systems and </w:t>
      </w:r>
      <w:r w:rsidR="00AB2E67" w:rsidRPr="00BC1AFF">
        <w:t xml:space="preserve">IT </w:t>
      </w:r>
      <w:r w:rsidR="6F589DED" w:rsidRPr="00BC1AFF">
        <w:t xml:space="preserve">Environments </w:t>
      </w:r>
      <w:r w:rsidR="00AB2E67" w:rsidRPr="00BC1AFF">
        <w:t xml:space="preserve">and Components </w:t>
      </w:r>
      <w:r w:rsidR="6F589DED" w:rsidRPr="00BC1AFF">
        <w:t xml:space="preserve">into </w:t>
      </w:r>
      <w:r w:rsidR="00770E24" w:rsidRPr="00BC1AFF">
        <w:t xml:space="preserve">the </w:t>
      </w:r>
      <w:r w:rsidR="1C49DEF5" w:rsidRPr="00BC1AFF">
        <w:t>T</w:t>
      </w:r>
      <w:r w:rsidR="1D7D8972" w:rsidRPr="00BC1AFF">
        <w:t xml:space="preserve">elstra </w:t>
      </w:r>
      <w:r w:rsidR="1C49DEF5" w:rsidRPr="00BC1AFF">
        <w:t>P</w:t>
      </w:r>
      <w:r w:rsidR="1D7D8972" w:rsidRPr="00BC1AFF">
        <w:t xml:space="preserve">urple </w:t>
      </w:r>
      <w:r w:rsidR="393CAE78" w:rsidRPr="00BC1AFF">
        <w:t>Managed</w:t>
      </w:r>
      <w:r w:rsidR="1D7D8972" w:rsidRPr="00BC1AFF">
        <w:t xml:space="preserve"> </w:t>
      </w:r>
      <w:r w:rsidR="1C49DEF5" w:rsidRPr="00BC1AFF">
        <w:t>S</w:t>
      </w:r>
      <w:r w:rsidR="1D7D8972" w:rsidRPr="00BC1AFF">
        <w:t>ervices</w:t>
      </w:r>
      <w:r w:rsidR="6F589DED" w:rsidRPr="00BC1AFF">
        <w:t xml:space="preserve">. This includes </w:t>
      </w:r>
      <w:r w:rsidR="1D7D8972" w:rsidRPr="00BC1AFF">
        <w:t xml:space="preserve">confirming </w:t>
      </w:r>
      <w:r w:rsidR="6F589DED" w:rsidRPr="00BC1AFF">
        <w:t xml:space="preserve">all required information is collected and </w:t>
      </w:r>
      <w:r w:rsidR="00770E24" w:rsidRPr="00BC1AFF">
        <w:t>the</w:t>
      </w:r>
      <w:r w:rsidR="00B90A72" w:rsidRPr="00BC1AFF">
        <w:t xml:space="preserve"> </w:t>
      </w:r>
      <w:r w:rsidR="6F589DED" w:rsidRPr="00BC1AFF">
        <w:t xml:space="preserve">Service Management System, Proactive Monitoring and </w:t>
      </w:r>
      <w:r w:rsidR="0093044A" w:rsidRPr="00BC1AFF">
        <w:t xml:space="preserve">CMS </w:t>
      </w:r>
      <w:r w:rsidR="6F589DED" w:rsidRPr="00BC1AFF">
        <w:t>are updated.</w:t>
      </w:r>
      <w:r w:rsidR="00922C53" w:rsidRPr="00BC1AFF">
        <w:t xml:space="preserve">  The SDM will support </w:t>
      </w:r>
      <w:r w:rsidR="00770E24" w:rsidRPr="00BC1AFF">
        <w:t xml:space="preserve">the </w:t>
      </w:r>
      <w:r w:rsidR="00E13C5D" w:rsidRPr="00BC1AFF">
        <w:t>Managed Services T</w:t>
      </w:r>
      <w:r w:rsidR="00922C53" w:rsidRPr="00BC1AFF">
        <w:t>eam during this process.</w:t>
      </w:r>
    </w:p>
    <w:p w14:paraId="486E5DCF" w14:textId="5A3D3B7E" w:rsidR="00FD76C3" w:rsidRPr="00BC1AFF" w:rsidRDefault="6F589DED" w:rsidP="00C90281">
      <w:pPr>
        <w:pStyle w:val="Heading2"/>
      </w:pPr>
      <w:r w:rsidRPr="00BC1AFF">
        <w:t xml:space="preserve">The SDM will provide </w:t>
      </w:r>
      <w:r w:rsidR="00D94408" w:rsidRPr="00BC1AFF">
        <w:t>an Operations Manual</w:t>
      </w:r>
      <w:r w:rsidR="00D239F9" w:rsidRPr="00BC1AFF">
        <w:t xml:space="preserve"> </w:t>
      </w:r>
      <w:r w:rsidRPr="00BC1AFF">
        <w:t>which provides</w:t>
      </w:r>
      <w:r w:rsidR="00D239F9" w:rsidRPr="00BC1AFF">
        <w:t xml:space="preserve"> </w:t>
      </w:r>
      <w:r w:rsidRPr="00BC1AFF">
        <w:t xml:space="preserve">important information covering the details of the </w:t>
      </w:r>
      <w:r w:rsidR="32FD9279" w:rsidRPr="00BC1AFF">
        <w:t>T</w:t>
      </w:r>
      <w:r w:rsidR="1D7D8972" w:rsidRPr="00BC1AFF">
        <w:t xml:space="preserve">elstra </w:t>
      </w:r>
      <w:r w:rsidR="32FD9279" w:rsidRPr="00BC1AFF">
        <w:t>P</w:t>
      </w:r>
      <w:r w:rsidR="1D7D8972" w:rsidRPr="00BC1AFF">
        <w:t xml:space="preserve">urple </w:t>
      </w:r>
      <w:r w:rsidR="32FD9279" w:rsidRPr="00BC1AFF">
        <w:t>M</w:t>
      </w:r>
      <w:r w:rsidR="1D7D8972" w:rsidRPr="00BC1AFF">
        <w:t xml:space="preserve">anaged </w:t>
      </w:r>
      <w:r w:rsidR="32FD9279" w:rsidRPr="00BC1AFF">
        <w:t>S</w:t>
      </w:r>
      <w:r w:rsidR="1D7D8972" w:rsidRPr="00BC1AFF">
        <w:t>ervices</w:t>
      </w:r>
      <w:r w:rsidRPr="00BC1AFF">
        <w:t xml:space="preserve"> and how to work with </w:t>
      </w:r>
      <w:r w:rsidR="1D7D8972" w:rsidRPr="00BC1AFF">
        <w:t>us</w:t>
      </w:r>
      <w:r w:rsidRPr="00BC1AFF">
        <w:t xml:space="preserve">. </w:t>
      </w:r>
    </w:p>
    <w:p w14:paraId="4D11B2D4" w14:textId="77777777" w:rsidR="00FD76C3" w:rsidRPr="00BC1AFF" w:rsidRDefault="6F589DED" w:rsidP="4DD98697">
      <w:pPr>
        <w:pStyle w:val="SubHead"/>
      </w:pPr>
      <w:bookmarkStart w:id="266" w:name="_Toc462420089"/>
      <w:bookmarkStart w:id="267" w:name="_Toc115217368"/>
      <w:bookmarkStart w:id="268" w:name="_Toc137461078"/>
      <w:bookmarkStart w:id="269" w:name="_Toc138241446"/>
      <w:bookmarkStart w:id="270" w:name="_Toc160009043"/>
      <w:r w:rsidRPr="00BC1AFF">
        <w:t>Service Review</w:t>
      </w:r>
      <w:bookmarkEnd w:id="266"/>
      <w:bookmarkEnd w:id="267"/>
      <w:bookmarkEnd w:id="268"/>
      <w:bookmarkEnd w:id="269"/>
      <w:bookmarkEnd w:id="270"/>
    </w:p>
    <w:p w14:paraId="3B0646AF" w14:textId="329EB70E" w:rsidR="00FD76C3" w:rsidRPr="00BC1AFF" w:rsidRDefault="6F589DED" w:rsidP="00C90281">
      <w:pPr>
        <w:pStyle w:val="Heading2"/>
      </w:pPr>
      <w:r w:rsidRPr="00BC1AFF">
        <w:t xml:space="preserve">The Service Review and associated reports will provide an overview of </w:t>
      </w:r>
      <w:r w:rsidR="3E4DD42C" w:rsidRPr="00BC1AFF">
        <w:t>y</w:t>
      </w:r>
      <w:r w:rsidRPr="00BC1AFF">
        <w:t xml:space="preserve">our specific </w:t>
      </w:r>
      <w:r w:rsidR="3E4DD42C" w:rsidRPr="00BC1AFF">
        <w:t xml:space="preserve">Telstra Purple Managed Services </w:t>
      </w:r>
      <w:r w:rsidRPr="00BC1AFF">
        <w:t xml:space="preserve">over a given period including a documented action register which is tracked and managed by the SDM. A standard Service Review </w:t>
      </w:r>
      <w:r w:rsidR="15930BD6" w:rsidRPr="00BC1AFF">
        <w:t>will include</w:t>
      </w:r>
      <w:r w:rsidRPr="00BC1AFF">
        <w:t xml:space="preserve">: </w:t>
      </w:r>
    </w:p>
    <w:p w14:paraId="5713A9FF" w14:textId="77BD3CF3" w:rsidR="00FD76C3" w:rsidRPr="00BC1AFF" w:rsidRDefault="00770201" w:rsidP="4DD98697">
      <w:pPr>
        <w:pStyle w:val="Heading3"/>
      </w:pPr>
      <w:r w:rsidRPr="00BC1AFF">
        <w:t>r</w:t>
      </w:r>
      <w:r w:rsidR="00D96E89" w:rsidRPr="00BC1AFF">
        <w:t xml:space="preserve">eviewing </w:t>
      </w:r>
      <w:r w:rsidR="1018E50E" w:rsidRPr="00BC1AFF">
        <w:t>report and content</w:t>
      </w:r>
      <w:r w:rsidRPr="00BC1AFF">
        <w:t>;</w:t>
      </w:r>
    </w:p>
    <w:p w14:paraId="7FD39DD9" w14:textId="1DC43F14" w:rsidR="00DD78CB" w:rsidRPr="00BC1AFF" w:rsidRDefault="00D96E89" w:rsidP="4DD98697">
      <w:pPr>
        <w:pStyle w:val="Heading3"/>
      </w:pPr>
      <w:r w:rsidRPr="00BC1AFF">
        <w:t xml:space="preserve">discussing any identified risks to the </w:t>
      </w:r>
      <w:r w:rsidR="00BE4A67" w:rsidRPr="00BC1AFF">
        <w:t>Telstra Purple Managed Services</w:t>
      </w:r>
      <w:r w:rsidR="00770201" w:rsidRPr="00BC1AFF">
        <w:t>;</w:t>
      </w:r>
    </w:p>
    <w:p w14:paraId="5DEA4B8A" w14:textId="6451EBC0" w:rsidR="004D1169" w:rsidRPr="00BC1AFF" w:rsidRDefault="004D1169" w:rsidP="004D1169">
      <w:pPr>
        <w:pStyle w:val="Heading3"/>
      </w:pPr>
      <w:r w:rsidRPr="00BC1AFF">
        <w:t>review existing operations meeting minutes and actions</w:t>
      </w:r>
      <w:r w:rsidR="00422768" w:rsidRPr="00BC1AFF">
        <w:t>; and</w:t>
      </w:r>
    </w:p>
    <w:p w14:paraId="316267DB" w14:textId="62609BC4" w:rsidR="00DD78CB" w:rsidRPr="00BC1AFF" w:rsidRDefault="00CE085A" w:rsidP="4DD98697">
      <w:pPr>
        <w:pStyle w:val="Heading3"/>
      </w:pPr>
      <w:r w:rsidRPr="00BC1AFF">
        <w:t xml:space="preserve">a </w:t>
      </w:r>
      <w:r w:rsidR="00770201" w:rsidRPr="00BC1AFF">
        <w:t>c</w:t>
      </w:r>
      <w:r w:rsidR="1018E50E" w:rsidRPr="00BC1AFF">
        <w:t>ustomer business update</w:t>
      </w:r>
      <w:r w:rsidR="00422768" w:rsidRPr="00BC1AFF">
        <w:t>.</w:t>
      </w:r>
    </w:p>
    <w:p w14:paraId="286D80DE" w14:textId="5ED72904" w:rsidR="00FD76C3" w:rsidRPr="00BC1AFF" w:rsidRDefault="6F589DED" w:rsidP="00C90281">
      <w:pPr>
        <w:pStyle w:val="Heading2"/>
      </w:pPr>
      <w:r w:rsidRPr="00BC1AFF">
        <w:t xml:space="preserve">Additional details of the items to be included in the Service Reviews for </w:t>
      </w:r>
      <w:r w:rsidR="2AE651A4" w:rsidRPr="00BC1AFF">
        <w:t>y</w:t>
      </w:r>
      <w:r w:rsidRPr="00BC1AFF">
        <w:t xml:space="preserve">our </w:t>
      </w:r>
      <w:r w:rsidR="2AE651A4" w:rsidRPr="00BC1AFF">
        <w:t xml:space="preserve">Telstra Purple Managed </w:t>
      </w:r>
      <w:r w:rsidRPr="00BC1AFF">
        <w:t xml:space="preserve">Services are in the </w:t>
      </w:r>
      <w:r w:rsidR="00294ED3" w:rsidRPr="00BC1AFF">
        <w:t>MSD/s</w:t>
      </w:r>
      <w:r w:rsidRPr="00BC1AFF">
        <w:t xml:space="preserve"> and </w:t>
      </w:r>
      <w:r w:rsidR="72A25F60" w:rsidRPr="00BC1AFF">
        <w:t>Operations</w:t>
      </w:r>
      <w:r w:rsidRPr="00BC1AFF">
        <w:t xml:space="preserve"> Manual.</w:t>
      </w:r>
    </w:p>
    <w:p w14:paraId="0BF58757" w14:textId="2B8CA139" w:rsidR="00FD76C3" w:rsidRPr="00BC1AFF" w:rsidRDefault="6F589DED" w:rsidP="00C90281">
      <w:pPr>
        <w:pStyle w:val="Heading2"/>
      </w:pPr>
      <w:r w:rsidRPr="00BC1AFF">
        <w:t xml:space="preserve">Service Review documents are either sent or presented to </w:t>
      </w:r>
      <w:r w:rsidR="2AE651A4" w:rsidRPr="00BC1AFF">
        <w:t>y</w:t>
      </w:r>
      <w:r w:rsidRPr="00BC1AFF">
        <w:t xml:space="preserve">ou during the second full calendar week of the following month based on the frequency established during the </w:t>
      </w:r>
      <w:r w:rsidR="65016FEC" w:rsidRPr="00BC1AFF">
        <w:t xml:space="preserve">Telstra Purple Managed </w:t>
      </w:r>
      <w:r w:rsidRPr="00BC1AFF">
        <w:t>Service onboarding.</w:t>
      </w:r>
      <w:bookmarkStart w:id="271" w:name="_Toc462420090"/>
    </w:p>
    <w:p w14:paraId="6555BB0B" w14:textId="77777777" w:rsidR="00FD76C3" w:rsidRPr="00BC1AFF" w:rsidRDefault="6F589DED" w:rsidP="4DD98697">
      <w:pPr>
        <w:pStyle w:val="SubHead"/>
      </w:pPr>
      <w:bookmarkStart w:id="272" w:name="_Toc115217369"/>
      <w:bookmarkStart w:id="273" w:name="_Toc137461079"/>
      <w:bookmarkStart w:id="274" w:name="_Toc138241447"/>
      <w:bookmarkStart w:id="275" w:name="_Toc160009044"/>
      <w:r w:rsidRPr="00BC1AFF">
        <w:lastRenderedPageBreak/>
        <w:t>Continual Service Improvement</w:t>
      </w:r>
      <w:bookmarkEnd w:id="271"/>
      <w:bookmarkEnd w:id="272"/>
      <w:bookmarkEnd w:id="273"/>
      <w:bookmarkEnd w:id="274"/>
      <w:bookmarkEnd w:id="275"/>
    </w:p>
    <w:p w14:paraId="24F575CE" w14:textId="61070CE1" w:rsidR="00FD76C3" w:rsidRPr="00BC1AFF" w:rsidRDefault="6F589DED" w:rsidP="00C90281">
      <w:pPr>
        <w:pStyle w:val="Heading2"/>
      </w:pPr>
      <w:r w:rsidRPr="00BC1AFF">
        <w:t xml:space="preserve">The SDM will take responsibility </w:t>
      </w:r>
      <w:r w:rsidR="3590ED92" w:rsidRPr="00BC1AFF">
        <w:t>for making sure</w:t>
      </w:r>
      <w:r w:rsidRPr="00BC1AFF">
        <w:t xml:space="preserve"> th</w:t>
      </w:r>
      <w:r w:rsidR="001166CD" w:rsidRPr="00BC1AFF">
        <w:t xml:space="preserve">at information outlining the </w:t>
      </w:r>
      <w:r w:rsidR="72A25F60" w:rsidRPr="00BC1AFF">
        <w:t>T</w:t>
      </w:r>
      <w:r w:rsidR="3590ED92" w:rsidRPr="00BC1AFF">
        <w:t xml:space="preserve">elstra </w:t>
      </w:r>
      <w:r w:rsidR="72A25F60" w:rsidRPr="00BC1AFF">
        <w:t>P</w:t>
      </w:r>
      <w:r w:rsidR="3590ED92" w:rsidRPr="00BC1AFF">
        <w:t xml:space="preserve">urple </w:t>
      </w:r>
      <w:r w:rsidR="72A25F60" w:rsidRPr="00BC1AFF">
        <w:t>M</w:t>
      </w:r>
      <w:r w:rsidR="3590ED92" w:rsidRPr="00BC1AFF">
        <w:t xml:space="preserve">anaged </w:t>
      </w:r>
      <w:r w:rsidR="72A25F60" w:rsidRPr="00BC1AFF">
        <w:t>S</w:t>
      </w:r>
      <w:r w:rsidR="3590ED92" w:rsidRPr="00BC1AFF">
        <w:t>ervice</w:t>
      </w:r>
      <w:r w:rsidRPr="00BC1AFF">
        <w:t xml:space="preserve"> is </w:t>
      </w:r>
      <w:r w:rsidR="00863734" w:rsidRPr="00BC1AFF">
        <w:t>available to</w:t>
      </w:r>
      <w:r w:rsidRPr="00BC1AFF">
        <w:t xml:space="preserve"> all parties, meeting </w:t>
      </w:r>
      <w:r w:rsidR="3590ED92" w:rsidRPr="00BC1AFF">
        <w:t>y</w:t>
      </w:r>
      <w:r w:rsidRPr="00BC1AFF">
        <w:t xml:space="preserve">our </w:t>
      </w:r>
      <w:r w:rsidR="3590ED92" w:rsidRPr="00BC1AFF">
        <w:t xml:space="preserve">reasonable </w:t>
      </w:r>
      <w:r w:rsidRPr="00BC1AFF">
        <w:t>expectations</w:t>
      </w:r>
      <w:r w:rsidR="00EB4128" w:rsidRPr="00BC1AFF">
        <w:t>,</w:t>
      </w:r>
      <w:r w:rsidRPr="00BC1AFF">
        <w:t xml:space="preserve"> and continuing to enhance value </w:t>
      </w:r>
      <w:r w:rsidR="3590ED92" w:rsidRPr="00BC1AFF">
        <w:t>for you</w:t>
      </w:r>
      <w:r w:rsidRPr="00BC1AFF">
        <w:t xml:space="preserve">. </w:t>
      </w:r>
      <w:r w:rsidR="00EB4128" w:rsidRPr="00BC1AFF">
        <w:t>T</w:t>
      </w:r>
      <w:r w:rsidRPr="00BC1AFF">
        <w:t>o achieve this, the SDM will take responsibility for:</w:t>
      </w:r>
    </w:p>
    <w:p w14:paraId="77B52D62" w14:textId="7F4D5BCF" w:rsidR="00FD76C3" w:rsidRPr="00BC1AFF" w:rsidRDefault="6F589DED" w:rsidP="4DD98697">
      <w:pPr>
        <w:pStyle w:val="Heading3"/>
      </w:pPr>
      <w:r w:rsidRPr="00BC1AFF">
        <w:rPr>
          <w:i/>
          <w:iCs/>
        </w:rPr>
        <w:t>P1 Incident Management</w:t>
      </w:r>
      <w:r w:rsidRPr="00BC1AFF">
        <w:t xml:space="preserve"> – </w:t>
      </w:r>
      <w:r w:rsidR="00EB4128" w:rsidRPr="00BC1AFF">
        <w:t>t</w:t>
      </w:r>
      <w:r w:rsidRPr="00BC1AFF">
        <w:t>he SDM will take a proactive approach to driving any major incidents and managing the outcomes of a P1 Incident</w:t>
      </w:r>
      <w:r w:rsidR="00EB4128" w:rsidRPr="00BC1AFF">
        <w:t>;</w:t>
      </w:r>
    </w:p>
    <w:p w14:paraId="7C9B08BA" w14:textId="7595A6AA" w:rsidR="00FD76C3" w:rsidRPr="00BC1AFF" w:rsidRDefault="6F589DED" w:rsidP="4DD98697">
      <w:pPr>
        <w:pStyle w:val="Heading3"/>
      </w:pPr>
      <w:r w:rsidRPr="00BC1AFF">
        <w:rPr>
          <w:i/>
          <w:iCs/>
        </w:rPr>
        <w:t>Problem Management</w:t>
      </w:r>
      <w:r w:rsidRPr="00BC1AFF">
        <w:t xml:space="preserve"> – </w:t>
      </w:r>
      <w:r w:rsidR="3590ED92" w:rsidRPr="00BC1AFF">
        <w:t>chec</w:t>
      </w:r>
      <w:r w:rsidR="49BDE94F" w:rsidRPr="00BC1AFF">
        <w:t>k</w:t>
      </w:r>
      <w:r w:rsidR="3590ED92" w:rsidRPr="00BC1AFF">
        <w:t xml:space="preserve">ing </w:t>
      </w:r>
      <w:r w:rsidRPr="00BC1AFF">
        <w:t>all Problem Management process</w:t>
      </w:r>
      <w:r w:rsidR="49BDE94F" w:rsidRPr="00BC1AFF">
        <w:t>es</w:t>
      </w:r>
      <w:r w:rsidRPr="00BC1AFF">
        <w:t xml:space="preserve"> </w:t>
      </w:r>
      <w:r w:rsidR="49BDE94F" w:rsidRPr="00BC1AFF">
        <w:t xml:space="preserve">are </w:t>
      </w:r>
      <w:r w:rsidRPr="00BC1AFF">
        <w:t xml:space="preserve">followed and information and recommendations including PIR provided back to </w:t>
      </w:r>
      <w:r w:rsidR="49BDE94F" w:rsidRPr="00BC1AFF">
        <w:t>y</w:t>
      </w:r>
      <w:r w:rsidRPr="00BC1AFF">
        <w:t>ou</w:t>
      </w:r>
      <w:r w:rsidR="00EB4128" w:rsidRPr="00BC1AFF">
        <w:t>;</w:t>
      </w:r>
    </w:p>
    <w:p w14:paraId="62AAB8C9" w14:textId="09A8D698" w:rsidR="00FD76C3" w:rsidRPr="00BC1AFF" w:rsidRDefault="6F589DED" w:rsidP="4DD98697">
      <w:pPr>
        <w:pStyle w:val="Heading3"/>
      </w:pPr>
      <w:r w:rsidRPr="00BC1AFF">
        <w:rPr>
          <w:i/>
          <w:iCs/>
        </w:rPr>
        <w:t>Satisfaction Survey</w:t>
      </w:r>
      <w:r w:rsidRPr="00BC1AFF">
        <w:t xml:space="preserve"> – The SDM will present a bi-annual survey to allow </w:t>
      </w:r>
      <w:r w:rsidR="49BDE94F" w:rsidRPr="00BC1AFF">
        <w:t>y</w:t>
      </w:r>
      <w:r w:rsidRPr="00BC1AFF">
        <w:t xml:space="preserve">ou to provide impartial feedback and comments on </w:t>
      </w:r>
      <w:r w:rsidR="72A25F60" w:rsidRPr="00BC1AFF">
        <w:t>T</w:t>
      </w:r>
      <w:r w:rsidR="49BDE94F" w:rsidRPr="00BC1AFF">
        <w:t xml:space="preserve">elstra </w:t>
      </w:r>
      <w:r w:rsidR="72A25F60" w:rsidRPr="00BC1AFF">
        <w:t>P</w:t>
      </w:r>
      <w:r w:rsidR="49BDE94F" w:rsidRPr="00BC1AFF">
        <w:t xml:space="preserve">urple </w:t>
      </w:r>
      <w:r w:rsidR="72A25F60" w:rsidRPr="00BC1AFF">
        <w:t>M</w:t>
      </w:r>
      <w:r w:rsidR="49BDE94F" w:rsidRPr="00BC1AFF">
        <w:t xml:space="preserve">anaged </w:t>
      </w:r>
      <w:r w:rsidR="72A25F60" w:rsidRPr="00BC1AFF">
        <w:t>S</w:t>
      </w:r>
      <w:r w:rsidR="49BDE94F" w:rsidRPr="00BC1AFF">
        <w:t>ervices</w:t>
      </w:r>
      <w:r w:rsidRPr="00BC1AFF">
        <w:t xml:space="preserve"> performance</w:t>
      </w:r>
      <w:r w:rsidR="00EB4128" w:rsidRPr="00BC1AFF">
        <w:t>; and</w:t>
      </w:r>
    </w:p>
    <w:p w14:paraId="3B351F9E" w14:textId="32891126" w:rsidR="0001335F" w:rsidRPr="00BC1AFF" w:rsidRDefault="6F589DED" w:rsidP="0032372A">
      <w:pPr>
        <w:pStyle w:val="Heading3"/>
      </w:pPr>
      <w:r w:rsidRPr="00BC1AFF">
        <w:rPr>
          <w:i/>
          <w:iCs/>
        </w:rPr>
        <w:t>Continual Service Improvement</w:t>
      </w:r>
      <w:r w:rsidRPr="00BC1AFF">
        <w:t xml:space="preserve"> – A Service Improvement Plan (SIP) will be developed and managed by the SDM with </w:t>
      </w:r>
      <w:r w:rsidR="49BDE94F" w:rsidRPr="00BC1AFF">
        <w:t>y</w:t>
      </w:r>
      <w:r w:rsidRPr="00BC1AFF">
        <w:t>ou</w:t>
      </w:r>
      <w:bookmarkStart w:id="276" w:name="_Ref109839377"/>
      <w:bookmarkStart w:id="277" w:name="_Toc115217373"/>
      <w:r w:rsidR="00E34BF5" w:rsidRPr="00BC1AFF">
        <w:t>.</w:t>
      </w:r>
    </w:p>
    <w:p w14:paraId="4F63A9E2" w14:textId="08F140A0" w:rsidR="00E34BF5" w:rsidRPr="00BC1AFF" w:rsidRDefault="00E34BF5" w:rsidP="00802292">
      <w:pPr>
        <w:pStyle w:val="Heading1"/>
      </w:pPr>
      <w:bookmarkStart w:id="278" w:name="_Toc137461080"/>
      <w:bookmarkStart w:id="279" w:name="_Toc138241448"/>
      <w:bookmarkStart w:id="280" w:name="_Toc160009045"/>
      <w:r w:rsidRPr="00BC1AFF">
        <w:t>Telstra Purple Hosting and Connectivity Services</w:t>
      </w:r>
      <w:bookmarkEnd w:id="278"/>
      <w:bookmarkEnd w:id="279"/>
      <w:bookmarkEnd w:id="280"/>
    </w:p>
    <w:p w14:paraId="52BFFA27" w14:textId="44437BA3" w:rsidR="00B739F6" w:rsidRPr="001727C0" w:rsidRDefault="00B739F6" w:rsidP="003A620A">
      <w:pPr>
        <w:ind w:left="720"/>
        <w:rPr>
          <w:b/>
          <w:bCs/>
        </w:rPr>
      </w:pPr>
      <w:r w:rsidRPr="001727C0">
        <w:rPr>
          <w:b/>
          <w:bCs/>
        </w:rPr>
        <w:t>What are the Telstra Purple Hosting and Connectivity Services?</w:t>
      </w:r>
    </w:p>
    <w:p w14:paraId="46172D44" w14:textId="177D7B78" w:rsidR="00E34BF5" w:rsidRPr="00BC1AFF" w:rsidRDefault="00E34BF5" w:rsidP="00C90281">
      <w:pPr>
        <w:pStyle w:val="Heading2"/>
      </w:pPr>
      <w:r w:rsidRPr="00BC1AFF">
        <w:t xml:space="preserve">Telstra Purple Hosting and Connectivity Services provide the underlying </w:t>
      </w:r>
      <w:r w:rsidR="00803CA1" w:rsidRPr="00BC1AFF">
        <w:t xml:space="preserve">physical and </w:t>
      </w:r>
      <w:r w:rsidRPr="00BC1AFF">
        <w:t>virtual infrastructure for hosted virtual services which:</w:t>
      </w:r>
    </w:p>
    <w:p w14:paraId="023056A9" w14:textId="79EB0CEC" w:rsidR="00E34BF5" w:rsidRPr="00BC1AFF" w:rsidRDefault="00E34BF5" w:rsidP="00E34BF5">
      <w:pPr>
        <w:pStyle w:val="Heading3"/>
      </w:pPr>
      <w:r w:rsidRPr="00BC1AFF">
        <w:t>enable</w:t>
      </w:r>
      <w:r w:rsidR="00171166" w:rsidRPr="00BC1AFF">
        <w:t>s</w:t>
      </w:r>
      <w:r w:rsidRPr="00BC1AFF">
        <w:t xml:space="preserve"> you to cost-effectively extend your corporate network and securely connect to multiple cloud service providers;</w:t>
      </w:r>
    </w:p>
    <w:p w14:paraId="1379336A" w14:textId="7C3F6F43" w:rsidR="00E34BF5" w:rsidRPr="00BC1AFF" w:rsidRDefault="00E34BF5" w:rsidP="00E34BF5">
      <w:pPr>
        <w:pStyle w:val="Heading3"/>
      </w:pPr>
      <w:r w:rsidRPr="00BC1AFF">
        <w:t>include</w:t>
      </w:r>
      <w:r w:rsidR="00171166" w:rsidRPr="00BC1AFF">
        <w:t>s</w:t>
      </w:r>
      <w:r w:rsidRPr="00BC1AFF">
        <w:t xml:space="preserve"> a multi-tenancy network platform which spans datacentres across Australia; and</w:t>
      </w:r>
    </w:p>
    <w:p w14:paraId="2BB62ED2" w14:textId="574C44F5" w:rsidR="00E34BF5" w:rsidRPr="00BC1AFF" w:rsidRDefault="00FD52B0" w:rsidP="00E34BF5">
      <w:pPr>
        <w:pStyle w:val="Heading3"/>
      </w:pPr>
      <w:bookmarkStart w:id="281" w:name="_Ref130808548"/>
      <w:r w:rsidRPr="00BC1AFF">
        <w:t xml:space="preserve">are </w:t>
      </w:r>
      <w:r w:rsidR="00820177" w:rsidRPr="00BC1AFF">
        <w:t xml:space="preserve">able to </w:t>
      </w:r>
      <w:r w:rsidR="003D5189" w:rsidRPr="00BC1AFF">
        <w:t xml:space="preserve">provide </w:t>
      </w:r>
      <w:r w:rsidR="00CF1883" w:rsidRPr="00BC1AFF">
        <w:t xml:space="preserve">secure </w:t>
      </w:r>
      <w:r w:rsidR="003D5189" w:rsidRPr="00BC1AFF">
        <w:t xml:space="preserve">connectivity to </w:t>
      </w:r>
      <w:r w:rsidR="00CF1883" w:rsidRPr="00BC1AFF">
        <w:t>v</w:t>
      </w:r>
      <w:r w:rsidR="00820177" w:rsidRPr="00BC1AFF">
        <w:t>arious</w:t>
      </w:r>
      <w:r w:rsidR="00E34BF5" w:rsidRPr="00BC1AFF">
        <w:t xml:space="preserve"> Software as a Service (</w:t>
      </w:r>
      <w:r w:rsidR="00E34BF5" w:rsidRPr="00BC1AFF">
        <w:rPr>
          <w:b/>
          <w:bCs/>
        </w:rPr>
        <w:t>SaaS</w:t>
      </w:r>
      <w:r w:rsidR="00E34BF5" w:rsidRPr="00BC1AFF">
        <w:t>)</w:t>
      </w:r>
      <w:bookmarkEnd w:id="281"/>
      <w:r w:rsidR="00E34BF5" w:rsidRPr="00BC1AFF">
        <w:t xml:space="preserve"> providers</w:t>
      </w:r>
      <w:r w:rsidR="00CA48BE" w:rsidRPr="00BC1AFF">
        <w:t>.</w:t>
      </w:r>
    </w:p>
    <w:p w14:paraId="2A48E86F" w14:textId="47771C28" w:rsidR="00E34BF5" w:rsidRPr="00BC1AFF" w:rsidRDefault="00965822" w:rsidP="00C90281">
      <w:pPr>
        <w:pStyle w:val="Heading2"/>
      </w:pPr>
      <w:r w:rsidRPr="00BC1AFF">
        <w:t>Telstra Purple Hosting and Connectivity Services</w:t>
      </w:r>
      <w:r w:rsidR="006C7176" w:rsidRPr="00BC1AFF">
        <w:t xml:space="preserve"> can be provided as one of the following:</w:t>
      </w:r>
    </w:p>
    <w:p w14:paraId="6C9B30C9" w14:textId="617287BF" w:rsidR="006C7176" w:rsidRPr="00BC1AFF" w:rsidRDefault="006C7176" w:rsidP="006C7176">
      <w:pPr>
        <w:pStyle w:val="Heading3"/>
      </w:pPr>
      <w:r w:rsidRPr="00BC1AFF">
        <w:t>shared virtual resources;</w:t>
      </w:r>
    </w:p>
    <w:p w14:paraId="01CE9B4F" w14:textId="319922A2" w:rsidR="006C7176" w:rsidRPr="00BC1AFF" w:rsidRDefault="006C7176" w:rsidP="006C7176">
      <w:pPr>
        <w:pStyle w:val="Heading3"/>
      </w:pPr>
      <w:r w:rsidRPr="00BC1AFF">
        <w:t>reserved virtual resources; or</w:t>
      </w:r>
    </w:p>
    <w:p w14:paraId="5AD26316" w14:textId="70278B6B" w:rsidR="006C7176" w:rsidRPr="00BC1AFF" w:rsidRDefault="006C7176" w:rsidP="006C7176">
      <w:pPr>
        <w:pStyle w:val="Heading3"/>
      </w:pPr>
      <w:r w:rsidRPr="00BC1AFF">
        <w:t xml:space="preserve">dedicated hardware. </w:t>
      </w:r>
    </w:p>
    <w:p w14:paraId="381C87A9" w14:textId="22953B7F" w:rsidR="00171166" w:rsidRPr="00BC1AFF" w:rsidRDefault="00712F6B" w:rsidP="00C90281">
      <w:pPr>
        <w:pStyle w:val="Heading2"/>
      </w:pPr>
      <w:r w:rsidRPr="00BC1AFF">
        <w:t>Your selection, and the other</w:t>
      </w:r>
      <w:r w:rsidR="00171166" w:rsidRPr="00BC1AFF">
        <w:t xml:space="preserve"> details of your Telstra Purple Hosting and Connectivity Service</w:t>
      </w:r>
      <w:r w:rsidRPr="00BC1AFF">
        <w:t xml:space="preserve">, </w:t>
      </w:r>
      <w:r w:rsidR="00171166" w:rsidRPr="00BC1AFF">
        <w:t xml:space="preserve">are set out in your Order. </w:t>
      </w:r>
    </w:p>
    <w:p w14:paraId="60BF5E49" w14:textId="7B0551C0" w:rsidR="00B739F6" w:rsidRPr="00BC1AFF" w:rsidRDefault="00B739F6" w:rsidP="003A620A">
      <w:pPr>
        <w:pStyle w:val="SubHead"/>
      </w:pPr>
      <w:bookmarkStart w:id="282" w:name="_Toc137461081"/>
      <w:bookmarkStart w:id="283" w:name="_Toc138241449"/>
      <w:bookmarkStart w:id="284" w:name="_Toc160009046"/>
      <w:r w:rsidRPr="00BC1AFF">
        <w:t>Pre-requisites and requirements</w:t>
      </w:r>
      <w:bookmarkEnd w:id="282"/>
      <w:bookmarkEnd w:id="283"/>
      <w:bookmarkEnd w:id="284"/>
    </w:p>
    <w:p w14:paraId="1AE830E8" w14:textId="55C820D7" w:rsidR="003165A1" w:rsidRPr="00BC1AFF" w:rsidRDefault="009A0A16" w:rsidP="00C90281">
      <w:pPr>
        <w:pStyle w:val="Heading2"/>
      </w:pPr>
      <w:bookmarkStart w:id="285" w:name="_Ref130816113"/>
      <w:r w:rsidRPr="00BC1AFF">
        <w:t xml:space="preserve">In order to receive and use the Telstra Purple Hosting and Connectivity Services, you will need to enter into a separate </w:t>
      </w:r>
      <w:r w:rsidR="007820B8" w:rsidRPr="00BC1AFF">
        <w:t xml:space="preserve">professional services </w:t>
      </w:r>
      <w:r w:rsidRPr="00BC1AFF">
        <w:t>agreement with us</w:t>
      </w:r>
      <w:r w:rsidR="003513E4" w:rsidRPr="00BC1AFF">
        <w:t xml:space="preserve"> </w:t>
      </w:r>
      <w:r w:rsidRPr="00BC1AFF">
        <w:t>for the integration of your network and cloud services</w:t>
      </w:r>
      <w:r w:rsidR="007820B8" w:rsidRPr="00BC1AFF">
        <w:t xml:space="preserve"> on the terms set out in the </w:t>
      </w:r>
      <w:hyperlink r:id="rId20" w:history="1">
        <w:r w:rsidR="007820B8" w:rsidRPr="00BC1AFF">
          <w:rPr>
            <w:rStyle w:val="Hyperlink"/>
          </w:rPr>
          <w:t>Professional Services section of Our Customer Terms</w:t>
        </w:r>
      </w:hyperlink>
      <w:r w:rsidR="007820B8" w:rsidRPr="00BC1AFF">
        <w:t xml:space="preserve"> or your separate agreement with us, as applicable</w:t>
      </w:r>
      <w:r w:rsidRPr="00BC1AFF">
        <w:t xml:space="preserve">. The </w:t>
      </w:r>
      <w:r w:rsidR="007820B8" w:rsidRPr="00BC1AFF">
        <w:t>charges</w:t>
      </w:r>
      <w:r w:rsidR="003513E4" w:rsidRPr="00BC1AFF">
        <w:t xml:space="preserve"> for that integration work will be set out in your separate agreement with us.</w:t>
      </w:r>
      <w:bookmarkEnd w:id="285"/>
      <w:r w:rsidR="003513E4" w:rsidRPr="00BC1AFF">
        <w:t xml:space="preserve"> </w:t>
      </w:r>
    </w:p>
    <w:p w14:paraId="2FA1D541" w14:textId="77777777" w:rsidR="00D53D26" w:rsidRPr="00BC1AFF" w:rsidRDefault="00D53D26" w:rsidP="00C90281">
      <w:pPr>
        <w:pStyle w:val="Heading2"/>
      </w:pPr>
      <w:r w:rsidRPr="00BC1AFF">
        <w:lastRenderedPageBreak/>
        <w:t xml:space="preserve">For each component of your Telstra Purple Hosting and Connectivity Service, you must order, and maintain for the term of that service, a corresponding Telstra Purple Managed Service. </w:t>
      </w:r>
    </w:p>
    <w:p w14:paraId="0EC959DE" w14:textId="79A0AFB2" w:rsidR="006C7176" w:rsidRPr="00BC1AFF" w:rsidRDefault="00B739F6" w:rsidP="00C90281">
      <w:pPr>
        <w:pStyle w:val="Heading2"/>
      </w:pPr>
      <w:bookmarkStart w:id="286" w:name="_Ref130816115"/>
      <w:r w:rsidRPr="00BC1AFF">
        <w:t xml:space="preserve">You </w:t>
      </w:r>
      <w:r w:rsidR="00991C0F" w:rsidRPr="00BC1AFF">
        <w:t>must</w:t>
      </w:r>
      <w:r w:rsidRPr="00BC1AFF">
        <w:t>:</w:t>
      </w:r>
      <w:bookmarkEnd w:id="286"/>
    </w:p>
    <w:p w14:paraId="639FF239" w14:textId="09AD852A" w:rsidR="008E446E" w:rsidRPr="00BC1AFF" w:rsidRDefault="00B739F6" w:rsidP="00F65222">
      <w:pPr>
        <w:pStyle w:val="Heading3"/>
        <w:numPr>
          <w:ilvl w:val="2"/>
          <w:numId w:val="9"/>
        </w:numPr>
      </w:pPr>
      <w:r w:rsidRPr="00BC1AFF">
        <w:t>order</w:t>
      </w:r>
      <w:r w:rsidR="00013FDE" w:rsidRPr="00BC1AFF">
        <w:t xml:space="preserve">, and maintain for the term of your Telstra Purple Hosting and Connectivity Service </w:t>
      </w:r>
      <w:r w:rsidRPr="00BC1AFF">
        <w:t>at your own cost</w:t>
      </w:r>
      <w:r w:rsidR="00013FDE" w:rsidRPr="00BC1AFF">
        <w:t>,</w:t>
      </w:r>
      <w:r w:rsidRPr="00BC1AFF">
        <w:t xml:space="preserve"> any carriage services required in order to receive and use the Telstra Purple Hosting and Connectivity Services</w:t>
      </w:r>
      <w:r w:rsidR="008E446E" w:rsidRPr="00BC1AFF">
        <w:t>; and</w:t>
      </w:r>
    </w:p>
    <w:p w14:paraId="5C5EC837" w14:textId="60DA5F3E" w:rsidR="00B739F6" w:rsidRPr="00BC1AFF" w:rsidRDefault="008E446E" w:rsidP="00F65222">
      <w:pPr>
        <w:pStyle w:val="Heading3"/>
        <w:numPr>
          <w:ilvl w:val="2"/>
          <w:numId w:val="9"/>
        </w:numPr>
      </w:pPr>
      <w:r w:rsidRPr="00BC1AFF">
        <w:t>ensur</w:t>
      </w:r>
      <w:r w:rsidR="00991C0F" w:rsidRPr="00BC1AFF">
        <w:t>e</w:t>
      </w:r>
      <w:r w:rsidRPr="00BC1AFF">
        <w:t xml:space="preserve"> that any components of your network and/or systems not provided by us, support any configuration needed to integrate the Telstra Purple Hosting and Connectivity Services without extensive remediation or configuration. In particular, the following capabilities may be required:</w:t>
      </w:r>
    </w:p>
    <w:p w14:paraId="0ADC4D18" w14:textId="74CFB8D9" w:rsidR="008E446E" w:rsidRPr="00BC1AFF" w:rsidRDefault="008E446E" w:rsidP="005A483F">
      <w:pPr>
        <w:pStyle w:val="Heading4"/>
      </w:pPr>
      <w:r w:rsidRPr="00BC1AFF">
        <w:t>port-channel feature on switching;</w:t>
      </w:r>
    </w:p>
    <w:p w14:paraId="5FF34B33" w14:textId="2BE26546" w:rsidR="008E446E" w:rsidRPr="00BC1AFF" w:rsidRDefault="008E446E" w:rsidP="005A483F">
      <w:pPr>
        <w:pStyle w:val="Heading4"/>
      </w:pPr>
      <w:r w:rsidRPr="00BC1AFF">
        <w:t>dynamic routing capability; and</w:t>
      </w:r>
    </w:p>
    <w:p w14:paraId="3877C8A4" w14:textId="77777777" w:rsidR="00317647" w:rsidRPr="00BC1AFF" w:rsidRDefault="008E446E" w:rsidP="005A483F">
      <w:pPr>
        <w:pStyle w:val="Heading4"/>
      </w:pPr>
      <w:r w:rsidRPr="00BC1AFF">
        <w:t>spare switch ports for integration scenarios</w:t>
      </w:r>
      <w:r w:rsidR="00317647" w:rsidRPr="00BC1AFF">
        <w:t>; and</w:t>
      </w:r>
    </w:p>
    <w:p w14:paraId="2753F8AF" w14:textId="3484B633" w:rsidR="008E446E" w:rsidRPr="00BC1AFF" w:rsidRDefault="00317647" w:rsidP="00317647">
      <w:pPr>
        <w:pStyle w:val="Heading3"/>
      </w:pPr>
      <w:bookmarkStart w:id="287" w:name="_Ref130819496"/>
      <w:bookmarkStart w:id="288" w:name="_Ref131152289"/>
      <w:r w:rsidRPr="00BC1AFF">
        <w:t>provid</w:t>
      </w:r>
      <w:r w:rsidR="00991C0F" w:rsidRPr="00BC1AFF">
        <w:t>e</w:t>
      </w:r>
      <w:r w:rsidRPr="00BC1AFF">
        <w:t xml:space="preserve"> us with any access we require in order to provide the Telstra Purple Hosting and Connectivity Service and any other related Telstra Managed Services; </w:t>
      </w:r>
      <w:r w:rsidR="00A17DF8" w:rsidRPr="00BC1AFF">
        <w:t>and</w:t>
      </w:r>
      <w:bookmarkEnd w:id="287"/>
      <w:bookmarkEnd w:id="288"/>
    </w:p>
    <w:p w14:paraId="7AA96B21" w14:textId="624E92D9" w:rsidR="00A17DF8" w:rsidRPr="00BC1AFF" w:rsidRDefault="004E36D2" w:rsidP="00317647">
      <w:pPr>
        <w:pStyle w:val="Heading3"/>
      </w:pPr>
      <w:bookmarkStart w:id="289" w:name="_Ref131417541"/>
      <w:r w:rsidRPr="00BC1AFF">
        <w:t>obtain</w:t>
      </w:r>
      <w:r w:rsidR="00A17DF8" w:rsidRPr="00BC1AFF">
        <w:t xml:space="preserve"> all relevant third party consents to:</w:t>
      </w:r>
      <w:bookmarkEnd w:id="289"/>
    </w:p>
    <w:p w14:paraId="0EA82FFE" w14:textId="3BB46B2C" w:rsidR="00A17DF8" w:rsidRPr="00BC1AFF" w:rsidRDefault="00A17DF8" w:rsidP="005A483F">
      <w:pPr>
        <w:pStyle w:val="Heading4"/>
      </w:pPr>
      <w:r w:rsidRPr="00BC1AFF">
        <w:t xml:space="preserve">provide us with the access contemplated in clause </w:t>
      </w:r>
      <w:r w:rsidR="00B9426F" w:rsidRPr="00BC1AFF">
        <w:fldChar w:fldCharType="begin"/>
      </w:r>
      <w:r w:rsidR="00B9426F" w:rsidRPr="00BC1AFF">
        <w:instrText xml:space="preserve"> REF _Ref131152289 \w \h </w:instrText>
      </w:r>
      <w:r w:rsidR="00E65435" w:rsidRPr="00BC1AFF">
        <w:instrText xml:space="preserve"> \* MERGEFORMAT </w:instrText>
      </w:r>
      <w:r w:rsidR="00B9426F" w:rsidRPr="00BC1AFF">
        <w:fldChar w:fldCharType="separate"/>
      </w:r>
      <w:r w:rsidR="00810AD0">
        <w:t>16.6(c)</w:t>
      </w:r>
      <w:r w:rsidR="00B9426F" w:rsidRPr="00BC1AFF">
        <w:fldChar w:fldCharType="end"/>
      </w:r>
      <w:r w:rsidRPr="00BC1AFF">
        <w:t>; and</w:t>
      </w:r>
    </w:p>
    <w:p w14:paraId="0D3D9208" w14:textId="7B64843E" w:rsidR="00A17DF8" w:rsidRPr="00BC1AFF" w:rsidRDefault="00A17DF8" w:rsidP="005A483F">
      <w:pPr>
        <w:pStyle w:val="Heading4"/>
      </w:pPr>
      <w:r w:rsidRPr="00BC1AFF">
        <w:t>allow us to access your</w:t>
      </w:r>
      <w:r w:rsidR="00C85F9A" w:rsidRPr="00BC1AFF">
        <w:t xml:space="preserve"> </w:t>
      </w:r>
      <w:r w:rsidR="004E36D2" w:rsidRPr="00BC1AFF">
        <w:t>IT Environments and Components</w:t>
      </w:r>
      <w:r w:rsidR="00C85F9A" w:rsidRPr="00BC1AFF">
        <w:t xml:space="preserve">, and integrate the Telstra Purple Hosting and Connectivity Service with your environment, without breaching any third party rights. </w:t>
      </w:r>
    </w:p>
    <w:p w14:paraId="702AFD5D" w14:textId="51C91D32" w:rsidR="001248C9" w:rsidRPr="00BC1AFF" w:rsidRDefault="001248C9" w:rsidP="00C90281">
      <w:pPr>
        <w:pStyle w:val="Heading2"/>
      </w:pPr>
      <w:r w:rsidRPr="00BC1AFF">
        <w:t xml:space="preserve">If you do not comply with clauses </w:t>
      </w:r>
      <w:r w:rsidRPr="00BC1AFF">
        <w:fldChar w:fldCharType="begin"/>
      </w:r>
      <w:r w:rsidRPr="00BC1AFF">
        <w:instrText xml:space="preserve"> REF _Ref130816113 \r \h </w:instrText>
      </w:r>
      <w:r w:rsidR="00E65435" w:rsidRPr="00BC1AFF">
        <w:instrText xml:space="preserve"> \* MERGEFORMAT </w:instrText>
      </w:r>
      <w:r w:rsidRPr="00BC1AFF">
        <w:fldChar w:fldCharType="separate"/>
      </w:r>
      <w:r w:rsidR="00810AD0">
        <w:t>16.4</w:t>
      </w:r>
      <w:r w:rsidRPr="00BC1AFF">
        <w:fldChar w:fldCharType="end"/>
      </w:r>
      <w:r w:rsidRPr="00BC1AFF">
        <w:t xml:space="preserve"> to </w:t>
      </w:r>
      <w:r w:rsidRPr="00BC1AFF">
        <w:fldChar w:fldCharType="begin"/>
      </w:r>
      <w:r w:rsidRPr="00BC1AFF">
        <w:instrText xml:space="preserve"> REF _Ref130816115 \r \h </w:instrText>
      </w:r>
      <w:r w:rsidR="00E65435" w:rsidRPr="00BC1AFF">
        <w:instrText xml:space="preserve"> \* MERGEFORMAT </w:instrText>
      </w:r>
      <w:r w:rsidRPr="00BC1AFF">
        <w:fldChar w:fldCharType="separate"/>
      </w:r>
      <w:r w:rsidR="00810AD0">
        <w:t>16.6</w:t>
      </w:r>
      <w:r w:rsidRPr="00BC1AFF">
        <w:fldChar w:fldCharType="end"/>
      </w:r>
      <w:r w:rsidRPr="00BC1AFF">
        <w:t xml:space="preserve"> then:</w:t>
      </w:r>
    </w:p>
    <w:p w14:paraId="0179B54E" w14:textId="528A6CC4" w:rsidR="003165A1" w:rsidRPr="00BC1AFF" w:rsidRDefault="001248C9" w:rsidP="001248C9">
      <w:pPr>
        <w:pStyle w:val="Heading3"/>
      </w:pPr>
      <w:r w:rsidRPr="00BC1AFF">
        <w:t>your Telstra Purple Hosting and Connectivity Services and associated Telstra Managed Services may be adversely affected;</w:t>
      </w:r>
    </w:p>
    <w:p w14:paraId="083B10D6" w14:textId="2EDB78D8" w:rsidR="001248C9" w:rsidRPr="00BC1AFF" w:rsidRDefault="001248C9" w:rsidP="001248C9">
      <w:pPr>
        <w:pStyle w:val="Heading3"/>
      </w:pPr>
      <w:r w:rsidRPr="00BC1AFF">
        <w:t xml:space="preserve">we are not responsible for any failure to comply with our obligations in respect of your Telstra Purple Hosting and Connectivity Services and associated Telstra </w:t>
      </w:r>
      <w:r w:rsidR="00AB4E8D" w:rsidRPr="00BC1AFF">
        <w:t xml:space="preserve">Purple </w:t>
      </w:r>
      <w:r w:rsidRPr="00BC1AFF">
        <w:t xml:space="preserve">Managed Services to the extent we cannot do so because of your failure to comply with clauses </w:t>
      </w:r>
      <w:r w:rsidRPr="00BC1AFF">
        <w:fldChar w:fldCharType="begin"/>
      </w:r>
      <w:r w:rsidRPr="00BC1AFF">
        <w:instrText xml:space="preserve"> REF _Ref130816113 \r \h </w:instrText>
      </w:r>
      <w:r w:rsidR="00E65435" w:rsidRPr="00BC1AFF">
        <w:instrText xml:space="preserve"> \* MERGEFORMAT </w:instrText>
      </w:r>
      <w:r w:rsidRPr="00BC1AFF">
        <w:fldChar w:fldCharType="separate"/>
      </w:r>
      <w:r w:rsidR="00810AD0">
        <w:t>16.4</w:t>
      </w:r>
      <w:r w:rsidRPr="00BC1AFF">
        <w:fldChar w:fldCharType="end"/>
      </w:r>
      <w:r w:rsidRPr="00BC1AFF">
        <w:t xml:space="preserve"> to </w:t>
      </w:r>
      <w:r w:rsidRPr="00BC1AFF">
        <w:fldChar w:fldCharType="begin"/>
      </w:r>
      <w:r w:rsidRPr="00BC1AFF">
        <w:instrText xml:space="preserve"> REF _Ref130816115 \r \h </w:instrText>
      </w:r>
      <w:r w:rsidR="00E65435" w:rsidRPr="00BC1AFF">
        <w:instrText xml:space="preserve"> \* MERGEFORMAT </w:instrText>
      </w:r>
      <w:r w:rsidRPr="00BC1AFF">
        <w:fldChar w:fldCharType="separate"/>
      </w:r>
      <w:r w:rsidR="00810AD0">
        <w:t>16.6</w:t>
      </w:r>
      <w:r w:rsidRPr="00BC1AFF">
        <w:fldChar w:fldCharType="end"/>
      </w:r>
      <w:r w:rsidRPr="00BC1AFF">
        <w:t>; and</w:t>
      </w:r>
    </w:p>
    <w:p w14:paraId="4C373A72" w14:textId="30D724A7" w:rsidR="001248C9" w:rsidRPr="00BC1AFF" w:rsidRDefault="001248C9" w:rsidP="008D655D">
      <w:pPr>
        <w:pStyle w:val="Heading3"/>
      </w:pPr>
      <w:r w:rsidRPr="00BC1AFF">
        <w:t xml:space="preserve">we may terminate your Telstra Purple Hosting and Connectivity Services and associated Telstra </w:t>
      </w:r>
      <w:r w:rsidR="00735497" w:rsidRPr="00BC1AFF">
        <w:t xml:space="preserve">Purple </w:t>
      </w:r>
      <w:r w:rsidRPr="00BC1AFF">
        <w:t xml:space="preserve">Managed Services. </w:t>
      </w:r>
    </w:p>
    <w:p w14:paraId="460FD3F3" w14:textId="06A8E773" w:rsidR="000C0301" w:rsidRPr="00BC1AFF" w:rsidRDefault="000C0301" w:rsidP="00C90281">
      <w:pPr>
        <w:pStyle w:val="Heading2"/>
      </w:pPr>
      <w:r w:rsidRPr="00BC1AFF">
        <w:t>You indemnify us against any loss or damage that we suffer or incur</w:t>
      </w:r>
      <w:r w:rsidR="0013757C">
        <w:t xml:space="preserve"> and that</w:t>
      </w:r>
      <w:r w:rsidR="005E6DCD">
        <w:t xml:space="preserve"> aris</w:t>
      </w:r>
      <w:r w:rsidR="0013757C">
        <w:t>es</w:t>
      </w:r>
      <w:r w:rsidR="005E6DCD">
        <w:t xml:space="preserve"> naturally (that is, according to the usual course of things)</w:t>
      </w:r>
      <w:r w:rsidRPr="00BC1AFF">
        <w:t xml:space="preserve"> </w:t>
      </w:r>
      <w:r w:rsidR="0013757C">
        <w:t>as a result of</w:t>
      </w:r>
      <w:r w:rsidRPr="00BC1AFF">
        <w:t xml:space="preserve"> any third party claim against us in relation to your breach of clause </w:t>
      </w:r>
      <w:r w:rsidRPr="00BC1AFF">
        <w:fldChar w:fldCharType="begin"/>
      </w:r>
      <w:r w:rsidRPr="00BC1AFF">
        <w:instrText xml:space="preserve"> REF _Ref131417541 \r \h </w:instrText>
      </w:r>
      <w:r w:rsidR="00E65435" w:rsidRPr="00BC1AFF">
        <w:instrText xml:space="preserve"> \* MERGEFORMAT </w:instrText>
      </w:r>
      <w:r w:rsidRPr="00BC1AFF">
        <w:fldChar w:fldCharType="separate"/>
      </w:r>
      <w:r w:rsidR="00810AD0">
        <w:t>16.6(d)</w:t>
      </w:r>
      <w:r w:rsidRPr="00BC1AFF">
        <w:fldChar w:fldCharType="end"/>
      </w:r>
      <w:r w:rsidR="00170A2F" w:rsidRPr="00BC1AFF">
        <w:t>, except to the extent that the loss or damage arises from our negligence</w:t>
      </w:r>
      <w:r w:rsidR="005E6DCD">
        <w:t xml:space="preserve">, breach of </w:t>
      </w:r>
      <w:r w:rsidR="0013757C">
        <w:t>contract</w:t>
      </w:r>
      <w:r w:rsidR="00170A2F" w:rsidRPr="00BC1AFF">
        <w:t xml:space="preserve"> or breach of </w:t>
      </w:r>
      <w:r w:rsidR="00C646D4" w:rsidRPr="00BC1AFF">
        <w:t xml:space="preserve">applicable </w:t>
      </w:r>
      <w:r w:rsidR="00170A2F" w:rsidRPr="00BC1AFF">
        <w:t>law</w:t>
      </w:r>
      <w:r w:rsidRPr="00BC1AFF">
        <w:t xml:space="preserve">.  </w:t>
      </w:r>
      <w:r w:rsidR="005E6DCD">
        <w:t>We will also take reasonable steps to mitigate our loss or damage that we suffer or incur in connection with such a claim.</w:t>
      </w:r>
    </w:p>
    <w:p w14:paraId="154C6591" w14:textId="03D79CEE" w:rsidR="008D655D" w:rsidRPr="00BC1AFF" w:rsidRDefault="008D655D" w:rsidP="003A620A">
      <w:pPr>
        <w:pStyle w:val="SubHead"/>
      </w:pPr>
      <w:bookmarkStart w:id="290" w:name="_Toc137461082"/>
      <w:bookmarkStart w:id="291" w:name="_Toc138241450"/>
      <w:bookmarkStart w:id="292" w:name="_Toc160009047"/>
      <w:r w:rsidRPr="00BC1AFF">
        <w:lastRenderedPageBreak/>
        <w:t>Your responsibilities</w:t>
      </w:r>
      <w:bookmarkEnd w:id="290"/>
      <w:bookmarkEnd w:id="291"/>
      <w:bookmarkEnd w:id="292"/>
    </w:p>
    <w:p w14:paraId="319EE3DD" w14:textId="32AD62B1" w:rsidR="008D655D" w:rsidRPr="00BC1AFF" w:rsidRDefault="00A328A8" w:rsidP="00C90281">
      <w:pPr>
        <w:pStyle w:val="Heading2"/>
      </w:pPr>
      <w:bookmarkStart w:id="293" w:name="_Ref130820405"/>
      <w:bookmarkStart w:id="294" w:name="_Ref131417938"/>
      <w:r w:rsidRPr="00BC1AFF">
        <w:t>Unless expressly identified otherwise in this section of Our Customer Terms or your Order (including any MSD</w:t>
      </w:r>
      <w:r w:rsidR="00E862CA" w:rsidRPr="00BC1AFF">
        <w:t>(</w:t>
      </w:r>
      <w:r w:rsidR="00735497" w:rsidRPr="00BC1AFF">
        <w:t>s</w:t>
      </w:r>
      <w:r w:rsidR="00E862CA" w:rsidRPr="00BC1AFF">
        <w:t>)</w:t>
      </w:r>
      <w:r w:rsidRPr="00BC1AFF">
        <w:t xml:space="preserve"> or SD</w:t>
      </w:r>
      <w:r w:rsidR="00E862CA" w:rsidRPr="00BC1AFF">
        <w:t>(s)</w:t>
      </w:r>
      <w:r w:rsidRPr="00BC1AFF">
        <w:t xml:space="preserve">), you </w:t>
      </w:r>
      <w:r w:rsidR="00CC1A24" w:rsidRPr="00BC1AFF">
        <w:t>must</w:t>
      </w:r>
      <w:r w:rsidRPr="00BC1AFF">
        <w:t>:</w:t>
      </w:r>
      <w:bookmarkEnd w:id="293"/>
      <w:bookmarkEnd w:id="294"/>
    </w:p>
    <w:p w14:paraId="1EF7DA7E" w14:textId="40AFFA37" w:rsidR="00A328A8" w:rsidRPr="00BC1AFF" w:rsidRDefault="006E560E" w:rsidP="00A328A8">
      <w:pPr>
        <w:pStyle w:val="Heading3"/>
      </w:pPr>
      <w:r w:rsidRPr="00BC1AFF">
        <w:t>notify us of</w:t>
      </w:r>
      <w:r w:rsidR="00A328A8" w:rsidRPr="00BC1AFF">
        <w:t xml:space="preserve"> any planned</w:t>
      </w:r>
      <w:r w:rsidRPr="00BC1AFF">
        <w:t xml:space="preserve"> or </w:t>
      </w:r>
      <w:r w:rsidR="00A328A8" w:rsidRPr="00BC1AFF">
        <w:t>scheduled maintenance</w:t>
      </w:r>
      <w:r w:rsidR="00CD1B22" w:rsidRPr="00BC1AFF">
        <w:t xml:space="preserve"> and system downtime that either you or your third party suppliers instigate, which may affect</w:t>
      </w:r>
      <w:r w:rsidR="00A328A8" w:rsidRPr="00BC1AFF">
        <w:t xml:space="preserve"> </w:t>
      </w:r>
      <w:r w:rsidR="00CD1B22" w:rsidRPr="00BC1AFF">
        <w:t xml:space="preserve">your IT Environments and Components, </w:t>
      </w:r>
      <w:r w:rsidR="0047030F" w:rsidRPr="00BC1AFF">
        <w:t xml:space="preserve">including </w:t>
      </w:r>
      <w:r w:rsidR="00A328A8" w:rsidRPr="00BC1AFF">
        <w:t>environmental changes</w:t>
      </w:r>
      <w:r w:rsidR="0047030F" w:rsidRPr="00BC1AFF">
        <w:t>;</w:t>
      </w:r>
    </w:p>
    <w:p w14:paraId="2585E5BF" w14:textId="74018E81" w:rsidR="00A328A8" w:rsidRPr="00BC1AFF" w:rsidRDefault="0047030F" w:rsidP="00A328A8">
      <w:pPr>
        <w:pStyle w:val="Heading3"/>
      </w:pPr>
      <w:r w:rsidRPr="00BC1AFF">
        <w:t>obtain, maintain and manag</w:t>
      </w:r>
      <w:r w:rsidR="00CC1A24" w:rsidRPr="00BC1AFF">
        <w:t>e</w:t>
      </w:r>
      <w:r w:rsidRPr="00BC1AFF">
        <w:t xml:space="preserve"> any relevant</w:t>
      </w:r>
      <w:r w:rsidR="00A328A8" w:rsidRPr="00BC1AFF">
        <w:t xml:space="preserve"> third-party maintenance and support contracts</w:t>
      </w:r>
      <w:r w:rsidRPr="00BC1AFF">
        <w:t>;</w:t>
      </w:r>
    </w:p>
    <w:p w14:paraId="1CCB9F4A" w14:textId="6CD73B3D" w:rsidR="00A328A8" w:rsidRPr="00BC1AFF" w:rsidRDefault="0047030F" w:rsidP="00A328A8">
      <w:pPr>
        <w:pStyle w:val="Heading3"/>
      </w:pPr>
      <w:r w:rsidRPr="00BC1AFF">
        <w:t>giv</w:t>
      </w:r>
      <w:r w:rsidR="00D33F81" w:rsidRPr="00BC1AFF">
        <w:t>e</w:t>
      </w:r>
      <w:r w:rsidRPr="00BC1AFF">
        <w:t xml:space="preserve"> us </w:t>
      </w:r>
      <w:r w:rsidR="00F47BF7" w:rsidRPr="00BC1AFF">
        <w:t xml:space="preserve">adequate </w:t>
      </w:r>
      <w:r w:rsidRPr="00BC1AFF">
        <w:t>notice of</w:t>
      </w:r>
      <w:r w:rsidR="00A328A8" w:rsidRPr="00BC1AFF">
        <w:t xml:space="preserve"> any upgrade </w:t>
      </w:r>
      <w:r w:rsidRPr="00BC1AFF">
        <w:t xml:space="preserve">to, </w:t>
      </w:r>
      <w:r w:rsidR="00A328A8" w:rsidRPr="00BC1AFF">
        <w:t xml:space="preserve">or modification </w:t>
      </w:r>
      <w:r w:rsidRPr="00BC1AFF">
        <w:t>of,</w:t>
      </w:r>
      <w:r w:rsidR="00A328A8" w:rsidRPr="00BC1AFF">
        <w:t xml:space="preserve"> </w:t>
      </w:r>
      <w:r w:rsidRPr="00BC1AFF">
        <w:t>your IT Environments and Components</w:t>
      </w:r>
      <w:r w:rsidR="00A328A8" w:rsidRPr="00BC1AFF">
        <w:t xml:space="preserve"> that may affect </w:t>
      </w:r>
      <w:r w:rsidRPr="00BC1AFF">
        <w:t>the</w:t>
      </w:r>
      <w:r w:rsidR="007C06DB" w:rsidRPr="00BC1AFF">
        <w:t xml:space="preserve"> </w:t>
      </w:r>
      <w:r w:rsidR="00B764F1" w:rsidRPr="00BC1AFF">
        <w:t xml:space="preserve">availability, </w:t>
      </w:r>
      <w:r w:rsidR="007C06DB" w:rsidRPr="00BC1AFF">
        <w:t>support or</w:t>
      </w:r>
      <w:r w:rsidR="00A328A8" w:rsidRPr="00BC1AFF">
        <w:t xml:space="preserve"> compatibility of the </w:t>
      </w:r>
      <w:r w:rsidRPr="00BC1AFF">
        <w:t xml:space="preserve">Telstra Purple Hosting and Connectivity Service with your IT Environment and Components; </w:t>
      </w:r>
    </w:p>
    <w:p w14:paraId="1ABAA376" w14:textId="180875FE" w:rsidR="007C06DB" w:rsidRPr="00BC1AFF" w:rsidRDefault="007C06DB" w:rsidP="00A328A8">
      <w:pPr>
        <w:pStyle w:val="Heading3"/>
      </w:pPr>
      <w:r w:rsidRPr="00BC1AFF">
        <w:t xml:space="preserve">pay any third party charges relating to your </w:t>
      </w:r>
      <w:r w:rsidR="00E337C1" w:rsidRPr="00BC1AFF">
        <w:t>environment</w:t>
      </w:r>
      <w:r w:rsidRPr="00BC1AFF">
        <w:t>;</w:t>
      </w:r>
    </w:p>
    <w:p w14:paraId="0D87A261" w14:textId="70EFA49F" w:rsidR="00A328A8" w:rsidRPr="00BC1AFF" w:rsidRDefault="000C0301" w:rsidP="00A328A8">
      <w:pPr>
        <w:pStyle w:val="Heading3"/>
      </w:pPr>
      <w:r w:rsidRPr="00BC1AFF">
        <w:t xml:space="preserve">provide </w:t>
      </w:r>
      <w:r w:rsidR="00A328A8" w:rsidRPr="00BC1AFF">
        <w:t xml:space="preserve">all </w:t>
      </w:r>
      <w:r w:rsidRPr="00BC1AFF">
        <w:t xml:space="preserve">necessary </w:t>
      </w:r>
      <w:r w:rsidR="00A328A8" w:rsidRPr="00BC1AFF">
        <w:t>end user support and training</w:t>
      </w:r>
      <w:r w:rsidRPr="00BC1AFF">
        <w:t xml:space="preserve"> to your Authorised Users</w:t>
      </w:r>
      <w:r w:rsidR="00E337C1" w:rsidRPr="00BC1AFF">
        <w:t>;</w:t>
      </w:r>
    </w:p>
    <w:p w14:paraId="3A04FC5C" w14:textId="61C19041" w:rsidR="00A328A8" w:rsidRPr="00BC1AFF" w:rsidRDefault="000C0301" w:rsidP="00A328A8">
      <w:pPr>
        <w:pStyle w:val="Heading3"/>
      </w:pPr>
      <w:r w:rsidRPr="00BC1AFF">
        <w:t xml:space="preserve">ensure </w:t>
      </w:r>
      <w:r w:rsidR="00A328A8" w:rsidRPr="00BC1AFF">
        <w:t xml:space="preserve">24x7x365 availability of a suitable </w:t>
      </w:r>
      <w:r w:rsidR="008E7A9D" w:rsidRPr="00BC1AFF">
        <w:t>e</w:t>
      </w:r>
      <w:r w:rsidR="00A328A8" w:rsidRPr="00BC1AFF">
        <w:t xml:space="preserve">scalation </w:t>
      </w:r>
      <w:r w:rsidR="008E7A9D" w:rsidRPr="00BC1AFF">
        <w:t>c</w:t>
      </w:r>
      <w:r w:rsidR="00A328A8" w:rsidRPr="00BC1AFF">
        <w:t xml:space="preserve">ontact </w:t>
      </w:r>
      <w:r w:rsidR="008E7A9D" w:rsidRPr="00BC1AFF">
        <w:t>who is authorised to</w:t>
      </w:r>
      <w:r w:rsidR="00A328A8" w:rsidRPr="00BC1AFF">
        <w:t xml:space="preserve"> </w:t>
      </w:r>
      <w:r w:rsidR="008E7A9D" w:rsidRPr="00BC1AFF">
        <w:t>approve</w:t>
      </w:r>
      <w:r w:rsidR="00A328A8" w:rsidRPr="00BC1AFF">
        <w:t xml:space="preserve"> </w:t>
      </w:r>
      <w:r w:rsidR="008E7A9D" w:rsidRPr="00BC1AFF">
        <w:t>e</w:t>
      </w:r>
      <w:r w:rsidR="00A328A8" w:rsidRPr="00BC1AFF">
        <w:t xml:space="preserve">mergency </w:t>
      </w:r>
      <w:r w:rsidR="008E7A9D" w:rsidRPr="00BC1AFF">
        <w:t>c</w:t>
      </w:r>
      <w:r w:rsidR="00A328A8" w:rsidRPr="00BC1AFF">
        <w:t>hange</w:t>
      </w:r>
      <w:r w:rsidR="008E7A9D" w:rsidRPr="00BC1AFF">
        <w:t>s</w:t>
      </w:r>
      <w:r w:rsidR="00A328A8" w:rsidRPr="00BC1AFF">
        <w:t xml:space="preserve"> </w:t>
      </w:r>
      <w:r w:rsidR="008E7A9D" w:rsidRPr="00BC1AFF">
        <w:t xml:space="preserve">and </w:t>
      </w:r>
      <w:r w:rsidR="00A328A8" w:rsidRPr="00BC1AFF">
        <w:t xml:space="preserve">engage other aspects of </w:t>
      </w:r>
      <w:r w:rsidR="008E7A9D" w:rsidRPr="00BC1AFF">
        <w:t>your</w:t>
      </w:r>
      <w:r w:rsidR="00A328A8" w:rsidRPr="00BC1AFF">
        <w:t xml:space="preserve"> support functions</w:t>
      </w:r>
      <w:r w:rsidR="008E7A9D" w:rsidRPr="00BC1AFF">
        <w:t>;</w:t>
      </w:r>
    </w:p>
    <w:p w14:paraId="283C6B64" w14:textId="028C1C21" w:rsidR="00A328A8" w:rsidRPr="00BC1AFF" w:rsidRDefault="00406B6E" w:rsidP="00A328A8">
      <w:pPr>
        <w:pStyle w:val="Heading3"/>
      </w:pPr>
      <w:r w:rsidRPr="00BC1AFF">
        <w:t>provid</w:t>
      </w:r>
      <w:r w:rsidR="000C0301" w:rsidRPr="00BC1AFF">
        <w:t>e</w:t>
      </w:r>
      <w:r w:rsidRPr="00BC1AFF">
        <w:t xml:space="preserve"> any project management required for your </w:t>
      </w:r>
      <w:r w:rsidR="00A328A8" w:rsidRPr="00BC1AFF">
        <w:t xml:space="preserve">company specific activities. We </w:t>
      </w:r>
      <w:r w:rsidR="00862C38" w:rsidRPr="00BC1AFF">
        <w:t>do</w:t>
      </w:r>
      <w:r w:rsidRPr="00BC1AFF">
        <w:t xml:space="preserve"> not</w:t>
      </w:r>
      <w:r w:rsidR="00A328A8" w:rsidRPr="00BC1AFF">
        <w:t xml:space="preserve"> provid</w:t>
      </w:r>
      <w:r w:rsidRPr="00BC1AFF">
        <w:t>e</w:t>
      </w:r>
      <w:r w:rsidR="00A328A8" w:rsidRPr="00BC1AFF">
        <w:t xml:space="preserve"> any project management </w:t>
      </w:r>
      <w:r w:rsidRPr="00BC1AFF">
        <w:t>services</w:t>
      </w:r>
      <w:r w:rsidR="00A328A8" w:rsidRPr="00BC1AFF">
        <w:t xml:space="preserve"> as part of </w:t>
      </w:r>
      <w:r w:rsidRPr="00BC1AFF">
        <w:t>the Telstra Purple Hosting and Connectivity Services or any other related Telstra Purple Managed Services;</w:t>
      </w:r>
    </w:p>
    <w:p w14:paraId="18E1A1DE" w14:textId="541FD9DB" w:rsidR="00A328A8" w:rsidRPr="00BC1AFF" w:rsidRDefault="00991AB6" w:rsidP="00A328A8">
      <w:pPr>
        <w:pStyle w:val="Heading3"/>
      </w:pPr>
      <w:r w:rsidRPr="00BC1AFF">
        <w:t>provid</w:t>
      </w:r>
      <w:r w:rsidR="000C0301" w:rsidRPr="00BC1AFF">
        <w:t>e</w:t>
      </w:r>
      <w:r w:rsidRPr="00BC1AFF">
        <w:t xml:space="preserve"> us with contact details and roles of personnel we may need to contact in connection with your Telstra Purple Hosting and Connectivity Services or any other related Telstra Purple Managed Services</w:t>
      </w:r>
      <w:r w:rsidR="00017481" w:rsidRPr="00BC1AFF">
        <w:t xml:space="preserve"> (</w:t>
      </w:r>
      <w:r w:rsidRPr="00BC1AFF">
        <w:t xml:space="preserve">such as </w:t>
      </w:r>
      <w:r w:rsidR="00A328A8" w:rsidRPr="00BC1AFF">
        <w:t>Executive and Senior Management, Business Analysts</w:t>
      </w:r>
      <w:r w:rsidR="00F82DB2" w:rsidRPr="00BC1AFF">
        <w:t>,</w:t>
      </w:r>
      <w:r w:rsidR="00A328A8" w:rsidRPr="00BC1AFF">
        <w:t xml:space="preserve"> Architects, Systems Architects, Systems Engineers, and Network Engineers</w:t>
      </w:r>
      <w:r w:rsidR="00017481" w:rsidRPr="00BC1AFF">
        <w:t>)</w:t>
      </w:r>
      <w:r w:rsidR="00F47BF7" w:rsidRPr="00BC1AFF">
        <w:t xml:space="preserve"> and ensur</w:t>
      </w:r>
      <w:r w:rsidR="00F152FD" w:rsidRPr="00BC1AFF">
        <w:t>e</w:t>
      </w:r>
      <w:r w:rsidR="00F47BF7" w:rsidRPr="00BC1AFF">
        <w:t xml:space="preserve"> those personnel are available to provide us with information, and participate in scheduled information gathering sessions, meetings and calls</w:t>
      </w:r>
      <w:r w:rsidR="00F82DB2" w:rsidRPr="00BC1AFF">
        <w:t xml:space="preserve">; </w:t>
      </w:r>
    </w:p>
    <w:p w14:paraId="7CCC6560" w14:textId="64F5856B" w:rsidR="002F6D48" w:rsidRPr="00BC1AFF" w:rsidRDefault="002F6D48" w:rsidP="002F6D48">
      <w:pPr>
        <w:pStyle w:val="Heading3"/>
      </w:pPr>
      <w:r w:rsidRPr="00BC1AFF">
        <w:t>perform any testing we require; and</w:t>
      </w:r>
    </w:p>
    <w:p w14:paraId="0150DBFF" w14:textId="3A0C4911" w:rsidR="00A328A8" w:rsidRPr="00BC1AFF" w:rsidRDefault="002F6D48" w:rsidP="00A328A8">
      <w:pPr>
        <w:pStyle w:val="Heading3"/>
      </w:pPr>
      <w:r w:rsidRPr="00BC1AFF">
        <w:t>coordinat</w:t>
      </w:r>
      <w:r w:rsidR="000C0301" w:rsidRPr="00BC1AFF">
        <w:t>e</w:t>
      </w:r>
      <w:r w:rsidR="00A328A8" w:rsidRPr="00BC1AFF">
        <w:t xml:space="preserve"> </w:t>
      </w:r>
      <w:r w:rsidRPr="00BC1AFF">
        <w:t xml:space="preserve">the availability and assistance of </w:t>
      </w:r>
      <w:r w:rsidR="00A328A8" w:rsidRPr="00BC1AFF">
        <w:t xml:space="preserve">any other </w:t>
      </w:r>
      <w:r w:rsidRPr="00BC1AFF">
        <w:t>third party suppliers or service providers</w:t>
      </w:r>
      <w:r w:rsidR="00A328A8" w:rsidRPr="00BC1AFF">
        <w:t xml:space="preserve"> that may be required as part of any service integration testing.</w:t>
      </w:r>
    </w:p>
    <w:p w14:paraId="116127D9" w14:textId="2B9312BB" w:rsidR="003431B6" w:rsidRPr="00BC1AFF" w:rsidRDefault="00BE24E1" w:rsidP="00C90281">
      <w:pPr>
        <w:pStyle w:val="Heading2"/>
      </w:pPr>
      <w:r w:rsidRPr="00BC1AFF">
        <w:t xml:space="preserve">Additionally, </w:t>
      </w:r>
      <w:r w:rsidR="003431B6" w:rsidRPr="00BC1AFF">
        <w:t>if we</w:t>
      </w:r>
      <w:r w:rsidR="001634B5" w:rsidRPr="00BC1AFF">
        <w:t xml:space="preserve"> or our third party service providers</w:t>
      </w:r>
      <w:r w:rsidR="003431B6" w:rsidRPr="00BC1AFF">
        <w:t xml:space="preserve"> host your devices in our data centre racks </w:t>
      </w:r>
      <w:r w:rsidR="001634B5" w:rsidRPr="00BC1AFF">
        <w:t xml:space="preserve">or our third party service provider’s data centre racks </w:t>
      </w:r>
      <w:r w:rsidR="003431B6" w:rsidRPr="00BC1AFF">
        <w:t>then:</w:t>
      </w:r>
    </w:p>
    <w:p w14:paraId="37AEDDF7" w14:textId="53C7B7F1" w:rsidR="003431B6" w:rsidRPr="00BC1AFF" w:rsidRDefault="00BE24E1" w:rsidP="003431B6">
      <w:pPr>
        <w:pStyle w:val="Heading3"/>
      </w:pPr>
      <w:r w:rsidRPr="00BC1AFF">
        <w:t xml:space="preserve">you remain responsible for any </w:t>
      </w:r>
      <w:r w:rsidR="003431B6" w:rsidRPr="00BC1AFF">
        <w:t>such</w:t>
      </w:r>
      <w:r w:rsidRPr="00BC1AFF">
        <w:t xml:space="preserve"> devices, including </w:t>
      </w:r>
      <w:r w:rsidR="003431B6" w:rsidRPr="00BC1AFF">
        <w:t xml:space="preserve">in relation to </w:t>
      </w:r>
      <w:r w:rsidRPr="00BC1AFF">
        <w:t>any required maintenance of those devices</w:t>
      </w:r>
      <w:r w:rsidR="003431B6" w:rsidRPr="00BC1AFF">
        <w:t xml:space="preserve">; </w:t>
      </w:r>
    </w:p>
    <w:p w14:paraId="6F67AF18" w14:textId="73C8BD3F" w:rsidR="00C10764" w:rsidRPr="00BC1AFF" w:rsidRDefault="00D02A1F" w:rsidP="003431B6">
      <w:pPr>
        <w:pStyle w:val="Heading3"/>
      </w:pPr>
      <w:r w:rsidRPr="00BC1AFF">
        <w:t>access to rackspace for the purposes of maintaining your devices or otherwise can be provided on separate terms and pricing,</w:t>
      </w:r>
      <w:r w:rsidR="003431B6" w:rsidRPr="00BC1AFF">
        <w:t xml:space="preserve"> which will be notified to you on request</w:t>
      </w:r>
      <w:r w:rsidR="00C10764" w:rsidRPr="00BC1AFF">
        <w:t>; and</w:t>
      </w:r>
    </w:p>
    <w:p w14:paraId="418562BE" w14:textId="5CF33F49" w:rsidR="00BE24E1" w:rsidRPr="00BC1AFF" w:rsidRDefault="00716839" w:rsidP="00555B76">
      <w:pPr>
        <w:pStyle w:val="Heading3"/>
      </w:pPr>
      <w:r w:rsidRPr="00BC1AFF">
        <w:t xml:space="preserve">notwithstanding anything to the contrary in your agreement with us for the Telstra Purple Hosting and Connectivity Services, we accept liability arising from our breach of contract or negligence for any damage to those devices resulting from our supply of the Telstra Purple Hosting and Connectivity Services, but we limit our liability to our choice of repairing or replacing those devices or paying the cost of repairing or </w:t>
      </w:r>
      <w:r w:rsidRPr="00BC1AFF">
        <w:lastRenderedPageBreak/>
        <w:t xml:space="preserve">replacing them. </w:t>
      </w:r>
    </w:p>
    <w:p w14:paraId="62591F4A" w14:textId="2D1CFB56" w:rsidR="000C0301" w:rsidRPr="00BC1AFF" w:rsidRDefault="000C0301" w:rsidP="00C90281">
      <w:pPr>
        <w:pStyle w:val="Heading2"/>
      </w:pPr>
      <w:r w:rsidRPr="00BC1AFF">
        <w:t xml:space="preserve">If you do not comply with clause </w:t>
      </w:r>
      <w:r w:rsidRPr="00BC1AFF">
        <w:fldChar w:fldCharType="begin"/>
      </w:r>
      <w:r w:rsidRPr="00BC1AFF">
        <w:instrText xml:space="preserve"> REF _Ref131417938 \r \h </w:instrText>
      </w:r>
      <w:r w:rsidR="00E65435" w:rsidRPr="00BC1AFF">
        <w:instrText xml:space="preserve"> \* MERGEFORMAT </w:instrText>
      </w:r>
      <w:r w:rsidRPr="00BC1AFF">
        <w:fldChar w:fldCharType="separate"/>
      </w:r>
      <w:r w:rsidR="00810AD0">
        <w:t>16.9</w:t>
      </w:r>
      <w:r w:rsidRPr="00BC1AFF">
        <w:fldChar w:fldCharType="end"/>
      </w:r>
      <w:r w:rsidRPr="00BC1AFF">
        <w:t xml:space="preserve"> then:</w:t>
      </w:r>
    </w:p>
    <w:p w14:paraId="10123F90" w14:textId="5251B699" w:rsidR="000C0301" w:rsidRPr="00BC1AFF" w:rsidRDefault="000C0301" w:rsidP="000C0301">
      <w:pPr>
        <w:pStyle w:val="Heading3"/>
      </w:pPr>
      <w:r w:rsidRPr="00BC1AFF">
        <w:t>your Telstra Purple Hosting and Connectivity Services and associated Telstra Managed Services may be adversely affected; and</w:t>
      </w:r>
    </w:p>
    <w:p w14:paraId="27CB18DB" w14:textId="5BCCB032" w:rsidR="000C0301" w:rsidRPr="00BC1AFF" w:rsidRDefault="000C0301" w:rsidP="000C0301">
      <w:pPr>
        <w:pStyle w:val="Heading3"/>
      </w:pPr>
      <w:r w:rsidRPr="00BC1AFF">
        <w:t xml:space="preserve">we are not responsible for any failure to comply with our obligations in respect of your Telstra Purple Hosting and Connectivity Services and associated Telstra Purple Managed Services to the extent we cannot do so because of your failure to comply with </w:t>
      </w:r>
      <w:r w:rsidR="005E476F" w:rsidRPr="00BC1AFF">
        <w:t xml:space="preserve">clause </w:t>
      </w:r>
      <w:r w:rsidRPr="00BC1AFF">
        <w:fldChar w:fldCharType="begin"/>
      </w:r>
      <w:r w:rsidRPr="00BC1AFF">
        <w:instrText xml:space="preserve"> REF _Ref131417938 \r \h </w:instrText>
      </w:r>
      <w:r w:rsidR="00E65435" w:rsidRPr="00BC1AFF">
        <w:instrText xml:space="preserve"> \* MERGEFORMAT </w:instrText>
      </w:r>
      <w:r w:rsidRPr="00BC1AFF">
        <w:fldChar w:fldCharType="separate"/>
      </w:r>
      <w:r w:rsidR="00810AD0">
        <w:t>16.9</w:t>
      </w:r>
      <w:r w:rsidRPr="00BC1AFF">
        <w:fldChar w:fldCharType="end"/>
      </w:r>
      <w:r w:rsidRPr="00BC1AFF">
        <w:t>.</w:t>
      </w:r>
    </w:p>
    <w:p w14:paraId="1B881771" w14:textId="39DED7EB" w:rsidR="00AA5D7C" w:rsidRPr="00BC1AFF" w:rsidRDefault="00AA5D7C" w:rsidP="003A620A">
      <w:pPr>
        <w:pStyle w:val="SubHead"/>
      </w:pPr>
      <w:bookmarkStart w:id="295" w:name="_Toc137461083"/>
      <w:bookmarkStart w:id="296" w:name="_Toc138241451"/>
      <w:bookmarkStart w:id="297" w:name="_Toc160009048"/>
      <w:r w:rsidRPr="00BC1AFF">
        <w:t>Restrictions and limitations</w:t>
      </w:r>
      <w:bookmarkEnd w:id="295"/>
      <w:bookmarkEnd w:id="296"/>
      <w:bookmarkEnd w:id="297"/>
    </w:p>
    <w:p w14:paraId="205E3B1B" w14:textId="6F980D98" w:rsidR="00AA5D7C" w:rsidRPr="00BC1AFF" w:rsidRDefault="00AA5D7C" w:rsidP="00C90281">
      <w:pPr>
        <w:pStyle w:val="Heading2"/>
      </w:pPr>
      <w:r w:rsidRPr="00BC1AFF">
        <w:t>You must not, and must ensure that your Authorised Users do not:</w:t>
      </w:r>
    </w:p>
    <w:p w14:paraId="7D61EC07" w14:textId="33F43B98" w:rsidR="00F67B2F" w:rsidRPr="00BC1AFF" w:rsidRDefault="00F67B2F" w:rsidP="00F67B2F">
      <w:pPr>
        <w:pStyle w:val="Heading3"/>
      </w:pPr>
      <w:r w:rsidRPr="00BC1AFF">
        <w:t>resupply, resell, sublicense or otherwise allow any other person to access or use the Telstra Purple Hosting and Connectivity Services;</w:t>
      </w:r>
    </w:p>
    <w:p w14:paraId="30A8BFC1" w14:textId="36DBC253" w:rsidR="00F67B2F" w:rsidRPr="00BC1AFF" w:rsidRDefault="00F67B2F" w:rsidP="00F67B2F">
      <w:pPr>
        <w:pStyle w:val="Heading3"/>
      </w:pPr>
      <w:r w:rsidRPr="00BC1AFF">
        <w:t>modify, adapt, change, decompile, disassemble, reverse compile or otherwise reverse engineer all or any portion of the Telstra Purple Hosting and Connectivity Services, including any source code, object code, algorithms, methods or techniques used or embodied therein; or</w:t>
      </w:r>
    </w:p>
    <w:p w14:paraId="54D128A7" w14:textId="04E012A2" w:rsidR="00F67B2F" w:rsidRPr="00BC1AFF" w:rsidRDefault="00F67B2F" w:rsidP="00F67B2F">
      <w:pPr>
        <w:pStyle w:val="Heading3"/>
      </w:pPr>
      <w:r w:rsidRPr="00BC1AFF">
        <w:t xml:space="preserve">use the </w:t>
      </w:r>
      <w:r w:rsidR="008428AC" w:rsidRPr="00BC1AFF">
        <w:t>Telstra Purple Hosting and Connectivity Services</w:t>
      </w:r>
      <w:r w:rsidRPr="00BC1AFF">
        <w:t>:</w:t>
      </w:r>
    </w:p>
    <w:p w14:paraId="77116AD4" w14:textId="77777777" w:rsidR="00F67B2F" w:rsidRPr="00BC1AFF" w:rsidRDefault="00F67B2F" w:rsidP="005A483F">
      <w:pPr>
        <w:pStyle w:val="Heading4"/>
      </w:pPr>
      <w:r w:rsidRPr="00BC1AFF">
        <w:t>to engage in any fraudulent or unlawful behaviour, or to defame, menace or harass any third party;</w:t>
      </w:r>
    </w:p>
    <w:p w14:paraId="723C30E3" w14:textId="77777777" w:rsidR="00F67B2F" w:rsidRPr="00BC1AFF" w:rsidRDefault="00F67B2F" w:rsidP="005A483F">
      <w:pPr>
        <w:pStyle w:val="Heading4"/>
      </w:pPr>
      <w:r w:rsidRPr="00BC1AFF">
        <w:t>to gain unauthorised access to or interfere with any online resources or systems of any third party, including by any form of hacking;</w:t>
      </w:r>
    </w:p>
    <w:p w14:paraId="0A2C67A2" w14:textId="77777777" w:rsidR="00F67B2F" w:rsidRPr="00BC1AFF" w:rsidRDefault="00F67B2F" w:rsidP="005A483F">
      <w:pPr>
        <w:pStyle w:val="Heading4"/>
      </w:pPr>
      <w:r w:rsidRPr="00BC1AFF">
        <w:t>to distribute unsolicited emails to third parties, including bulk unsolicited emails;</w:t>
      </w:r>
    </w:p>
    <w:p w14:paraId="64906C5E" w14:textId="77777777" w:rsidR="00F67B2F" w:rsidRPr="00BC1AFF" w:rsidRDefault="00F67B2F" w:rsidP="005A483F">
      <w:pPr>
        <w:pStyle w:val="Heading4"/>
      </w:pPr>
      <w:r w:rsidRPr="00BC1AFF">
        <w:t>in any manner that is likely to result in our systems, or that of any other person, being affected by any virus, worm, Trojan or similar computer program;</w:t>
      </w:r>
    </w:p>
    <w:p w14:paraId="139A4D09" w14:textId="4905A5FD" w:rsidR="00F67B2F" w:rsidRPr="00BC1AFF" w:rsidRDefault="00F67B2F" w:rsidP="005A483F">
      <w:pPr>
        <w:pStyle w:val="Heading4"/>
      </w:pPr>
      <w:r w:rsidRPr="00BC1AFF">
        <w:t xml:space="preserve">in a way that infringes the </w:t>
      </w:r>
      <w:r w:rsidR="008428AC" w:rsidRPr="00BC1AFF">
        <w:t>Intellectual Property Rights</w:t>
      </w:r>
      <w:r w:rsidRPr="00BC1AFF">
        <w:t xml:space="preserve"> or any other rights of any person;</w:t>
      </w:r>
    </w:p>
    <w:p w14:paraId="218A018D" w14:textId="77777777" w:rsidR="00F67B2F" w:rsidRPr="00BC1AFF" w:rsidRDefault="00F67B2F" w:rsidP="005A483F">
      <w:pPr>
        <w:pStyle w:val="Heading4"/>
      </w:pPr>
      <w:r w:rsidRPr="00BC1AFF">
        <w:t xml:space="preserve">in a way that disrupts, misuses or excessively uses the hardware, bandwidth access, storage space or our other resources or the resources of our third-party service providers or other customers; </w:t>
      </w:r>
    </w:p>
    <w:p w14:paraId="466A494D" w14:textId="77777777" w:rsidR="00F67B2F" w:rsidRPr="00BC1AFF" w:rsidRDefault="00F67B2F" w:rsidP="005A483F">
      <w:pPr>
        <w:pStyle w:val="Heading4"/>
      </w:pPr>
      <w:r w:rsidRPr="00BC1AFF">
        <w:t xml:space="preserve">use any data mine, scrape, crawl, email harvest or any other process that sends automated queries; </w:t>
      </w:r>
    </w:p>
    <w:p w14:paraId="768AE8F5" w14:textId="77777777" w:rsidR="00F67B2F" w:rsidRPr="00BC1AFF" w:rsidRDefault="00F67B2F" w:rsidP="005A483F">
      <w:pPr>
        <w:pStyle w:val="Heading4"/>
      </w:pPr>
      <w:r w:rsidRPr="00BC1AFF">
        <w:t>for the purposes of accessing, storing, distributing, providing (including to us) or otherwise transmitting any information, data, materials or content that:</w:t>
      </w:r>
    </w:p>
    <w:p w14:paraId="4A1804FA" w14:textId="77777777" w:rsidR="00F67B2F" w:rsidRPr="00BC1AFF" w:rsidRDefault="00F67B2F" w:rsidP="005A483F">
      <w:pPr>
        <w:pStyle w:val="Heading4"/>
      </w:pPr>
      <w:r w:rsidRPr="00BC1AFF">
        <w:t>infringes the Intellectual Property Rights of any third party;</w:t>
      </w:r>
    </w:p>
    <w:p w14:paraId="1683BBF8" w14:textId="77777777" w:rsidR="00F67B2F" w:rsidRPr="00BC1AFF" w:rsidRDefault="00F67B2F" w:rsidP="005A483F">
      <w:pPr>
        <w:pStyle w:val="Heading4"/>
      </w:pPr>
      <w:r w:rsidRPr="00BC1AFF">
        <w:lastRenderedPageBreak/>
        <w:t>is unlawful, misleading, harmful, threatening, defamatory, obscene, infringing, harassing or racially or ethnically offensive;</w:t>
      </w:r>
    </w:p>
    <w:p w14:paraId="56CEE811" w14:textId="77777777" w:rsidR="00F67B2F" w:rsidRPr="00BC1AFF" w:rsidRDefault="00F67B2F" w:rsidP="005A483F">
      <w:pPr>
        <w:pStyle w:val="Heading4"/>
      </w:pPr>
      <w:r w:rsidRPr="00BC1AFF">
        <w:t>promotes unlawful violence;</w:t>
      </w:r>
    </w:p>
    <w:p w14:paraId="5AA9BF3F" w14:textId="77777777" w:rsidR="00F67B2F" w:rsidRPr="00BC1AFF" w:rsidRDefault="00F67B2F" w:rsidP="005A483F">
      <w:pPr>
        <w:pStyle w:val="Heading4"/>
      </w:pPr>
      <w:r w:rsidRPr="00BC1AFF">
        <w:t>depicts sexually explicit images; or</w:t>
      </w:r>
    </w:p>
    <w:p w14:paraId="3D1AC361" w14:textId="1133A452" w:rsidR="00F67B2F" w:rsidRPr="00BC1AFF" w:rsidRDefault="00F67B2F" w:rsidP="005A483F">
      <w:pPr>
        <w:pStyle w:val="Heading4"/>
      </w:pPr>
      <w:r w:rsidRPr="00BC1AFF">
        <w:t>is discriminatory or promotes discrimination based on race, gender, colour, religious belief, sexual orientation or disability</w:t>
      </w:r>
      <w:r w:rsidR="00EA4EE1">
        <w:t>.</w:t>
      </w:r>
    </w:p>
    <w:p w14:paraId="0DE4F1AB" w14:textId="12A973FA" w:rsidR="00D64A8F" w:rsidRPr="00BC1AFF" w:rsidRDefault="00D64A8F" w:rsidP="00C90281">
      <w:pPr>
        <w:pStyle w:val="Heading2"/>
        <w:rPr>
          <w:b/>
          <w:bCs/>
        </w:rPr>
      </w:pPr>
      <w:r w:rsidRPr="00BC1AFF">
        <w:t xml:space="preserve">The Telstra Purple Hosting and Connectivity Services are not designed or intended for use in on-line control of aircraft, air traffic, aircraft navigation or aircraft communications, or in the design, construction, operation or maintenance of any nuclear facility, or in the operation or in maintenance of any direct life support system, or in other hazardous environments or life threatening operations. </w:t>
      </w:r>
      <w:r w:rsidR="00390BAE" w:rsidRPr="00390BAE">
        <w:t>Subject to the Australian Consumer Law provisions in the General Terms of Our Customer Terms</w:t>
      </w:r>
      <w:r w:rsidR="00390BAE">
        <w:t>,</w:t>
      </w:r>
      <w:r w:rsidR="00390BAE" w:rsidRPr="00390BAE">
        <w:t xml:space="preserve"> </w:t>
      </w:r>
      <w:r w:rsidR="00390BAE">
        <w:t>w</w:t>
      </w:r>
      <w:r w:rsidRPr="00BC1AFF">
        <w:t>e disclaim any express or implied warranty</w:t>
      </w:r>
      <w:r w:rsidR="003609AC">
        <w:t>, or statutory guarantee</w:t>
      </w:r>
      <w:r w:rsidRPr="00BC1AFF">
        <w:t xml:space="preserve"> of fitness for such uses and are not liable for any costs, liabilities or damages resulting from the use of the Telstra Purple Hosting and Connectivity Services in such environments or operations</w:t>
      </w:r>
      <w:r w:rsidR="00390BAE">
        <w:t xml:space="preserve">, except to the extent such costs, liabilities or damages resulting from the use of the Telstra Purple Hosting and Connectivity Services in such environments or operations are caused or contributed to by our (or our contractors’) negligence or breach of </w:t>
      </w:r>
      <w:r w:rsidR="0013757C">
        <w:t>contract</w:t>
      </w:r>
      <w:r w:rsidRPr="00BC1AFF">
        <w:t xml:space="preserve">. You agree that you will not use the Telstra Purple Hosting and Connectivity Services for such purposes. </w:t>
      </w:r>
    </w:p>
    <w:p w14:paraId="7D20040B" w14:textId="2D5F8226" w:rsidR="003A1FB6" w:rsidRPr="00BC1AFF" w:rsidRDefault="003A1FB6" w:rsidP="003A620A">
      <w:pPr>
        <w:pStyle w:val="SubHead"/>
      </w:pPr>
      <w:bookmarkStart w:id="298" w:name="_Toc137461084"/>
      <w:bookmarkStart w:id="299" w:name="_Toc138241452"/>
      <w:bookmarkStart w:id="300" w:name="_Toc160009049"/>
      <w:r w:rsidRPr="00BC1AFF">
        <w:t xml:space="preserve">Agreed </w:t>
      </w:r>
      <w:r w:rsidR="00A54765" w:rsidRPr="00BC1AFF">
        <w:t>Data Locations</w:t>
      </w:r>
      <w:bookmarkEnd w:id="298"/>
      <w:bookmarkEnd w:id="299"/>
      <w:bookmarkEnd w:id="300"/>
    </w:p>
    <w:p w14:paraId="3036B699" w14:textId="55E82369" w:rsidR="003A1FB6" w:rsidRPr="00BC1AFF" w:rsidRDefault="003A1FB6" w:rsidP="00C90281">
      <w:pPr>
        <w:pStyle w:val="Heading2"/>
      </w:pPr>
      <w:r w:rsidRPr="00BC1AFF">
        <w:t xml:space="preserve">Your </w:t>
      </w:r>
      <w:r w:rsidR="009F5B04" w:rsidRPr="00BC1AFF">
        <w:t>D</w:t>
      </w:r>
      <w:r w:rsidRPr="00BC1AFF">
        <w:t xml:space="preserve">ata will be stored at the Agreed Data Locations. We will only move </w:t>
      </w:r>
      <w:r w:rsidR="009F5B04" w:rsidRPr="00BC1AFF">
        <w:t>Your Data</w:t>
      </w:r>
      <w:r w:rsidRPr="00BC1AFF">
        <w:t>:</w:t>
      </w:r>
    </w:p>
    <w:p w14:paraId="4303BF9B" w14:textId="69A88369" w:rsidR="003A1FB6" w:rsidRPr="00BC1AFF" w:rsidRDefault="003A1FB6" w:rsidP="003A1FB6">
      <w:pPr>
        <w:pStyle w:val="Heading3"/>
      </w:pPr>
      <w:r w:rsidRPr="00BC1AFF">
        <w:t>at your request or at the request of one of your Authorised Users;</w:t>
      </w:r>
    </w:p>
    <w:p w14:paraId="00C6348E" w14:textId="2FE88473" w:rsidR="003A1FB6" w:rsidRPr="00BC1AFF" w:rsidRDefault="003A1FB6" w:rsidP="003A1FB6">
      <w:pPr>
        <w:pStyle w:val="Heading3"/>
      </w:pPr>
      <w:r w:rsidRPr="00BC1AFF">
        <w:t xml:space="preserve">if we are required to do so under applicable law; </w:t>
      </w:r>
      <w:r w:rsidR="005E476F" w:rsidRPr="00BC1AFF">
        <w:t>or</w:t>
      </w:r>
    </w:p>
    <w:p w14:paraId="023ADBD8" w14:textId="7FB0DF0F" w:rsidR="003A1FB6" w:rsidRPr="00BC1AFF" w:rsidRDefault="003A1FB6" w:rsidP="00F65222">
      <w:pPr>
        <w:pStyle w:val="Heading3"/>
      </w:pPr>
      <w:r w:rsidRPr="00BC1AFF">
        <w:t xml:space="preserve">temporarily in emergency situations that require the data to be moved, such as emergency maintenance or to contain a cyber attack. </w:t>
      </w:r>
    </w:p>
    <w:p w14:paraId="6A9C96EF" w14:textId="60789C9B" w:rsidR="009D6E7E" w:rsidRPr="00BC1AFF" w:rsidRDefault="009D6E7E" w:rsidP="003A620A">
      <w:pPr>
        <w:pStyle w:val="SubHead"/>
      </w:pPr>
      <w:bookmarkStart w:id="301" w:name="_Toc137461085"/>
      <w:bookmarkStart w:id="302" w:name="_Toc138241453"/>
      <w:bookmarkStart w:id="303" w:name="_Toc160009050"/>
      <w:r w:rsidRPr="00BC1AFF">
        <w:t>Scheduled maintenance</w:t>
      </w:r>
      <w:bookmarkEnd w:id="301"/>
      <w:bookmarkEnd w:id="302"/>
      <w:bookmarkEnd w:id="303"/>
    </w:p>
    <w:p w14:paraId="4AA0E2BC" w14:textId="58AC3646" w:rsidR="009D6E7E" w:rsidRPr="00BC1AFF" w:rsidRDefault="009D6E7E" w:rsidP="00C90281">
      <w:pPr>
        <w:pStyle w:val="Heading2"/>
      </w:pPr>
      <w:r w:rsidRPr="00BC1AFF">
        <w:t xml:space="preserve">The Scheduled Maintenance provisions in clauses </w:t>
      </w:r>
      <w:r w:rsidRPr="00BC1AFF">
        <w:fldChar w:fldCharType="begin"/>
      </w:r>
      <w:r w:rsidRPr="00BC1AFF">
        <w:instrText xml:space="preserve"> REF _Ref130828760 \w \h </w:instrText>
      </w:r>
      <w:r w:rsidR="00E65435" w:rsidRPr="00BC1AFF">
        <w:instrText xml:space="preserve"> \* MERGEFORMAT </w:instrText>
      </w:r>
      <w:r w:rsidRPr="00BC1AFF">
        <w:fldChar w:fldCharType="separate"/>
      </w:r>
      <w:r w:rsidR="00810AD0">
        <w:t>7.6</w:t>
      </w:r>
      <w:r w:rsidRPr="00BC1AFF">
        <w:fldChar w:fldCharType="end"/>
      </w:r>
      <w:r w:rsidRPr="00BC1AFF">
        <w:t xml:space="preserve"> to </w:t>
      </w:r>
      <w:r w:rsidRPr="00BC1AFF">
        <w:fldChar w:fldCharType="begin"/>
      </w:r>
      <w:r w:rsidRPr="00BC1AFF">
        <w:instrText xml:space="preserve"> REF _Ref130829780 \w \h </w:instrText>
      </w:r>
      <w:r w:rsidR="00E65435" w:rsidRPr="00BC1AFF">
        <w:instrText xml:space="preserve"> \* MERGEFORMAT </w:instrText>
      </w:r>
      <w:r w:rsidRPr="00BC1AFF">
        <w:fldChar w:fldCharType="separate"/>
      </w:r>
      <w:r w:rsidR="00810AD0">
        <w:t>7.19</w:t>
      </w:r>
      <w:r w:rsidRPr="00BC1AFF">
        <w:fldChar w:fldCharType="end"/>
      </w:r>
      <w:r w:rsidRPr="00BC1AFF">
        <w:t xml:space="preserve"> apply in respect of the Telstra Purple Hosting and Connectivity Services. </w:t>
      </w:r>
    </w:p>
    <w:p w14:paraId="45B7F1E8" w14:textId="77777777" w:rsidR="00AD012E" w:rsidRPr="00BC1AFF" w:rsidRDefault="00AD012E" w:rsidP="003A620A">
      <w:pPr>
        <w:pStyle w:val="SubHead"/>
      </w:pPr>
      <w:bookmarkStart w:id="304" w:name="_Toc137461086"/>
      <w:bookmarkStart w:id="305" w:name="_Toc138241454"/>
      <w:bookmarkStart w:id="306" w:name="_Toc160009051"/>
      <w:r w:rsidRPr="00BC1AFF">
        <w:t>Disengagement services</w:t>
      </w:r>
      <w:bookmarkEnd w:id="304"/>
      <w:bookmarkEnd w:id="305"/>
      <w:bookmarkEnd w:id="306"/>
    </w:p>
    <w:p w14:paraId="3CC818C3" w14:textId="79A6A62C" w:rsidR="00AD012E" w:rsidRPr="00BC1AFF" w:rsidRDefault="00AD012E" w:rsidP="00C90281">
      <w:pPr>
        <w:pStyle w:val="Heading2"/>
      </w:pPr>
      <w:bookmarkStart w:id="307" w:name="_Ref130821821"/>
      <w:bookmarkStart w:id="308" w:name="_Ref131421252"/>
      <w:bookmarkStart w:id="309" w:name="_Ref131519676"/>
      <w:r w:rsidRPr="00BC1AFF">
        <w:t xml:space="preserve">If you notify us of your intention to terminate your agreement with us for the Telstra Purple Hosting and Connectivity Services, or allow that agreement to expire, then </w:t>
      </w:r>
      <w:r w:rsidR="006F0DD7" w:rsidRPr="00BC1AFF">
        <w:t xml:space="preserve">subject to clause </w:t>
      </w:r>
      <w:r w:rsidR="007D50E1" w:rsidRPr="00BC1AFF">
        <w:fldChar w:fldCharType="begin"/>
      </w:r>
      <w:r w:rsidR="007D50E1" w:rsidRPr="00BC1AFF">
        <w:instrText xml:space="preserve"> REF _Ref131421458 \r \h </w:instrText>
      </w:r>
      <w:r w:rsidR="00E65435" w:rsidRPr="00BC1AFF">
        <w:instrText xml:space="preserve"> \* MERGEFORMAT </w:instrText>
      </w:r>
      <w:r w:rsidR="007D50E1" w:rsidRPr="00BC1AFF">
        <w:fldChar w:fldCharType="separate"/>
      </w:r>
      <w:r w:rsidR="00810AD0">
        <w:t>16.21</w:t>
      </w:r>
      <w:r w:rsidR="007D50E1" w:rsidRPr="00BC1AFF">
        <w:fldChar w:fldCharType="end"/>
      </w:r>
      <w:r w:rsidR="003257D2" w:rsidRPr="00BC1AFF">
        <w:t xml:space="preserve"> and</w:t>
      </w:r>
      <w:r w:rsidR="007D50E1" w:rsidRPr="00BC1AFF">
        <w:t xml:space="preserve"> </w:t>
      </w:r>
      <w:r w:rsidRPr="00BC1AFF">
        <w:t>on written request we will:</w:t>
      </w:r>
      <w:bookmarkEnd w:id="307"/>
      <w:bookmarkEnd w:id="308"/>
      <w:bookmarkEnd w:id="309"/>
    </w:p>
    <w:p w14:paraId="636AD59E" w14:textId="77777777" w:rsidR="00AD012E" w:rsidRPr="00BC1AFF" w:rsidRDefault="00AD012E" w:rsidP="00AD012E">
      <w:pPr>
        <w:pStyle w:val="Heading3"/>
      </w:pPr>
      <w:r w:rsidRPr="00BC1AFF">
        <w:t>develop a plan (</w:t>
      </w:r>
      <w:r w:rsidRPr="00BC1AFF">
        <w:rPr>
          <w:b/>
          <w:bCs/>
        </w:rPr>
        <w:t>Disengagement Plan</w:t>
      </w:r>
      <w:r w:rsidRPr="00BC1AFF">
        <w:t>) detailing the steps for and an agreed time period of disengagement (</w:t>
      </w:r>
      <w:r w:rsidRPr="00BC1AFF">
        <w:rPr>
          <w:b/>
          <w:bCs/>
        </w:rPr>
        <w:t>Disengagement Period</w:t>
      </w:r>
      <w:r w:rsidRPr="00BC1AFF">
        <w:t>), within 30 days of that written request;</w:t>
      </w:r>
    </w:p>
    <w:p w14:paraId="1491F401" w14:textId="77777777" w:rsidR="00AD012E" w:rsidRPr="00BC1AFF" w:rsidRDefault="00AD012E" w:rsidP="00AD012E">
      <w:pPr>
        <w:pStyle w:val="Heading3"/>
      </w:pPr>
      <w:r w:rsidRPr="00BC1AFF">
        <w:t xml:space="preserve">continue to provide the Telstra Purple Hosting and Connectivity Services and any other related Telstra Purple Managed Services during the Disengagement Period, in accordance with the terms of your agreement with us for those services; </w:t>
      </w:r>
    </w:p>
    <w:p w14:paraId="3E4A8987" w14:textId="77777777" w:rsidR="00AD012E" w:rsidRPr="00BC1AFF" w:rsidRDefault="00AD012E" w:rsidP="00AD012E">
      <w:pPr>
        <w:pStyle w:val="Heading3"/>
      </w:pPr>
      <w:r w:rsidRPr="00BC1AFF">
        <w:lastRenderedPageBreak/>
        <w:t>provide all reasonable information and assistance you request in relation to the transfer of the Telstra Purple Hosting and Connectivity Services and any other related Telstra Purple Managed Services to you or your nominated third party service provider (</w:t>
      </w:r>
      <w:r w:rsidRPr="00BC1AFF">
        <w:rPr>
          <w:b/>
          <w:bCs/>
        </w:rPr>
        <w:t>Successor Service Provider</w:t>
      </w:r>
      <w:r w:rsidRPr="00BC1AFF">
        <w:t>); and</w:t>
      </w:r>
    </w:p>
    <w:p w14:paraId="4C8ADE9A" w14:textId="77777777" w:rsidR="00AD012E" w:rsidRPr="00BC1AFF" w:rsidRDefault="00AD012E" w:rsidP="00AD012E">
      <w:pPr>
        <w:pStyle w:val="Heading3"/>
      </w:pPr>
      <w:r w:rsidRPr="00BC1AFF">
        <w:t xml:space="preserve">transfer your data access and account credentials back to you or a nominated third party in a reasonable format. </w:t>
      </w:r>
    </w:p>
    <w:p w14:paraId="068A9CA1" w14:textId="3CFB15B6" w:rsidR="00AD012E" w:rsidRPr="00BC1AFF" w:rsidRDefault="00AD012E" w:rsidP="00C90281">
      <w:pPr>
        <w:pStyle w:val="Heading2"/>
      </w:pPr>
      <w:r w:rsidRPr="00BC1AFF">
        <w:t xml:space="preserve">You may terminate the disengagement services described in clause </w:t>
      </w:r>
      <w:r w:rsidR="005E476F" w:rsidRPr="00BC1AFF">
        <w:fldChar w:fldCharType="begin"/>
      </w:r>
      <w:r w:rsidR="005E476F" w:rsidRPr="00BC1AFF">
        <w:instrText xml:space="preserve"> REF _Ref131519676 \r \h </w:instrText>
      </w:r>
      <w:r w:rsidR="00E65435" w:rsidRPr="00BC1AFF">
        <w:instrText xml:space="preserve"> \* MERGEFORMAT </w:instrText>
      </w:r>
      <w:r w:rsidR="005E476F" w:rsidRPr="00BC1AFF">
        <w:fldChar w:fldCharType="separate"/>
      </w:r>
      <w:r w:rsidR="00810AD0">
        <w:t>16.16</w:t>
      </w:r>
      <w:r w:rsidR="005E476F" w:rsidRPr="00BC1AFF">
        <w:fldChar w:fldCharType="end"/>
      </w:r>
      <w:r w:rsidRPr="00BC1AFF">
        <w:t xml:space="preserve"> at any time on 5 Business Days written notice to us. </w:t>
      </w:r>
    </w:p>
    <w:p w14:paraId="0EA7886F" w14:textId="77777777" w:rsidR="00AD012E" w:rsidRPr="00BC1AFF" w:rsidRDefault="00AD012E" w:rsidP="00C90281">
      <w:pPr>
        <w:pStyle w:val="Heading2"/>
      </w:pPr>
      <w:r w:rsidRPr="00BC1AFF">
        <w:t>You must continue paying the applicable charges for your Telstra Purple Hosting and Connectivity Services and any other related Telstra Purple Managed Services during the Disengagement Period, in accordance with the terms of your agreement with us for those services;</w:t>
      </w:r>
    </w:p>
    <w:p w14:paraId="4C29C9CA" w14:textId="547F9127" w:rsidR="00AD012E" w:rsidRPr="00BC1AFF" w:rsidRDefault="00AD012E" w:rsidP="00C90281">
      <w:pPr>
        <w:pStyle w:val="Heading2"/>
      </w:pPr>
      <w:bookmarkStart w:id="310" w:name="_Ref131421260"/>
      <w:r w:rsidRPr="00BC1AFF">
        <w:t xml:space="preserve">Unless otherwise agreed with you in writing (including in the Disengagement Plan), we will charge you for the disengagement services described in clause </w:t>
      </w:r>
      <w:r w:rsidRPr="00BC1AFF">
        <w:fldChar w:fldCharType="begin"/>
      </w:r>
      <w:r w:rsidRPr="00BC1AFF">
        <w:instrText xml:space="preserve"> REF _Ref130820405 \w \h </w:instrText>
      </w:r>
      <w:r w:rsidR="00E65435" w:rsidRPr="00BC1AFF">
        <w:instrText xml:space="preserve"> \* MERGEFORMAT </w:instrText>
      </w:r>
      <w:r w:rsidRPr="00BC1AFF">
        <w:fldChar w:fldCharType="separate"/>
      </w:r>
      <w:r w:rsidR="00810AD0">
        <w:t>16.9</w:t>
      </w:r>
      <w:r w:rsidRPr="00BC1AFF">
        <w:fldChar w:fldCharType="end"/>
      </w:r>
      <w:r w:rsidRPr="00BC1AFF">
        <w:t>, and as set out in the Disengagement Plan, at our then current standard hourly rates, but only to the extent that those disengagement services do not form part of the Telstra Purple Hosting and Connectivity Service or any other related Telstra Purple Managed Service.</w:t>
      </w:r>
      <w:bookmarkEnd w:id="310"/>
    </w:p>
    <w:p w14:paraId="7A2F1E73" w14:textId="6FFD58EB" w:rsidR="00AD012E" w:rsidRPr="00BC1AFF" w:rsidRDefault="00AD012E" w:rsidP="00C90281">
      <w:pPr>
        <w:pStyle w:val="Heading2"/>
      </w:pPr>
      <w:r w:rsidRPr="00BC1AFF">
        <w:t xml:space="preserve">Nothing in clause </w:t>
      </w:r>
      <w:r w:rsidRPr="00BC1AFF">
        <w:fldChar w:fldCharType="begin"/>
      </w:r>
      <w:r w:rsidRPr="00BC1AFF">
        <w:instrText xml:space="preserve"> REF _Ref130821821 \w \h </w:instrText>
      </w:r>
      <w:r w:rsidR="00E65435" w:rsidRPr="00BC1AFF">
        <w:instrText xml:space="preserve"> \* MERGEFORMAT </w:instrText>
      </w:r>
      <w:r w:rsidRPr="00BC1AFF">
        <w:fldChar w:fldCharType="separate"/>
      </w:r>
      <w:r w:rsidR="00810AD0">
        <w:t>16.16</w:t>
      </w:r>
      <w:r w:rsidRPr="00BC1AFF">
        <w:fldChar w:fldCharType="end"/>
      </w:r>
      <w:r w:rsidRPr="00BC1AFF">
        <w:t xml:space="preserve"> requires us to disclose or transfer any of the following to you or any third party:</w:t>
      </w:r>
    </w:p>
    <w:p w14:paraId="7CB01A55" w14:textId="77777777" w:rsidR="00AD012E" w:rsidRPr="00BC1AFF" w:rsidRDefault="00AD012E" w:rsidP="00AD012E">
      <w:pPr>
        <w:pStyle w:val="Heading3"/>
      </w:pPr>
      <w:r w:rsidRPr="00BC1AFF">
        <w:t>our proprietary technology;</w:t>
      </w:r>
    </w:p>
    <w:p w14:paraId="0AEF3920" w14:textId="77777777" w:rsidR="00AD012E" w:rsidRPr="00BC1AFF" w:rsidRDefault="00AD012E" w:rsidP="00AD012E">
      <w:pPr>
        <w:pStyle w:val="Heading3"/>
      </w:pPr>
      <w:r w:rsidRPr="00BC1AFF">
        <w:t>our Intellectual Property Rights; or</w:t>
      </w:r>
    </w:p>
    <w:p w14:paraId="166F390D" w14:textId="2C156779" w:rsidR="00AD012E" w:rsidRPr="00BC1AFF" w:rsidRDefault="00AD012E" w:rsidP="00AD012E">
      <w:pPr>
        <w:pStyle w:val="Heading3"/>
      </w:pPr>
      <w:r w:rsidRPr="00BC1AFF">
        <w:t xml:space="preserve">our technical, operational, billing, pricing or other commercial information. </w:t>
      </w:r>
    </w:p>
    <w:p w14:paraId="67C7D3CF" w14:textId="449A035B" w:rsidR="006F0DD7" w:rsidRPr="00BC1AFF" w:rsidRDefault="007D50E1" w:rsidP="00C90281">
      <w:pPr>
        <w:pStyle w:val="Heading2"/>
      </w:pPr>
      <w:bookmarkStart w:id="311" w:name="_Ref131421458"/>
      <w:r w:rsidRPr="00BC1AFF">
        <w:t>Nothing in clauses</w:t>
      </w:r>
      <w:r w:rsidR="006F0DD7" w:rsidRPr="00BC1AFF">
        <w:t xml:space="preserve"> </w:t>
      </w:r>
      <w:r w:rsidR="006F0DD7" w:rsidRPr="00BC1AFF">
        <w:fldChar w:fldCharType="begin"/>
      </w:r>
      <w:r w:rsidR="006F0DD7" w:rsidRPr="00BC1AFF">
        <w:instrText xml:space="preserve"> REF _Ref131421252 \r \h </w:instrText>
      </w:r>
      <w:r w:rsidR="00E65435" w:rsidRPr="00BC1AFF">
        <w:instrText xml:space="preserve"> \* MERGEFORMAT </w:instrText>
      </w:r>
      <w:r w:rsidR="006F0DD7" w:rsidRPr="00BC1AFF">
        <w:fldChar w:fldCharType="separate"/>
      </w:r>
      <w:r w:rsidR="00810AD0">
        <w:t>16.16</w:t>
      </w:r>
      <w:r w:rsidR="006F0DD7" w:rsidRPr="00BC1AFF">
        <w:fldChar w:fldCharType="end"/>
      </w:r>
      <w:r w:rsidR="006F0DD7" w:rsidRPr="00BC1AFF">
        <w:t xml:space="preserve"> to </w:t>
      </w:r>
      <w:r w:rsidR="006F0DD7" w:rsidRPr="00BC1AFF">
        <w:fldChar w:fldCharType="begin"/>
      </w:r>
      <w:r w:rsidR="006F0DD7" w:rsidRPr="00BC1AFF">
        <w:instrText xml:space="preserve"> REF _Ref131421260 \r \h </w:instrText>
      </w:r>
      <w:r w:rsidR="00E65435" w:rsidRPr="00BC1AFF">
        <w:instrText xml:space="preserve"> \* MERGEFORMAT </w:instrText>
      </w:r>
      <w:r w:rsidR="006F0DD7" w:rsidRPr="00BC1AFF">
        <w:fldChar w:fldCharType="separate"/>
      </w:r>
      <w:r w:rsidR="00810AD0">
        <w:t>16.19</w:t>
      </w:r>
      <w:r w:rsidR="006F0DD7" w:rsidRPr="00BC1AFF">
        <w:fldChar w:fldCharType="end"/>
      </w:r>
      <w:r w:rsidR="006F0DD7" w:rsidRPr="00BC1AFF">
        <w:t xml:space="preserve"> requires us to provide:</w:t>
      </w:r>
      <w:bookmarkEnd w:id="311"/>
    </w:p>
    <w:p w14:paraId="46CFF1D0" w14:textId="77777777" w:rsidR="006F0DD7" w:rsidRPr="00BC1AFF" w:rsidRDefault="006F0DD7" w:rsidP="006F0DD7">
      <w:pPr>
        <w:pStyle w:val="Heading3"/>
      </w:pPr>
      <w:r w:rsidRPr="00BC1AFF">
        <w:t xml:space="preserve">the disengagements services described in those clauses; or </w:t>
      </w:r>
    </w:p>
    <w:p w14:paraId="34B499BB" w14:textId="1DE542BB" w:rsidR="006F0DD7" w:rsidRPr="00BC1AFF" w:rsidRDefault="006F0DD7" w:rsidP="006F0DD7">
      <w:pPr>
        <w:pStyle w:val="Heading3"/>
      </w:pPr>
      <w:r w:rsidRPr="00BC1AFF">
        <w:t>any Telstra Purple Hosting and Connectivity Services or related Telstra Purple Managed Services,</w:t>
      </w:r>
      <w:r w:rsidR="007D50E1" w:rsidRPr="00BC1AFF">
        <w:t xml:space="preserve"> including during any Disengagement Period,</w:t>
      </w:r>
    </w:p>
    <w:p w14:paraId="4C2F533D" w14:textId="7B824F8E" w:rsidR="006F0DD7" w:rsidRPr="00BC1AFF" w:rsidRDefault="006F0DD7" w:rsidP="00555B76">
      <w:pPr>
        <w:pStyle w:val="Heading3"/>
        <w:numPr>
          <w:ilvl w:val="0"/>
          <w:numId w:val="0"/>
        </w:numPr>
        <w:ind w:left="737"/>
      </w:pPr>
      <w:r w:rsidRPr="00BC1AFF">
        <w:t xml:space="preserve">if you do not </w:t>
      </w:r>
      <w:r w:rsidR="007D50E1" w:rsidRPr="00BC1AFF">
        <w:t xml:space="preserve">pay us the applicable charges for those services in accordance with our agreement with you for those services. </w:t>
      </w:r>
    </w:p>
    <w:p w14:paraId="0280D6D8" w14:textId="493AE314" w:rsidR="00AB46C1" w:rsidRPr="00BC1AFF" w:rsidRDefault="38A5AFBD" w:rsidP="00802292">
      <w:pPr>
        <w:pStyle w:val="Heading1"/>
      </w:pPr>
      <w:bookmarkStart w:id="312" w:name="_Toc137461087"/>
      <w:bookmarkStart w:id="313" w:name="_Toc138241455"/>
      <w:bookmarkStart w:id="314" w:name="_Toc160009052"/>
      <w:r w:rsidRPr="00BC1AFF">
        <w:t>Your Obligations</w:t>
      </w:r>
      <w:bookmarkEnd w:id="276"/>
      <w:bookmarkEnd w:id="277"/>
      <w:bookmarkEnd w:id="312"/>
      <w:bookmarkEnd w:id="313"/>
      <w:bookmarkEnd w:id="314"/>
    </w:p>
    <w:p w14:paraId="59EBE1E1" w14:textId="07DB60EC" w:rsidR="000C228B" w:rsidRPr="00BC1AFF" w:rsidRDefault="48941A7E" w:rsidP="00C90281">
      <w:pPr>
        <w:pStyle w:val="Heading2"/>
      </w:pPr>
      <w:r w:rsidRPr="00BC1AFF">
        <w:t>Before the Services can start</w:t>
      </w:r>
      <w:r w:rsidR="297B40B0" w:rsidRPr="00BC1AFF">
        <w:t>,</w:t>
      </w:r>
      <w:r w:rsidR="64903462" w:rsidRPr="00BC1AFF">
        <w:t xml:space="preserve"> </w:t>
      </w:r>
      <w:r w:rsidR="297B40B0" w:rsidRPr="00BC1AFF">
        <w:t>t</w:t>
      </w:r>
      <w:r w:rsidRPr="00BC1AFF">
        <w:t xml:space="preserve">he following prerequisites </w:t>
      </w:r>
      <w:r w:rsidR="00174357" w:rsidRPr="00BC1AFF">
        <w:t>(</w:t>
      </w:r>
      <w:r w:rsidRPr="00BC1AFF">
        <w:t xml:space="preserve">and any prerequisites included in the </w:t>
      </w:r>
      <w:r w:rsidR="00141BFD" w:rsidRPr="00BC1AFF">
        <w:t>Order</w:t>
      </w:r>
      <w:r w:rsidR="00174357" w:rsidRPr="00BC1AFF">
        <w:t>)</w:t>
      </w:r>
      <w:r w:rsidRPr="00BC1AFF">
        <w:t xml:space="preserve"> must be met by </w:t>
      </w:r>
      <w:r w:rsidR="002B41E5" w:rsidRPr="00BC1AFF">
        <w:t>y</w:t>
      </w:r>
      <w:r w:rsidRPr="00BC1AFF">
        <w:t xml:space="preserve">ou to allow for a transition and delivery of </w:t>
      </w:r>
      <w:r w:rsidR="040067C0" w:rsidRPr="00BC1AFF">
        <w:t xml:space="preserve">the Telstra Purple Managed </w:t>
      </w:r>
      <w:r w:rsidRPr="00BC1AFF">
        <w:t>Services and prior to Service Levels commencing.</w:t>
      </w:r>
    </w:p>
    <w:p w14:paraId="49456954" w14:textId="1B896272" w:rsidR="000C228B" w:rsidRPr="00BC1AFF" w:rsidRDefault="48941A7E" w:rsidP="00C90281">
      <w:pPr>
        <w:pStyle w:val="Heading2"/>
      </w:pPr>
      <w:r w:rsidRPr="00BC1AFF">
        <w:t xml:space="preserve">You may engage </w:t>
      </w:r>
      <w:r w:rsidR="774C6CF4" w:rsidRPr="00BC1AFF">
        <w:t>us</w:t>
      </w:r>
      <w:r w:rsidRPr="00BC1AFF">
        <w:t xml:space="preserve"> to assist with these prerequisites as part of Project Services.</w:t>
      </w:r>
    </w:p>
    <w:p w14:paraId="06E68746" w14:textId="324031F2" w:rsidR="000C228B" w:rsidRPr="00BC1AFF" w:rsidRDefault="48941A7E" w:rsidP="00C90281">
      <w:pPr>
        <w:pStyle w:val="Heading2"/>
      </w:pPr>
      <w:r w:rsidRPr="00BC1AFF">
        <w:t xml:space="preserve">You acknowledge that </w:t>
      </w:r>
      <w:r w:rsidR="00BF27FC" w:rsidRPr="00BC1AFF">
        <w:t>we</w:t>
      </w:r>
      <w:r w:rsidRPr="00BC1AFF">
        <w:t xml:space="preserve"> are the sole administrators of environments managed by </w:t>
      </w:r>
      <w:r w:rsidR="00BF27FC" w:rsidRPr="00BC1AFF">
        <w:t>us</w:t>
      </w:r>
      <w:r w:rsidRPr="00BC1AFF">
        <w:t>.</w:t>
      </w:r>
    </w:p>
    <w:p w14:paraId="54E02E0B" w14:textId="63C8DFA9" w:rsidR="000C228B" w:rsidRPr="00BC1AFF" w:rsidRDefault="48941A7E" w:rsidP="00C90281">
      <w:pPr>
        <w:pStyle w:val="Heading2"/>
      </w:pPr>
      <w:r w:rsidRPr="00BC1AFF">
        <w:rPr>
          <w:rStyle w:val="Strong"/>
          <w:b w:val="0"/>
          <w:bCs w:val="0"/>
        </w:rPr>
        <w:t xml:space="preserve">You </w:t>
      </w:r>
      <w:r w:rsidRPr="00BC1AFF">
        <w:t>must</w:t>
      </w:r>
      <w:r w:rsidRPr="00BC1AFF">
        <w:rPr>
          <w:rStyle w:val="Strong"/>
          <w:b w:val="0"/>
          <w:bCs w:val="0"/>
        </w:rPr>
        <w:t xml:space="preserve"> provide</w:t>
      </w:r>
      <w:r w:rsidR="774C6CF4" w:rsidRPr="00BC1AFF">
        <w:rPr>
          <w:rStyle w:val="Strong"/>
          <w:b w:val="0"/>
          <w:bCs w:val="0"/>
        </w:rPr>
        <w:t>,</w:t>
      </w:r>
      <w:r w:rsidRPr="00BC1AFF">
        <w:t xml:space="preserve"> at </w:t>
      </w:r>
      <w:r w:rsidR="774C6CF4" w:rsidRPr="00BC1AFF">
        <w:t>y</w:t>
      </w:r>
      <w:r w:rsidRPr="00BC1AFF">
        <w:t>our expense:</w:t>
      </w:r>
    </w:p>
    <w:p w14:paraId="37533CE1" w14:textId="2B027303" w:rsidR="000C228B" w:rsidRPr="00BC1AFF" w:rsidRDefault="48941A7E" w:rsidP="4DD98697">
      <w:pPr>
        <w:pStyle w:val="Heading3"/>
      </w:pPr>
      <w:bookmarkStart w:id="315" w:name="_Ref130822487"/>
      <w:r w:rsidRPr="00BC1AFF">
        <w:t>the following documentation and information (which must be current and an up</w:t>
      </w:r>
      <w:r w:rsidR="004D0C5A" w:rsidRPr="00BC1AFF">
        <w:t xml:space="preserve"> </w:t>
      </w:r>
      <w:r w:rsidRPr="00BC1AFF">
        <w:t xml:space="preserve">to </w:t>
      </w:r>
      <w:r w:rsidRPr="00BC1AFF">
        <w:lastRenderedPageBreak/>
        <w:t xml:space="preserve">date reflection of the </w:t>
      </w:r>
      <w:r w:rsidR="002F7600" w:rsidRPr="00BC1AFF">
        <w:t>IT E</w:t>
      </w:r>
      <w:r w:rsidRPr="00BC1AFF">
        <w:t>nvironment</w:t>
      </w:r>
      <w:r w:rsidR="00E13C5D" w:rsidRPr="00BC1AFF">
        <w:t>s</w:t>
      </w:r>
      <w:r w:rsidR="002F7600" w:rsidRPr="00BC1AFF">
        <w:t xml:space="preserve"> and Components to be managed</w:t>
      </w:r>
      <w:r w:rsidRPr="00BC1AFF">
        <w:t xml:space="preserve"> at time of handover):</w:t>
      </w:r>
      <w:bookmarkEnd w:id="315"/>
    </w:p>
    <w:p w14:paraId="0F535843" w14:textId="0D6506C4" w:rsidR="000C228B" w:rsidRPr="00BC1AFF" w:rsidRDefault="48941A7E" w:rsidP="005A483F">
      <w:pPr>
        <w:pStyle w:val="Heading4"/>
      </w:pPr>
      <w:r w:rsidRPr="00BC1AFF">
        <w:t xml:space="preserve">a completed information gathering questionnaire/s as provided by </w:t>
      </w:r>
      <w:r w:rsidR="3B1DC6C4" w:rsidRPr="00BC1AFF">
        <w:t>us</w:t>
      </w:r>
      <w:r w:rsidRPr="00BC1AFF">
        <w:t xml:space="preserve"> in advance of scheduled implementation work (if being provided);</w:t>
      </w:r>
    </w:p>
    <w:p w14:paraId="0B6DB1A0" w14:textId="61753B5C" w:rsidR="000C228B" w:rsidRPr="00BC1AFF" w:rsidRDefault="48941A7E" w:rsidP="005A483F">
      <w:pPr>
        <w:pStyle w:val="Heading4"/>
      </w:pPr>
      <w:r w:rsidRPr="00BC1AFF">
        <w:t xml:space="preserve">a completed managed services provisioning template as provided by </w:t>
      </w:r>
      <w:r w:rsidR="3B1DC6C4" w:rsidRPr="00BC1AFF">
        <w:t>us</w:t>
      </w:r>
      <w:r w:rsidRPr="00BC1AFF">
        <w:t xml:space="preserve"> covering the full list of IT Environments </w:t>
      </w:r>
      <w:r w:rsidR="0036334C" w:rsidRPr="00BC1AFF">
        <w:t>and</w:t>
      </w:r>
      <w:r w:rsidRPr="00BC1AFF">
        <w:t xml:space="preserve"> Components; and</w:t>
      </w:r>
    </w:p>
    <w:p w14:paraId="0A43EBD8" w14:textId="0BE91B43" w:rsidR="000C228B" w:rsidRPr="00BC1AFF" w:rsidRDefault="48941A7E" w:rsidP="005A483F">
      <w:pPr>
        <w:pStyle w:val="Heading4"/>
      </w:pPr>
      <w:r w:rsidRPr="00BC1AFF">
        <w:t>access to documentation representing the current build and architecture of the environment including connectivity diagrams and configuration covering all IT Environments and Components;</w:t>
      </w:r>
    </w:p>
    <w:p w14:paraId="6ABB7118" w14:textId="0E5FFF39" w:rsidR="000C228B" w:rsidRPr="00BC1AFF" w:rsidRDefault="48941A7E" w:rsidP="4DD98697">
      <w:pPr>
        <w:pStyle w:val="Heading3"/>
      </w:pPr>
      <w:r w:rsidRPr="00BC1AFF">
        <w:t xml:space="preserve">remote access to all </w:t>
      </w:r>
      <w:r w:rsidR="0036334C" w:rsidRPr="00BC1AFF">
        <w:t xml:space="preserve">IT </w:t>
      </w:r>
      <w:r w:rsidRPr="00BC1AFF">
        <w:t>Environments</w:t>
      </w:r>
      <w:r w:rsidR="0036334C" w:rsidRPr="00BC1AFF">
        <w:t xml:space="preserve"> and Components</w:t>
      </w:r>
      <w:r w:rsidRPr="00BC1AFF">
        <w:t xml:space="preserve"> to be managed to deliver the </w:t>
      </w:r>
      <w:r w:rsidR="3B1DC6C4" w:rsidRPr="00BC1AFF">
        <w:t xml:space="preserve">Telstra Purple Managed </w:t>
      </w:r>
      <w:r w:rsidRPr="00BC1AFF">
        <w:t>Services;</w:t>
      </w:r>
    </w:p>
    <w:p w14:paraId="33EE8554" w14:textId="69731AA7" w:rsidR="000C228B" w:rsidRPr="00BC1AFF" w:rsidRDefault="48941A7E" w:rsidP="004643AC">
      <w:pPr>
        <w:pStyle w:val="Heading3"/>
      </w:pPr>
      <w:bookmarkStart w:id="316" w:name="_Ref130822568"/>
      <w:r w:rsidRPr="00BC1AFF">
        <w:t xml:space="preserve">credentials with appropriate level of access to all </w:t>
      </w:r>
      <w:r w:rsidR="004643AC" w:rsidRPr="00BC1AFF">
        <w:t xml:space="preserve">managed </w:t>
      </w:r>
      <w:r w:rsidRPr="00BC1AFF">
        <w:t xml:space="preserve">IT Environments and </w:t>
      </w:r>
      <w:r w:rsidR="004643AC" w:rsidRPr="00BC1AFF">
        <w:t>C</w:t>
      </w:r>
      <w:r w:rsidRPr="00BC1AFF">
        <w:t>omponents, including access to consoles and management interfaces;</w:t>
      </w:r>
      <w:bookmarkEnd w:id="316"/>
    </w:p>
    <w:p w14:paraId="607DB8A9" w14:textId="7B7EF852" w:rsidR="000C228B" w:rsidRPr="00BC1AFF" w:rsidRDefault="48941A7E" w:rsidP="4DD98697">
      <w:pPr>
        <w:pStyle w:val="Heading3"/>
      </w:pPr>
      <w:r w:rsidRPr="00BC1AFF">
        <w:t xml:space="preserve">user accounts required by </w:t>
      </w:r>
      <w:r w:rsidR="3B1DC6C4" w:rsidRPr="00BC1AFF">
        <w:t>us</w:t>
      </w:r>
      <w:r w:rsidRPr="00BC1AFF">
        <w:t xml:space="preserve"> and created and tested by </w:t>
      </w:r>
      <w:r w:rsidR="3C9AE69D" w:rsidRPr="00BC1AFF">
        <w:t>y</w:t>
      </w:r>
      <w:r w:rsidRPr="00BC1AFF">
        <w:t>ou to verify appropriate access;</w:t>
      </w:r>
    </w:p>
    <w:p w14:paraId="522220BB" w14:textId="5764D1F0" w:rsidR="000C228B" w:rsidRPr="00BC1AFF" w:rsidRDefault="48941A7E" w:rsidP="4DD98697">
      <w:pPr>
        <w:pStyle w:val="Heading3"/>
      </w:pPr>
      <w:r w:rsidRPr="00BC1AFF">
        <w:t xml:space="preserve">details of the relevant Vendor contracts relating to </w:t>
      </w:r>
      <w:r w:rsidR="004643AC" w:rsidRPr="00BC1AFF">
        <w:t xml:space="preserve">managed IT </w:t>
      </w:r>
      <w:r w:rsidRPr="00BC1AFF">
        <w:t>Environments</w:t>
      </w:r>
      <w:r w:rsidR="004643AC" w:rsidRPr="00BC1AFF">
        <w:t xml:space="preserve"> and Components</w:t>
      </w:r>
      <w:r w:rsidRPr="00BC1AFF">
        <w:t xml:space="preserve">; </w:t>
      </w:r>
    </w:p>
    <w:p w14:paraId="024E9103" w14:textId="033158DD" w:rsidR="000C228B" w:rsidRPr="00BC1AFF" w:rsidRDefault="48941A7E" w:rsidP="4DD98697">
      <w:pPr>
        <w:pStyle w:val="Heading3"/>
      </w:pPr>
      <w:r w:rsidRPr="00BC1AFF">
        <w:t xml:space="preserve">access to the relevant Vendor acting on </w:t>
      </w:r>
      <w:r w:rsidR="00EE2B3B" w:rsidRPr="00BC1AFF">
        <w:t>y</w:t>
      </w:r>
      <w:r w:rsidRPr="00BC1AFF">
        <w:t>our behalf to log and manage Incidents and escalations</w:t>
      </w:r>
      <w:r w:rsidR="001A7082" w:rsidRPr="00BC1AFF">
        <w:t>; and</w:t>
      </w:r>
    </w:p>
    <w:p w14:paraId="1B1DC2DC" w14:textId="63CFE204" w:rsidR="000C228B" w:rsidRPr="00BC1AFF" w:rsidRDefault="001A7082" w:rsidP="4DD98697">
      <w:pPr>
        <w:pStyle w:val="Heading3"/>
      </w:pPr>
      <w:r w:rsidRPr="00BC1AFF">
        <w:t>n</w:t>
      </w:r>
      <w:r w:rsidR="48941A7E" w:rsidRPr="00BC1AFF">
        <w:t xml:space="preserve">amed User account creation for </w:t>
      </w:r>
      <w:r w:rsidR="3C9AE69D" w:rsidRPr="00BC1AFF">
        <w:t>our</w:t>
      </w:r>
      <w:r w:rsidR="48941A7E" w:rsidRPr="00BC1AFF">
        <w:t xml:space="preserve"> staff.</w:t>
      </w:r>
    </w:p>
    <w:p w14:paraId="5FC93030" w14:textId="77777777" w:rsidR="000C228B" w:rsidRPr="00BC1AFF" w:rsidRDefault="48941A7E" w:rsidP="00C90281">
      <w:pPr>
        <w:pStyle w:val="Heading2"/>
        <w:rPr>
          <w:rStyle w:val="Strong"/>
          <w:b w:val="0"/>
          <w:bCs w:val="0"/>
        </w:rPr>
      </w:pPr>
      <w:r w:rsidRPr="00BC1AFF">
        <w:rPr>
          <w:rStyle w:val="Strong"/>
          <w:b w:val="0"/>
          <w:bCs w:val="0"/>
        </w:rPr>
        <w:t>You must:</w:t>
      </w:r>
    </w:p>
    <w:p w14:paraId="444A901B" w14:textId="6E4D05B1" w:rsidR="000C228B" w:rsidRPr="00BC1AFF" w:rsidRDefault="48941A7E" w:rsidP="4DD98697">
      <w:pPr>
        <w:pStyle w:val="Heading3"/>
      </w:pPr>
      <w:r w:rsidRPr="00BC1AFF">
        <w:t xml:space="preserve">provide infrastructure resources to be used for the </w:t>
      </w:r>
      <w:r w:rsidR="00EE2B3B" w:rsidRPr="00BC1AFF">
        <w:t>m</w:t>
      </w:r>
      <w:r w:rsidRPr="00BC1AFF">
        <w:t xml:space="preserve">onitoring </w:t>
      </w:r>
      <w:r w:rsidR="00EE2B3B" w:rsidRPr="00BC1AFF">
        <w:t>t</w:t>
      </w:r>
      <w:r w:rsidRPr="00BC1AFF">
        <w:t xml:space="preserve">ool(s) based on </w:t>
      </w:r>
      <w:r w:rsidR="651CFAED" w:rsidRPr="00BC1AFF">
        <w:t>our</w:t>
      </w:r>
      <w:r w:rsidRPr="00BC1AFF">
        <w:t xml:space="preserve"> recommendations;</w:t>
      </w:r>
    </w:p>
    <w:p w14:paraId="7B874082" w14:textId="05DAC073" w:rsidR="000C228B" w:rsidRPr="00BC1AFF" w:rsidRDefault="48941A7E" w:rsidP="4DD98697">
      <w:pPr>
        <w:pStyle w:val="Heading3"/>
      </w:pPr>
      <w:r w:rsidRPr="00BC1AFF">
        <w:t xml:space="preserve">provide secure access to allow </w:t>
      </w:r>
      <w:r w:rsidR="00EE2B3B" w:rsidRPr="00BC1AFF">
        <w:t>m</w:t>
      </w:r>
      <w:r w:rsidRPr="00BC1AFF">
        <w:t xml:space="preserve">onitoring </w:t>
      </w:r>
      <w:r w:rsidR="00EE2B3B" w:rsidRPr="00BC1AFF">
        <w:t>t</w:t>
      </w:r>
      <w:r w:rsidRPr="00BC1AFF">
        <w:t xml:space="preserve">ool communications via the internet back to </w:t>
      </w:r>
      <w:r w:rsidR="651CFAED" w:rsidRPr="00BC1AFF">
        <w:t>our</w:t>
      </w:r>
      <w:r w:rsidRPr="00BC1AFF">
        <w:t xml:space="preserve"> Proactive Monitoring systems;</w:t>
      </w:r>
    </w:p>
    <w:p w14:paraId="0EC2C03A" w14:textId="3CFFD8A9" w:rsidR="000C228B" w:rsidRPr="00BC1AFF" w:rsidRDefault="48941A7E" w:rsidP="4DD98697">
      <w:pPr>
        <w:pStyle w:val="Heading3"/>
      </w:pPr>
      <w:r w:rsidRPr="00BC1AFF">
        <w:t xml:space="preserve">allow </w:t>
      </w:r>
      <w:r w:rsidR="651CFAED" w:rsidRPr="00BC1AFF">
        <w:t>us</w:t>
      </w:r>
      <w:r w:rsidRPr="00BC1AFF">
        <w:t xml:space="preserve"> access to internet resources to obtain required monitoring software for the </w:t>
      </w:r>
      <w:r w:rsidR="00883FB3" w:rsidRPr="00BC1AFF">
        <w:t>m</w:t>
      </w:r>
      <w:r w:rsidRPr="00BC1AFF">
        <w:t xml:space="preserve">onitoring </w:t>
      </w:r>
      <w:r w:rsidR="00883FB3" w:rsidRPr="00BC1AFF">
        <w:t>t</w:t>
      </w:r>
      <w:r w:rsidRPr="00BC1AFF">
        <w:t>ools;</w:t>
      </w:r>
    </w:p>
    <w:p w14:paraId="6055346E" w14:textId="0579FEEF" w:rsidR="000C228B" w:rsidRPr="00BC1AFF" w:rsidRDefault="48941A7E" w:rsidP="4DD98697">
      <w:pPr>
        <w:pStyle w:val="Heading3"/>
      </w:pPr>
      <w:r w:rsidRPr="00BC1AFF">
        <w:t xml:space="preserve">enable connectivity throughout the infrastructure for </w:t>
      </w:r>
      <w:r w:rsidR="00883FB3" w:rsidRPr="00BC1AFF">
        <w:t>m</w:t>
      </w:r>
      <w:r w:rsidRPr="00BC1AFF">
        <w:t xml:space="preserve">onitoring </w:t>
      </w:r>
      <w:r w:rsidR="00883FB3" w:rsidRPr="00BC1AFF">
        <w:t>t</w:t>
      </w:r>
      <w:r w:rsidRPr="00BC1AFF">
        <w:t xml:space="preserve">ools to access every IT Environment </w:t>
      </w:r>
      <w:r w:rsidR="00883FB3" w:rsidRPr="00BC1AFF">
        <w:t>and</w:t>
      </w:r>
      <w:r w:rsidRPr="00BC1AFF">
        <w:t xml:space="preserve"> Component; and</w:t>
      </w:r>
    </w:p>
    <w:p w14:paraId="3FC9451D" w14:textId="511878C6" w:rsidR="000C228B" w:rsidRPr="00BC1AFF" w:rsidRDefault="005068A7" w:rsidP="4DD98697">
      <w:pPr>
        <w:pStyle w:val="Heading3"/>
      </w:pPr>
      <w:r w:rsidRPr="00BC1AFF">
        <w:t>c</w:t>
      </w:r>
      <w:r w:rsidR="48941A7E" w:rsidRPr="00BC1AFF">
        <w:t xml:space="preserve">onfigure in-scope </w:t>
      </w:r>
      <w:r w:rsidR="00883FB3" w:rsidRPr="00BC1AFF">
        <w:t xml:space="preserve">IT </w:t>
      </w:r>
      <w:r w:rsidR="48941A7E" w:rsidRPr="00BC1AFF">
        <w:t>Environments</w:t>
      </w:r>
      <w:r w:rsidR="00476524" w:rsidRPr="00BC1AFF">
        <w:t xml:space="preserve"> and Components</w:t>
      </w:r>
      <w:r w:rsidR="48941A7E" w:rsidRPr="00BC1AFF">
        <w:t xml:space="preserve"> to allow </w:t>
      </w:r>
      <w:r w:rsidR="00476524" w:rsidRPr="00BC1AFF">
        <w:t>m</w:t>
      </w:r>
      <w:r w:rsidR="48941A7E" w:rsidRPr="00BC1AFF">
        <w:t xml:space="preserve">onitoring </w:t>
      </w:r>
      <w:r w:rsidR="00476524" w:rsidRPr="00BC1AFF">
        <w:t>t</w:t>
      </w:r>
      <w:r w:rsidR="48941A7E" w:rsidRPr="00BC1AFF">
        <w:t>ool access to management information</w:t>
      </w:r>
      <w:r w:rsidRPr="00BC1AFF">
        <w:t>.</w:t>
      </w:r>
      <w:r w:rsidR="48941A7E" w:rsidRPr="00BC1AFF">
        <w:t xml:space="preserve"> </w:t>
      </w:r>
    </w:p>
    <w:p w14:paraId="276D4B9E" w14:textId="56C7B96F" w:rsidR="000C228B" w:rsidRPr="00BC1AFF" w:rsidRDefault="48941A7E" w:rsidP="00C90281">
      <w:pPr>
        <w:pStyle w:val="Heading2"/>
      </w:pPr>
      <w:r w:rsidRPr="00BC1AFF">
        <w:t xml:space="preserve">You agree that </w:t>
      </w:r>
      <w:r w:rsidR="53A7E232" w:rsidRPr="00BC1AFF">
        <w:t>we</w:t>
      </w:r>
      <w:r w:rsidRPr="00BC1AFF">
        <w:t xml:space="preserve"> remain the owner and administrator of the </w:t>
      </w:r>
      <w:r w:rsidR="00476524" w:rsidRPr="00BC1AFF">
        <w:t>m</w:t>
      </w:r>
      <w:r w:rsidRPr="00BC1AFF">
        <w:t xml:space="preserve">onitoring </w:t>
      </w:r>
      <w:r w:rsidR="00476524" w:rsidRPr="00BC1AFF">
        <w:t>t</w:t>
      </w:r>
      <w:r w:rsidRPr="00BC1AFF">
        <w:t xml:space="preserve">ool(s). Any </w:t>
      </w:r>
      <w:r w:rsidRPr="00BC1AFF">
        <w:rPr>
          <w:rStyle w:val="Strong"/>
          <w:b w:val="0"/>
          <w:bCs w:val="0"/>
        </w:rPr>
        <w:t>changes</w:t>
      </w:r>
      <w:r w:rsidRPr="00BC1AFF">
        <w:t xml:space="preserve"> or requirements to alter, move or otherwise modify the </w:t>
      </w:r>
      <w:r w:rsidR="00476524" w:rsidRPr="00BC1AFF">
        <w:t>m</w:t>
      </w:r>
      <w:r w:rsidRPr="00BC1AFF">
        <w:t xml:space="preserve">onitoring </w:t>
      </w:r>
      <w:r w:rsidR="00476524" w:rsidRPr="00BC1AFF">
        <w:t>t</w:t>
      </w:r>
      <w:r w:rsidRPr="00BC1AFF">
        <w:t xml:space="preserve">ool(s) will require </w:t>
      </w:r>
      <w:r w:rsidR="53A7E232" w:rsidRPr="00BC1AFF">
        <w:t>our</w:t>
      </w:r>
      <w:r w:rsidRPr="00BC1AFF">
        <w:t xml:space="preserve"> prior approval. Failure to do so may result in the inability to deliver </w:t>
      </w:r>
      <w:r w:rsidR="53A7E232" w:rsidRPr="00BC1AFF">
        <w:t xml:space="preserve">the Telstra Purple Managed </w:t>
      </w:r>
      <w:r w:rsidRPr="00BC1AFF">
        <w:t>Services.</w:t>
      </w:r>
    </w:p>
    <w:p w14:paraId="7C3DD338" w14:textId="53495D79" w:rsidR="000C228B" w:rsidRPr="00BC1AFF" w:rsidRDefault="005068A7" w:rsidP="00C90281">
      <w:pPr>
        <w:pStyle w:val="Heading2"/>
      </w:pPr>
      <w:r w:rsidRPr="00BC1AFF">
        <w:t>T</w:t>
      </w:r>
      <w:r w:rsidR="48941A7E" w:rsidRPr="00BC1AFF">
        <w:t xml:space="preserve">o enable </w:t>
      </w:r>
      <w:r w:rsidR="581D5D44" w:rsidRPr="00BC1AFF">
        <w:t>us</w:t>
      </w:r>
      <w:r w:rsidR="48941A7E" w:rsidRPr="00BC1AFF">
        <w:t xml:space="preserve"> to provide the </w:t>
      </w:r>
      <w:r w:rsidR="402DFC9A" w:rsidRPr="00BC1AFF">
        <w:t>Telstra Purple Managed Services</w:t>
      </w:r>
      <w:r w:rsidR="48941A7E" w:rsidRPr="00BC1AFF">
        <w:t xml:space="preserve">, </w:t>
      </w:r>
      <w:r w:rsidR="581D5D44" w:rsidRPr="00BC1AFF">
        <w:t xml:space="preserve">you </w:t>
      </w:r>
      <w:r w:rsidR="48941A7E" w:rsidRPr="00BC1AFF">
        <w:t xml:space="preserve">agree that </w:t>
      </w:r>
      <w:r w:rsidR="581D5D44" w:rsidRPr="00BC1AFF">
        <w:t xml:space="preserve">you </w:t>
      </w:r>
      <w:r w:rsidR="48941A7E" w:rsidRPr="00BC1AFF">
        <w:t xml:space="preserve">will (at </w:t>
      </w:r>
      <w:r w:rsidR="581D5D44" w:rsidRPr="00BC1AFF">
        <w:t xml:space="preserve">your </w:t>
      </w:r>
      <w:r w:rsidR="48941A7E" w:rsidRPr="00BC1AFF">
        <w:t>expense) perform certain tasks which include, but are not limited to:</w:t>
      </w:r>
    </w:p>
    <w:p w14:paraId="6ADD02C7" w14:textId="1B3D4716" w:rsidR="000C228B" w:rsidRPr="00BC1AFF" w:rsidRDefault="005068A7" w:rsidP="4DD98697">
      <w:pPr>
        <w:pStyle w:val="Heading3"/>
      </w:pPr>
      <w:r w:rsidRPr="00BC1AFF">
        <w:lastRenderedPageBreak/>
        <w:t>w</w:t>
      </w:r>
      <w:r w:rsidR="48941A7E" w:rsidRPr="00BC1AFF">
        <w:t xml:space="preserve">here a </w:t>
      </w:r>
      <w:r w:rsidR="00201FA0" w:rsidRPr="00BC1AFF">
        <w:t>m</w:t>
      </w:r>
      <w:r w:rsidR="48941A7E" w:rsidRPr="00BC1AFF">
        <w:t xml:space="preserve">onitoring </w:t>
      </w:r>
      <w:r w:rsidR="00201FA0" w:rsidRPr="00BC1AFF">
        <w:t>t</w:t>
      </w:r>
      <w:r w:rsidR="48941A7E" w:rsidRPr="00BC1AFF">
        <w:t xml:space="preserve">ool is installed on </w:t>
      </w:r>
      <w:r w:rsidR="581D5D44" w:rsidRPr="00BC1AFF">
        <w:t xml:space="preserve">your </w:t>
      </w:r>
      <w:r w:rsidR="48941A7E" w:rsidRPr="00BC1AFF">
        <w:t>infrastructure, ensuring the server is maintained and has access to in-scope IT Environments and Components and we have access to manage;</w:t>
      </w:r>
    </w:p>
    <w:p w14:paraId="3BC07AD0" w14:textId="5124FCB0" w:rsidR="000C228B" w:rsidRPr="00BC1AFF" w:rsidRDefault="48941A7E" w:rsidP="4DD98697">
      <w:pPr>
        <w:pStyle w:val="Heading3"/>
      </w:pPr>
      <w:bookmarkStart w:id="317" w:name="_Ref130822716"/>
      <w:r w:rsidRPr="00BC1AFF">
        <w:t xml:space="preserve">ensuring an on-going availability of suitable connectivity for </w:t>
      </w:r>
      <w:r w:rsidR="581D5D44" w:rsidRPr="00BC1AFF">
        <w:t>us</w:t>
      </w:r>
      <w:r w:rsidRPr="00BC1AFF">
        <w:t xml:space="preserve"> to </w:t>
      </w:r>
      <w:r w:rsidR="00BF7511" w:rsidRPr="00BC1AFF">
        <w:t xml:space="preserve">the IT </w:t>
      </w:r>
      <w:r w:rsidRPr="00BC1AFF">
        <w:t>Environments</w:t>
      </w:r>
      <w:r w:rsidR="00BF7511" w:rsidRPr="00BC1AFF">
        <w:t xml:space="preserve"> and Components</w:t>
      </w:r>
      <w:r w:rsidRPr="00BC1AFF">
        <w:t xml:space="preserve"> located on </w:t>
      </w:r>
      <w:r w:rsidR="09E424CB" w:rsidRPr="00BC1AFF">
        <w:t xml:space="preserve">your </w:t>
      </w:r>
      <w:r w:rsidRPr="00BC1AFF">
        <w:t xml:space="preserve">controlled premises for the purposes of performing the </w:t>
      </w:r>
      <w:r w:rsidR="09E424CB" w:rsidRPr="00BC1AFF">
        <w:t xml:space="preserve">Telstra Purple Managed </w:t>
      </w:r>
      <w:r w:rsidRPr="00BC1AFF">
        <w:t>Services;</w:t>
      </w:r>
      <w:bookmarkEnd w:id="317"/>
    </w:p>
    <w:p w14:paraId="62345467" w14:textId="33D20DD9" w:rsidR="000C228B" w:rsidRPr="00BC1AFF" w:rsidRDefault="48941A7E" w:rsidP="4DD98697">
      <w:pPr>
        <w:pStyle w:val="Heading3"/>
      </w:pPr>
      <w:r w:rsidRPr="00BC1AFF">
        <w:t xml:space="preserve">ensuring all </w:t>
      </w:r>
      <w:r w:rsidR="00914867" w:rsidRPr="00BC1AFF">
        <w:t xml:space="preserve">managed IT </w:t>
      </w:r>
      <w:r w:rsidRPr="00BC1AFF">
        <w:t>Environments</w:t>
      </w:r>
      <w:r w:rsidR="00914867" w:rsidRPr="00BC1AFF">
        <w:t xml:space="preserve"> and Components</w:t>
      </w:r>
      <w:r w:rsidRPr="00BC1AFF">
        <w:t xml:space="preserve"> owned by </w:t>
      </w:r>
      <w:r w:rsidR="09E424CB" w:rsidRPr="00BC1AFF">
        <w:t xml:space="preserve">you </w:t>
      </w:r>
      <w:r w:rsidRPr="00BC1AFF">
        <w:t xml:space="preserve">and supported under these </w:t>
      </w:r>
      <w:r w:rsidR="09E424CB" w:rsidRPr="00BC1AFF">
        <w:t xml:space="preserve">Telstra Purple Managed </w:t>
      </w:r>
      <w:r w:rsidRPr="00BC1AFF">
        <w:t xml:space="preserve">Services are licensed at the appropriate level and have the required support in place to enable escalations to the Vendor, and that </w:t>
      </w:r>
      <w:r w:rsidR="09E424CB" w:rsidRPr="00BC1AFF">
        <w:t>we</w:t>
      </w:r>
      <w:r w:rsidRPr="00BC1AFF">
        <w:t xml:space="preserve"> have authority to access this support;</w:t>
      </w:r>
    </w:p>
    <w:p w14:paraId="0C96E144" w14:textId="06939255" w:rsidR="000C228B" w:rsidRPr="00BC1AFF" w:rsidRDefault="00660CED" w:rsidP="4DD98697">
      <w:pPr>
        <w:pStyle w:val="Heading3"/>
      </w:pPr>
      <w:r w:rsidRPr="00BC1AFF">
        <w:t>m</w:t>
      </w:r>
      <w:r w:rsidR="48941A7E" w:rsidRPr="00BC1AFF">
        <w:t xml:space="preserve">aintaining </w:t>
      </w:r>
      <w:r w:rsidR="00914867" w:rsidRPr="00BC1AFF">
        <w:t xml:space="preserve">IT </w:t>
      </w:r>
      <w:r w:rsidR="48941A7E" w:rsidRPr="00BC1AFF">
        <w:t>Environments</w:t>
      </w:r>
      <w:r w:rsidR="00914867" w:rsidRPr="00BC1AFF">
        <w:t xml:space="preserve"> and Components</w:t>
      </w:r>
      <w:r w:rsidR="48941A7E" w:rsidRPr="00BC1AFF">
        <w:t xml:space="preserve"> managed as part of</w:t>
      </w:r>
      <w:r w:rsidR="00E13C5D" w:rsidRPr="00BC1AFF">
        <w:t xml:space="preserve"> the</w:t>
      </w:r>
      <w:r w:rsidR="48941A7E" w:rsidRPr="00BC1AFF">
        <w:t xml:space="preserve"> </w:t>
      </w:r>
      <w:r w:rsidR="09E424CB" w:rsidRPr="00BC1AFF">
        <w:t xml:space="preserve">Telstra Purple Managed </w:t>
      </w:r>
      <w:r w:rsidR="48941A7E" w:rsidRPr="00BC1AFF">
        <w:t>Services based on Vendor or Telstra Purple’s recommendations particularly when known bugs or issues exist;</w:t>
      </w:r>
    </w:p>
    <w:p w14:paraId="134CAC1F" w14:textId="0E56D14B" w:rsidR="000C228B" w:rsidRPr="00BC1AFF" w:rsidRDefault="48941A7E" w:rsidP="4DD98697">
      <w:pPr>
        <w:pStyle w:val="Heading3"/>
      </w:pPr>
      <w:r w:rsidRPr="00BC1AFF">
        <w:t xml:space="preserve">ensuring </w:t>
      </w:r>
      <w:r w:rsidR="0C73BCE5" w:rsidRPr="00BC1AFF">
        <w:t>we</w:t>
      </w:r>
      <w:r w:rsidRPr="00BC1AFF">
        <w:t xml:space="preserve"> retain full ‘administrative’ access to in-scope </w:t>
      </w:r>
      <w:r w:rsidR="00947710" w:rsidRPr="00BC1AFF">
        <w:t xml:space="preserve">IT </w:t>
      </w:r>
      <w:r w:rsidRPr="00BC1AFF">
        <w:t>Environments</w:t>
      </w:r>
      <w:r w:rsidR="00947710" w:rsidRPr="00BC1AFF">
        <w:t xml:space="preserve"> and Components</w:t>
      </w:r>
      <w:r w:rsidRPr="00BC1AFF">
        <w:t xml:space="preserve"> and </w:t>
      </w:r>
      <w:r w:rsidR="00947710" w:rsidRPr="00BC1AFF">
        <w:t>m</w:t>
      </w:r>
      <w:r w:rsidRPr="00BC1AFF">
        <w:t xml:space="preserve">onitoring </w:t>
      </w:r>
      <w:r w:rsidR="00947710" w:rsidRPr="00BC1AFF">
        <w:t>t</w:t>
      </w:r>
      <w:r w:rsidRPr="00BC1AFF">
        <w:t>ool(s);</w:t>
      </w:r>
    </w:p>
    <w:p w14:paraId="7F73E07F" w14:textId="13CEE7A1" w:rsidR="000C228B" w:rsidRPr="00BC1AFF" w:rsidRDefault="00660CED" w:rsidP="4DD98697">
      <w:pPr>
        <w:pStyle w:val="Heading3"/>
      </w:pPr>
      <w:r w:rsidRPr="00BC1AFF">
        <w:t>u</w:t>
      </w:r>
      <w:r w:rsidR="48941A7E" w:rsidRPr="00BC1AFF">
        <w:t xml:space="preserve">nless otherwise stipulated in </w:t>
      </w:r>
      <w:r w:rsidR="52188316" w:rsidRPr="00BC1AFF">
        <w:t>your Order</w:t>
      </w:r>
      <w:r w:rsidR="48941A7E" w:rsidRPr="00BC1AFF">
        <w:t xml:space="preserve">, ensuring that valid data and configuration backups are managed. These backups should be available should the need arise to reinstate data or configuration on an </w:t>
      </w:r>
      <w:r w:rsidR="00E13C5D" w:rsidRPr="00BC1AFF">
        <w:t xml:space="preserve">environment </w:t>
      </w:r>
      <w:r w:rsidR="48941A7E" w:rsidRPr="00BC1AFF">
        <w:t xml:space="preserve">or a system not covered by the </w:t>
      </w:r>
      <w:r w:rsidR="52188316" w:rsidRPr="00BC1AFF">
        <w:t xml:space="preserve">Telstra Purple Managed </w:t>
      </w:r>
      <w:r w:rsidR="48941A7E" w:rsidRPr="00BC1AFF">
        <w:t>Services;</w:t>
      </w:r>
    </w:p>
    <w:p w14:paraId="1B787408" w14:textId="0EC4300F" w:rsidR="000C228B" w:rsidRPr="00BC1AFF" w:rsidRDefault="00660CED" w:rsidP="4DD98697">
      <w:pPr>
        <w:pStyle w:val="Heading3"/>
      </w:pPr>
      <w:r w:rsidRPr="00BC1AFF">
        <w:t>a</w:t>
      </w:r>
      <w:r w:rsidR="48941A7E" w:rsidRPr="00BC1AFF">
        <w:t xml:space="preserve">dvising </w:t>
      </w:r>
      <w:r w:rsidR="52188316" w:rsidRPr="00BC1AFF">
        <w:t>us</w:t>
      </w:r>
      <w:r w:rsidR="48941A7E" w:rsidRPr="00BC1AFF">
        <w:t xml:space="preserve"> of any changes or outages controlled by </w:t>
      </w:r>
      <w:r w:rsidR="52188316" w:rsidRPr="00BC1AFF">
        <w:t xml:space="preserve">you </w:t>
      </w:r>
      <w:r w:rsidR="48941A7E" w:rsidRPr="00BC1AFF">
        <w:t xml:space="preserve">that may impact the </w:t>
      </w:r>
      <w:r w:rsidR="52188316" w:rsidRPr="00BC1AFF">
        <w:t xml:space="preserve">Telstra Purple Managed </w:t>
      </w:r>
      <w:r w:rsidR="48941A7E" w:rsidRPr="00BC1AFF">
        <w:t>Services</w:t>
      </w:r>
      <w:r w:rsidRPr="00BC1AFF">
        <w:t>; and</w:t>
      </w:r>
    </w:p>
    <w:p w14:paraId="6D1101F9" w14:textId="6180B655" w:rsidR="0027043F" w:rsidRPr="00BC1AFF" w:rsidRDefault="48941A7E" w:rsidP="00C90281">
      <w:pPr>
        <w:pStyle w:val="Heading2"/>
      </w:pPr>
      <w:r w:rsidRPr="00BC1AFF">
        <w:t>Any IT Environment</w:t>
      </w:r>
      <w:r w:rsidR="00E13C5D" w:rsidRPr="00BC1AFF">
        <w:t>s</w:t>
      </w:r>
      <w:r w:rsidRPr="00BC1AFF">
        <w:t xml:space="preserve"> </w:t>
      </w:r>
      <w:r w:rsidR="009B6C0C" w:rsidRPr="00BC1AFF">
        <w:t>or</w:t>
      </w:r>
      <w:r w:rsidRPr="00BC1AFF">
        <w:t xml:space="preserve"> Component</w:t>
      </w:r>
      <w:r w:rsidR="00E13C5D" w:rsidRPr="00BC1AFF">
        <w:t>s</w:t>
      </w:r>
      <w:r w:rsidRPr="00BC1AFF">
        <w:t xml:space="preserve"> found to be end of support and not under Vendor support or a third party managed contract during the Service Term will be supported on a Best Efforts basis, and will exclude </w:t>
      </w:r>
      <w:r w:rsidR="61BF9386" w:rsidRPr="00BC1AFF">
        <w:t>us</w:t>
      </w:r>
      <w:r w:rsidRPr="00BC1AFF">
        <w:t xml:space="preserve"> from service level obligations, Release Management, Problem Management, Change Enablement and </w:t>
      </w:r>
      <w:r w:rsidR="007F42CC" w:rsidRPr="00BC1AFF">
        <w:t xml:space="preserve">managed </w:t>
      </w:r>
      <w:r w:rsidRPr="00BC1AFF">
        <w:t>IT Environment</w:t>
      </w:r>
      <w:r w:rsidR="00E13C5D" w:rsidRPr="00BC1AFF">
        <w:t>s</w:t>
      </w:r>
      <w:r w:rsidRPr="00BC1AFF">
        <w:t xml:space="preserve"> </w:t>
      </w:r>
      <w:r w:rsidR="007F42CC" w:rsidRPr="00BC1AFF">
        <w:t xml:space="preserve">and </w:t>
      </w:r>
      <w:r w:rsidRPr="00BC1AFF">
        <w:t>Component</w:t>
      </w:r>
      <w:r w:rsidR="00E13C5D" w:rsidRPr="00BC1AFF">
        <w:t>s</w:t>
      </w:r>
      <w:r w:rsidRPr="00BC1AFF">
        <w:t xml:space="preserve"> repair or replacement management obligations. If </w:t>
      </w:r>
      <w:r w:rsidR="61BF9386" w:rsidRPr="00BC1AFF">
        <w:t>y</w:t>
      </w:r>
      <w:r w:rsidRPr="00BC1AFF">
        <w:t xml:space="preserve">ou require </w:t>
      </w:r>
      <w:r w:rsidR="007F42CC" w:rsidRPr="00BC1AFF">
        <w:t>us</w:t>
      </w:r>
      <w:r w:rsidRPr="00BC1AFF">
        <w:t xml:space="preserve"> to perform these services, such service will be provided subject to </w:t>
      </w:r>
      <w:r w:rsidR="007F42CC" w:rsidRPr="00BC1AFF">
        <w:t>C</w:t>
      </w:r>
      <w:r w:rsidRPr="00BC1AFF">
        <w:t xml:space="preserve">hange </w:t>
      </w:r>
      <w:r w:rsidR="007F42CC" w:rsidRPr="00BC1AFF">
        <w:t>Enablement</w:t>
      </w:r>
      <w:r w:rsidRPr="00BC1AFF">
        <w:t xml:space="preserve"> stipulations and </w:t>
      </w:r>
      <w:r w:rsidR="009938DC" w:rsidRPr="00BC1AFF">
        <w:t>A</w:t>
      </w:r>
      <w:r w:rsidRPr="00BC1AFF">
        <w:t xml:space="preserve">dditional </w:t>
      </w:r>
      <w:r w:rsidR="009938DC" w:rsidRPr="00BC1AFF">
        <w:t>S</w:t>
      </w:r>
      <w:r w:rsidRPr="00BC1AFF">
        <w:t xml:space="preserve">ervice </w:t>
      </w:r>
      <w:r w:rsidR="009938DC" w:rsidRPr="00BC1AFF">
        <w:t>C</w:t>
      </w:r>
      <w:r w:rsidRPr="00BC1AFF">
        <w:t>harges may apply.</w:t>
      </w:r>
    </w:p>
    <w:p w14:paraId="43F05FBE" w14:textId="6A40E781" w:rsidR="00794956" w:rsidRPr="00BC1AFF" w:rsidRDefault="045E107C" w:rsidP="00802292">
      <w:pPr>
        <w:pStyle w:val="Heading1"/>
      </w:pPr>
      <w:bookmarkStart w:id="318" w:name="_Toc115217374"/>
      <w:bookmarkStart w:id="319" w:name="_Toc137461088"/>
      <w:bookmarkStart w:id="320" w:name="_Toc138241456"/>
      <w:bookmarkStart w:id="321" w:name="_Toc160009053"/>
      <w:r w:rsidRPr="00BC1AFF">
        <w:t>Exclusions</w:t>
      </w:r>
      <w:bookmarkEnd w:id="318"/>
      <w:bookmarkEnd w:id="319"/>
      <w:bookmarkEnd w:id="320"/>
      <w:bookmarkEnd w:id="321"/>
    </w:p>
    <w:p w14:paraId="6034FC60" w14:textId="3592F920" w:rsidR="00A37150" w:rsidRPr="00BC1AFF" w:rsidRDefault="0ACBAE04" w:rsidP="00C90281">
      <w:pPr>
        <w:pStyle w:val="Heading2"/>
      </w:pPr>
      <w:r w:rsidRPr="00BC1AFF">
        <w:t xml:space="preserve">The following service components are excluded from the </w:t>
      </w:r>
      <w:r w:rsidR="402DFC9A" w:rsidRPr="00BC1AFF">
        <w:t>Telstra Purple Managed Services</w:t>
      </w:r>
      <w:r w:rsidRPr="00BC1AFF">
        <w:t>:</w:t>
      </w:r>
    </w:p>
    <w:p w14:paraId="6BC2E7E2" w14:textId="3D91DAC1" w:rsidR="00A37150" w:rsidRPr="00BC1AFF" w:rsidRDefault="39F9DE53" w:rsidP="003A620A">
      <w:pPr>
        <w:pStyle w:val="Heading3"/>
      </w:pPr>
      <w:r w:rsidRPr="00BC1AFF">
        <w:t>i</w:t>
      </w:r>
      <w:r w:rsidR="0ACBAE04" w:rsidRPr="00BC1AFF">
        <w:t xml:space="preserve">ssues resulting from misconfiguration by </w:t>
      </w:r>
      <w:r w:rsidR="00A35213" w:rsidRPr="00BC1AFF">
        <w:t>y</w:t>
      </w:r>
      <w:r w:rsidR="0ACBAE04" w:rsidRPr="00BC1AFF">
        <w:t xml:space="preserve">ou or </w:t>
      </w:r>
      <w:r w:rsidR="00A35213" w:rsidRPr="00BC1AFF">
        <w:t>y</w:t>
      </w:r>
      <w:r w:rsidR="0ACBAE04" w:rsidRPr="00BC1AFF">
        <w:t>our personnel</w:t>
      </w:r>
      <w:r w:rsidR="00B32044" w:rsidRPr="00BC1AFF">
        <w:t>;</w:t>
      </w:r>
    </w:p>
    <w:p w14:paraId="2F46B05B" w14:textId="10299FB8" w:rsidR="00A37150" w:rsidRPr="00BC1AFF" w:rsidRDefault="39F9DE53" w:rsidP="003A620A">
      <w:pPr>
        <w:pStyle w:val="Heading3"/>
      </w:pPr>
      <w:r w:rsidRPr="00BC1AFF">
        <w:t>f</w:t>
      </w:r>
      <w:r w:rsidR="0ACBAE04" w:rsidRPr="00BC1AFF">
        <w:t xml:space="preserve">ailures in maintenance/administration by </w:t>
      </w:r>
      <w:r w:rsidR="00A35213" w:rsidRPr="00BC1AFF">
        <w:t>y</w:t>
      </w:r>
      <w:r w:rsidR="0ACBAE04" w:rsidRPr="00BC1AFF">
        <w:t xml:space="preserve">ou or </w:t>
      </w:r>
      <w:r w:rsidR="00A35213" w:rsidRPr="00BC1AFF">
        <w:t>y</w:t>
      </w:r>
      <w:r w:rsidR="0ACBAE04" w:rsidRPr="00BC1AFF">
        <w:t>our personnel</w:t>
      </w:r>
      <w:r w:rsidR="00B32044" w:rsidRPr="00BC1AFF">
        <w:t>;</w:t>
      </w:r>
    </w:p>
    <w:p w14:paraId="45E85239" w14:textId="4D3A6D9A" w:rsidR="00A37150" w:rsidRPr="00BC1AFF" w:rsidRDefault="39F9DE53" w:rsidP="003A620A">
      <w:pPr>
        <w:pStyle w:val="Heading3"/>
      </w:pPr>
      <w:r w:rsidRPr="00BC1AFF">
        <w:t>i</w:t>
      </w:r>
      <w:r w:rsidR="0ACBAE04" w:rsidRPr="00BC1AFF">
        <w:t xml:space="preserve">ncidents arising from </w:t>
      </w:r>
      <w:r w:rsidR="00A35213" w:rsidRPr="00BC1AFF">
        <w:t>y</w:t>
      </w:r>
      <w:r w:rsidR="0ACBAE04" w:rsidRPr="00BC1AFF">
        <w:t xml:space="preserve">ou or </w:t>
      </w:r>
      <w:r w:rsidR="00A35213" w:rsidRPr="00BC1AFF">
        <w:t>y</w:t>
      </w:r>
      <w:r w:rsidR="0ACBAE04" w:rsidRPr="00BC1AFF">
        <w:t>our personnel’s lack of training</w:t>
      </w:r>
      <w:r w:rsidR="00B32044" w:rsidRPr="00BC1AFF">
        <w:t>;</w:t>
      </w:r>
    </w:p>
    <w:p w14:paraId="7CA73343" w14:textId="01D68D13" w:rsidR="00A37150" w:rsidRPr="00BC1AFF" w:rsidRDefault="39F9DE53" w:rsidP="003A620A">
      <w:pPr>
        <w:pStyle w:val="Heading3"/>
      </w:pPr>
      <w:r w:rsidRPr="00BC1AFF">
        <w:t>d</w:t>
      </w:r>
      <w:r w:rsidR="0ACBAE04" w:rsidRPr="00BC1AFF">
        <w:t xml:space="preserve">ata restoration on </w:t>
      </w:r>
      <w:r w:rsidR="002424FF" w:rsidRPr="00BC1AFF">
        <w:t xml:space="preserve">managed IT </w:t>
      </w:r>
      <w:r w:rsidR="0ACBAE04" w:rsidRPr="00BC1AFF">
        <w:t>Environments</w:t>
      </w:r>
      <w:r w:rsidR="002424FF" w:rsidRPr="00BC1AFF">
        <w:t xml:space="preserve"> and Components</w:t>
      </w:r>
      <w:r w:rsidR="0ACBAE04" w:rsidRPr="00BC1AFF">
        <w:t xml:space="preserve"> (unless covered by a service as described in relevant attached </w:t>
      </w:r>
      <w:r w:rsidR="002424FF" w:rsidRPr="00BC1AFF">
        <w:t>MSD</w:t>
      </w:r>
      <w:r w:rsidR="00B85196" w:rsidRPr="00BC1AFF">
        <w:t>(s</w:t>
      </w:r>
      <w:r w:rsidR="0ACBAE04" w:rsidRPr="00BC1AFF">
        <w:t>)</w:t>
      </w:r>
      <w:r w:rsidR="00C038D8" w:rsidRPr="00BC1AFF">
        <w:t xml:space="preserve"> or SD</w:t>
      </w:r>
      <w:r w:rsidR="00B32044" w:rsidRPr="00BC1AFF">
        <w:t>; and</w:t>
      </w:r>
    </w:p>
    <w:p w14:paraId="3C3D83FC" w14:textId="3884C3EA" w:rsidR="00A37150" w:rsidRPr="00BC1AFF" w:rsidRDefault="39F9DE53" w:rsidP="003A620A">
      <w:pPr>
        <w:pStyle w:val="Heading3"/>
      </w:pPr>
      <w:r w:rsidRPr="00BC1AFF">
        <w:t>e</w:t>
      </w:r>
      <w:r w:rsidR="0ACBAE04" w:rsidRPr="00BC1AFF">
        <w:t xml:space="preserve">nd user support or technical advice to any persons not listed as </w:t>
      </w:r>
      <w:r w:rsidR="003257D2" w:rsidRPr="00BC1AFF">
        <w:t>a named contact in our systems</w:t>
      </w:r>
      <w:r w:rsidR="0ACBAE04" w:rsidRPr="00BC1AFF">
        <w:t>.</w:t>
      </w:r>
    </w:p>
    <w:p w14:paraId="7C2B451A" w14:textId="2900D9BB" w:rsidR="00D675B3" w:rsidRPr="00BC1AFF" w:rsidRDefault="09F42E04" w:rsidP="00802292">
      <w:pPr>
        <w:pStyle w:val="Heading1"/>
      </w:pPr>
      <w:bookmarkStart w:id="322" w:name="_Toc115217376"/>
      <w:bookmarkStart w:id="323" w:name="_Toc137461089"/>
      <w:bookmarkStart w:id="324" w:name="_Toc138241457"/>
      <w:bookmarkStart w:id="325" w:name="_Toc160009054"/>
      <w:r w:rsidRPr="00BC1AFF">
        <w:lastRenderedPageBreak/>
        <w:t>Charges</w:t>
      </w:r>
      <w:bookmarkEnd w:id="322"/>
      <w:bookmarkEnd w:id="323"/>
      <w:bookmarkEnd w:id="324"/>
      <w:bookmarkEnd w:id="325"/>
    </w:p>
    <w:p w14:paraId="23CCDBFA" w14:textId="4CA0286C" w:rsidR="00D675B3" w:rsidRPr="00BC1AFF" w:rsidRDefault="10A3E1E0" w:rsidP="00C90281">
      <w:pPr>
        <w:pStyle w:val="Heading2"/>
      </w:pPr>
      <w:r w:rsidRPr="00BC1AFF">
        <w:t xml:space="preserve">The charges for your </w:t>
      </w:r>
      <w:r w:rsidR="402DFC9A" w:rsidRPr="00BC1AFF">
        <w:t>Telstra Purple Managed Services</w:t>
      </w:r>
      <w:r w:rsidRPr="00BC1AFF">
        <w:t xml:space="preserve"> are set out in your Order.</w:t>
      </w:r>
    </w:p>
    <w:p w14:paraId="07AC77A9" w14:textId="0800D393" w:rsidR="000D7442" w:rsidRPr="00BC1AFF" w:rsidRDefault="5B4F1152" w:rsidP="00C90281">
      <w:pPr>
        <w:pStyle w:val="Heading2"/>
        <w:rPr>
          <w:b/>
          <w:bCs/>
        </w:rPr>
      </w:pPr>
      <w:r w:rsidRPr="00BC1AFF">
        <w:t>Billing for the Monthly Recurring Charges (</w:t>
      </w:r>
      <w:r w:rsidRPr="00BC1AFF">
        <w:rPr>
          <w:b/>
          <w:bCs/>
        </w:rPr>
        <w:t>MRC</w:t>
      </w:r>
      <w:r w:rsidRPr="00BC1AFF">
        <w:t xml:space="preserve">) of </w:t>
      </w:r>
      <w:r w:rsidR="00F7326D" w:rsidRPr="00BC1AFF">
        <w:t xml:space="preserve">your Telstra Purple Managed </w:t>
      </w:r>
      <w:r w:rsidRPr="00BC1AFF">
        <w:t>Services will begin on the earlier of:</w:t>
      </w:r>
    </w:p>
    <w:p w14:paraId="7E774CA8" w14:textId="5C9C6577" w:rsidR="000D7442" w:rsidRPr="00BC1AFF" w:rsidRDefault="5B4F1152" w:rsidP="4DD98697">
      <w:pPr>
        <w:pStyle w:val="Heading3"/>
      </w:pPr>
      <w:r w:rsidRPr="00BC1AFF">
        <w:t xml:space="preserve">the date </w:t>
      </w:r>
      <w:r w:rsidR="43B8AEDF" w:rsidRPr="00BC1AFF">
        <w:t>we</w:t>
      </w:r>
      <w:r w:rsidRPr="00BC1AFF">
        <w:t xml:space="preserve"> start monitoring the first IT Environment or Component</w:t>
      </w:r>
      <w:r w:rsidR="00F7326D" w:rsidRPr="00BC1AFF">
        <w:t>;</w:t>
      </w:r>
    </w:p>
    <w:p w14:paraId="41C4C710" w14:textId="1C1CDC65" w:rsidR="000D7442" w:rsidRPr="00BC1AFF" w:rsidRDefault="5B4F1152" w:rsidP="4DD98697">
      <w:pPr>
        <w:pStyle w:val="Heading3"/>
      </w:pPr>
      <w:r w:rsidRPr="00BC1AFF">
        <w:t xml:space="preserve">the date </w:t>
      </w:r>
      <w:r w:rsidR="43B8AEDF" w:rsidRPr="00BC1AFF">
        <w:t>we</w:t>
      </w:r>
      <w:r w:rsidRPr="00BC1AFF">
        <w:t xml:space="preserve"> start supporting </w:t>
      </w:r>
      <w:r w:rsidR="00DE6BAB" w:rsidRPr="00BC1AFF">
        <w:t>y</w:t>
      </w:r>
      <w:r w:rsidRPr="00BC1AFF">
        <w:t>our IT Environment</w:t>
      </w:r>
      <w:r w:rsidR="00DE6BAB" w:rsidRPr="00BC1AFF">
        <w:t>s and</w:t>
      </w:r>
      <w:r w:rsidRPr="00BC1AFF">
        <w:t xml:space="preserve"> Component</w:t>
      </w:r>
      <w:r w:rsidR="00DE6BAB" w:rsidRPr="00BC1AFF">
        <w:t>s</w:t>
      </w:r>
      <w:r w:rsidR="00F7326D" w:rsidRPr="00BC1AFF">
        <w:t>;</w:t>
      </w:r>
    </w:p>
    <w:p w14:paraId="10AE79F1" w14:textId="781863ED" w:rsidR="00F7326D" w:rsidRPr="00BC1AFF" w:rsidRDefault="00F7326D" w:rsidP="4DD98697">
      <w:pPr>
        <w:pStyle w:val="Heading3"/>
      </w:pPr>
      <w:r w:rsidRPr="00BC1AFF">
        <w:t xml:space="preserve">if you take up the Telstra Purple Hosting and Connectivity Service, the date on which </w:t>
      </w:r>
      <w:r w:rsidR="003257D2" w:rsidRPr="00BC1AFF">
        <w:t>it is provisioned</w:t>
      </w:r>
      <w:r w:rsidRPr="00BC1AFF">
        <w:t>;</w:t>
      </w:r>
    </w:p>
    <w:p w14:paraId="3515785F" w14:textId="5EB77426" w:rsidR="000D7442" w:rsidRPr="00BC1AFF" w:rsidRDefault="5B4F1152" w:rsidP="4DD98697">
      <w:pPr>
        <w:pStyle w:val="Heading3"/>
      </w:pPr>
      <w:r w:rsidRPr="00BC1AFF">
        <w:t xml:space="preserve">on completion of </w:t>
      </w:r>
      <w:r w:rsidR="00E13C5D" w:rsidRPr="00BC1AFF">
        <w:t>o</w:t>
      </w:r>
      <w:r w:rsidRPr="00BC1AFF">
        <w:t>nboarding activities</w:t>
      </w:r>
      <w:r w:rsidR="00F7326D" w:rsidRPr="00BC1AFF">
        <w:t xml:space="preserve">; </w:t>
      </w:r>
      <w:r w:rsidRPr="00BC1AFF">
        <w:t xml:space="preserve">or </w:t>
      </w:r>
    </w:p>
    <w:p w14:paraId="039DA9C5" w14:textId="5C6A036A" w:rsidR="00176A28" w:rsidRPr="00BC1AFF" w:rsidRDefault="5B4F1152" w:rsidP="4DD98697">
      <w:pPr>
        <w:pStyle w:val="Heading3"/>
      </w:pPr>
      <w:r w:rsidRPr="00BC1AFF">
        <w:t xml:space="preserve">a date in time which </w:t>
      </w:r>
      <w:r w:rsidR="43F772D1" w:rsidRPr="00BC1AFF">
        <w:t>we</w:t>
      </w:r>
      <w:r w:rsidRPr="00BC1AFF">
        <w:t xml:space="preserve"> mutually agree in writing with </w:t>
      </w:r>
      <w:r w:rsidR="43F772D1" w:rsidRPr="00BC1AFF">
        <w:t>you</w:t>
      </w:r>
      <w:r w:rsidR="43B8AEDF" w:rsidRPr="00BC1AFF">
        <w:t>,</w:t>
      </w:r>
    </w:p>
    <w:p w14:paraId="13B799E6" w14:textId="18BCCA73" w:rsidR="000D7442" w:rsidRPr="00BC1AFF" w:rsidRDefault="43B8AEDF" w:rsidP="003A620A">
      <w:pPr>
        <w:ind w:left="720"/>
      </w:pPr>
      <w:r w:rsidRPr="00BC1AFF">
        <w:t>the “</w:t>
      </w:r>
      <w:r w:rsidRPr="00BC1AFF">
        <w:rPr>
          <w:b/>
          <w:bCs/>
        </w:rPr>
        <w:t>Billing Commencement Date</w:t>
      </w:r>
      <w:r w:rsidRPr="00BC1AFF">
        <w:t>”</w:t>
      </w:r>
      <w:r w:rsidR="5B4F1152" w:rsidRPr="00BC1AFF">
        <w:t>.</w:t>
      </w:r>
    </w:p>
    <w:p w14:paraId="0597C7AD" w14:textId="1766FEBA" w:rsidR="000D7442" w:rsidRPr="00BC1AFF" w:rsidRDefault="5B4F1152" w:rsidP="00C90281">
      <w:pPr>
        <w:pStyle w:val="Heading2"/>
        <w:rPr>
          <w:b/>
          <w:bCs/>
        </w:rPr>
      </w:pPr>
      <w:r w:rsidRPr="00BC1AFF">
        <w:t xml:space="preserve">Where pricing for the </w:t>
      </w:r>
      <w:r w:rsidR="00DB23D8" w:rsidRPr="00BC1AFF">
        <w:t xml:space="preserve">Telstra Purple </w:t>
      </w:r>
      <w:r w:rsidR="26698804" w:rsidRPr="00BC1AFF">
        <w:t>Managed Service</w:t>
      </w:r>
      <w:r w:rsidRPr="00BC1AFF">
        <w:t xml:space="preserve"> is based on a per unit model, unless otherwise detailed and agreed in writing, as </w:t>
      </w:r>
      <w:r w:rsidR="30A32F08" w:rsidRPr="00BC1AFF">
        <w:t xml:space="preserve">IT </w:t>
      </w:r>
      <w:r w:rsidRPr="00BC1AFF">
        <w:t xml:space="preserve">Environments </w:t>
      </w:r>
      <w:r w:rsidR="30A32F08" w:rsidRPr="00BC1AFF">
        <w:t xml:space="preserve">or Components </w:t>
      </w:r>
      <w:r w:rsidRPr="00BC1AFF">
        <w:t>are deployed, and supported MRC’s will be based on a pro-rata basis</w:t>
      </w:r>
      <w:r w:rsidR="773764AF" w:rsidRPr="00BC1AFF">
        <w:t>.</w:t>
      </w:r>
    </w:p>
    <w:p w14:paraId="2AD3F763" w14:textId="6C4F3AE4" w:rsidR="000D7442" w:rsidRPr="00BC1AFF" w:rsidRDefault="5B4F1152" w:rsidP="00C90281">
      <w:pPr>
        <w:pStyle w:val="Heading2"/>
      </w:pPr>
      <w:r w:rsidRPr="00BC1AFF">
        <w:t xml:space="preserve">Some components of the </w:t>
      </w:r>
      <w:r w:rsidR="32B91E6E" w:rsidRPr="00BC1AFF">
        <w:t xml:space="preserve">Telstra Purple Managed </w:t>
      </w:r>
      <w:r w:rsidRPr="00BC1AFF">
        <w:t>Services may be completed post Billing Commencement Date.</w:t>
      </w:r>
    </w:p>
    <w:p w14:paraId="20C66C01" w14:textId="62794C11" w:rsidR="000D7442" w:rsidRPr="00BC1AFF" w:rsidRDefault="5B4F1152" w:rsidP="00C90281">
      <w:pPr>
        <w:pStyle w:val="Heading2"/>
        <w:rPr>
          <w:b/>
          <w:bCs/>
        </w:rPr>
      </w:pPr>
      <w:r w:rsidRPr="00BC1AFF">
        <w:t xml:space="preserve">If Services are unable to be onboarded, or utilised by </w:t>
      </w:r>
      <w:r w:rsidR="62337B5F" w:rsidRPr="00BC1AFF">
        <w:t xml:space="preserve">you </w:t>
      </w:r>
      <w:r w:rsidRPr="00BC1AFF">
        <w:t>due</w:t>
      </w:r>
      <w:r w:rsidR="62337B5F" w:rsidRPr="00BC1AFF">
        <w:t xml:space="preserve"> to</w:t>
      </w:r>
      <w:r w:rsidR="00E034D8">
        <w:t xml:space="preserve"> a delay caused by</w:t>
      </w:r>
      <w:r w:rsidRPr="00BC1AFF">
        <w:t>:</w:t>
      </w:r>
    </w:p>
    <w:p w14:paraId="28911CDE" w14:textId="09A1E95C" w:rsidR="000D7442" w:rsidRPr="00BC1AFF" w:rsidRDefault="62337B5F" w:rsidP="4DD98697">
      <w:pPr>
        <w:pStyle w:val="Heading3"/>
      </w:pPr>
      <w:r w:rsidRPr="00BC1AFF">
        <w:t xml:space="preserve">your </w:t>
      </w:r>
      <w:r w:rsidR="5B4F1152" w:rsidRPr="00BC1AFF">
        <w:t xml:space="preserve">failure to complete </w:t>
      </w:r>
      <w:r w:rsidR="007F55EB" w:rsidRPr="00BC1AFF">
        <w:t xml:space="preserve">your </w:t>
      </w:r>
      <w:r w:rsidR="5B4F1152" w:rsidRPr="00BC1AFF">
        <w:t xml:space="preserve">responsibilities or obligations under </w:t>
      </w:r>
      <w:r w:rsidR="007F55EB" w:rsidRPr="00BC1AFF">
        <w:t>your agreement with us for the Telstra Purple Managed Services</w:t>
      </w:r>
      <w:r w:rsidR="5B4F1152" w:rsidRPr="00BC1AFF">
        <w:t>; or</w:t>
      </w:r>
    </w:p>
    <w:p w14:paraId="620D44F1" w14:textId="19C16442" w:rsidR="000D7442" w:rsidRPr="00BC1AFF" w:rsidRDefault="5B4F1152" w:rsidP="4DD98697">
      <w:pPr>
        <w:pStyle w:val="Heading3"/>
      </w:pPr>
      <w:r w:rsidRPr="00BC1AFF">
        <w:t xml:space="preserve">any other third-party reason </w:t>
      </w:r>
      <w:r w:rsidR="00FC0EA7">
        <w:t xml:space="preserve">where the third party is acting on your behalf and </w:t>
      </w:r>
      <w:r w:rsidRPr="00BC1AFF">
        <w:t xml:space="preserve">which </w:t>
      </w:r>
      <w:r w:rsidR="007F55EB" w:rsidRPr="00BC1AFF">
        <w:t>we</w:t>
      </w:r>
      <w:r w:rsidRPr="00BC1AFF">
        <w:t xml:space="preserve"> are not directly responsible for, </w:t>
      </w:r>
    </w:p>
    <w:p w14:paraId="321AB8A7" w14:textId="6B5794EB" w:rsidR="000D7442" w:rsidRPr="00BC1AFF" w:rsidRDefault="00E0478E">
      <w:pPr>
        <w:ind w:left="737" w:firstLine="11"/>
      </w:pPr>
      <w:r>
        <w:t xml:space="preserve">we will advise you in writing of </w:t>
      </w:r>
      <w:r w:rsidR="5B4F1152" w:rsidRPr="00BC1AFF">
        <w:t xml:space="preserve">the Billing Commencement Date </w:t>
      </w:r>
      <w:r w:rsidR="00651226">
        <w:t xml:space="preserve">which </w:t>
      </w:r>
      <w:r w:rsidR="5B4F1152" w:rsidRPr="00BC1AFF">
        <w:t>will be no later than 45 days from the Commencement Date.</w:t>
      </w:r>
    </w:p>
    <w:p w14:paraId="1A420AE5" w14:textId="70FFB594" w:rsidR="002419C0" w:rsidRPr="00BC1AFF" w:rsidRDefault="24D95EA3" w:rsidP="006201F9">
      <w:pPr>
        <w:pStyle w:val="SubHead"/>
      </w:pPr>
      <w:bookmarkStart w:id="326" w:name="_Toc137461090"/>
      <w:bookmarkStart w:id="327" w:name="_Toc138241458"/>
      <w:bookmarkStart w:id="328" w:name="_Toc160009055"/>
      <w:r w:rsidRPr="00BC1AFF">
        <w:t>Annual Rate Review</w:t>
      </w:r>
      <w:bookmarkEnd w:id="326"/>
      <w:bookmarkEnd w:id="327"/>
      <w:bookmarkEnd w:id="328"/>
    </w:p>
    <w:p w14:paraId="11D5CBE8" w14:textId="6396C33E" w:rsidR="001574B5" w:rsidRPr="00BC1AFF" w:rsidRDefault="00AE1EE2" w:rsidP="00C90281">
      <w:pPr>
        <w:pStyle w:val="Heading2"/>
      </w:pPr>
      <w:bookmarkStart w:id="329" w:name="_Ref131422304"/>
      <w:r>
        <w:t xml:space="preserve">Subject to clause </w:t>
      </w:r>
      <w:r w:rsidR="002E2652">
        <w:fldChar w:fldCharType="begin"/>
      </w:r>
      <w:r w:rsidR="002E2652">
        <w:instrText xml:space="preserve"> REF _Ref138663584 \r \h </w:instrText>
      </w:r>
      <w:r w:rsidR="002E2652">
        <w:fldChar w:fldCharType="separate"/>
      </w:r>
      <w:r w:rsidR="00810AD0">
        <w:t>19.8</w:t>
      </w:r>
      <w:r w:rsidR="002E2652">
        <w:fldChar w:fldCharType="end"/>
      </w:r>
      <w:r>
        <w:t>, f</w:t>
      </w:r>
      <w:r w:rsidRPr="00BC1AFF">
        <w:t xml:space="preserve">or </w:t>
      </w:r>
      <w:r w:rsidR="24D95EA3" w:rsidRPr="00BC1AFF">
        <w:t xml:space="preserve">Telstra Purple Managed Services </w:t>
      </w:r>
      <w:r w:rsidR="7F6F77AF" w:rsidRPr="00BC1AFF">
        <w:t>on a Fixed Term</w:t>
      </w:r>
      <w:r w:rsidR="24D95EA3" w:rsidRPr="00BC1AFF">
        <w:t xml:space="preserve">, </w:t>
      </w:r>
      <w:r w:rsidR="25E1FC0A" w:rsidRPr="00BC1AFF">
        <w:t>the c</w:t>
      </w:r>
      <w:r w:rsidR="180E7600" w:rsidRPr="00BC1AFF">
        <w:t xml:space="preserve">harges will remain fixed for the first twelve (12) months from the Commencement Date.  Upon the completion of each annual anniversary of the Commencement Date, the then current pricing as set out in </w:t>
      </w:r>
      <w:r w:rsidR="00E13C5D" w:rsidRPr="00BC1AFF">
        <w:t xml:space="preserve">the </w:t>
      </w:r>
      <w:r w:rsidR="00EC6E49" w:rsidRPr="00BC1AFF">
        <w:t>Order</w:t>
      </w:r>
      <w:r w:rsidR="180E7600" w:rsidRPr="00BC1AFF">
        <w:t xml:space="preserve"> </w:t>
      </w:r>
      <w:r w:rsidR="006408B7">
        <w:t>may</w:t>
      </w:r>
      <w:r w:rsidR="006408B7" w:rsidRPr="00BC1AFF">
        <w:t xml:space="preserve"> </w:t>
      </w:r>
      <w:r w:rsidR="180E7600" w:rsidRPr="00BC1AFF">
        <w:t>be adjusted in accordance with the clause below.</w:t>
      </w:r>
      <w:bookmarkEnd w:id="329"/>
    </w:p>
    <w:p w14:paraId="22154298" w14:textId="4177C9D1" w:rsidR="00A762B1" w:rsidRPr="008B2D95" w:rsidRDefault="00A762B1" w:rsidP="00C90281">
      <w:pPr>
        <w:pStyle w:val="Heading2"/>
      </w:pPr>
      <w:bookmarkStart w:id="330" w:name="_Ref138663656"/>
      <w:bookmarkStart w:id="331" w:name="_Ref131422308"/>
      <w:r>
        <w:t xml:space="preserve">We may adjust the charges </w:t>
      </w:r>
      <w:r w:rsidR="0031722E">
        <w:t xml:space="preserve">annually </w:t>
      </w:r>
      <w:r>
        <w:t xml:space="preserve">to reflect any </w:t>
      </w:r>
      <w:r w:rsidRPr="008B2D95">
        <w:t>fluctuations due Consumer Price Index (CPI) provided that:</w:t>
      </w:r>
      <w:bookmarkEnd w:id="330"/>
    </w:p>
    <w:p w14:paraId="0AC7FB61" w14:textId="08721BCA" w:rsidR="00A762B1" w:rsidRDefault="00A762B1" w:rsidP="00A762B1">
      <w:pPr>
        <w:pStyle w:val="Heading3"/>
      </w:pPr>
      <w:r>
        <w:t>we notify you of any revised charges</w:t>
      </w:r>
      <w:r w:rsidR="00FC7A87">
        <w:t xml:space="preserve"> as soon as practicable following the annual review</w:t>
      </w:r>
      <w:r>
        <w:t>; and</w:t>
      </w:r>
    </w:p>
    <w:p w14:paraId="27DAF875" w14:textId="4314379B" w:rsidR="00A762B1" w:rsidRDefault="00A762B1" w:rsidP="00A762B1">
      <w:pPr>
        <w:pStyle w:val="Heading3"/>
      </w:pPr>
      <w:r>
        <w:t xml:space="preserve">the revised charges do not exceed the amount of the </w:t>
      </w:r>
      <w:r w:rsidR="00D5491A">
        <w:t>CPI increase</w:t>
      </w:r>
      <w:r>
        <w:t>.</w:t>
      </w:r>
    </w:p>
    <w:p w14:paraId="1C07E431" w14:textId="287D7AE5" w:rsidR="0013451E" w:rsidRPr="00BC1AFF" w:rsidRDefault="00D81B5D" w:rsidP="0013451E">
      <w:pPr>
        <w:pStyle w:val="SubHead"/>
      </w:pPr>
      <w:bookmarkStart w:id="332" w:name="_Toc138241459"/>
      <w:bookmarkStart w:id="333" w:name="_Toc160009056"/>
      <w:bookmarkEnd w:id="331"/>
      <w:r w:rsidRPr="00BC1AFF">
        <w:lastRenderedPageBreak/>
        <w:t>Cost of Third Party Goods and Services</w:t>
      </w:r>
      <w:bookmarkEnd w:id="332"/>
      <w:bookmarkEnd w:id="333"/>
    </w:p>
    <w:p w14:paraId="11A0B6BF" w14:textId="31C8CB05" w:rsidR="00187155" w:rsidRPr="00BC1AFF" w:rsidRDefault="00187155">
      <w:pPr>
        <w:pStyle w:val="Heading2"/>
        <w:rPr>
          <w:rStyle w:val="ui-provider"/>
        </w:rPr>
      </w:pPr>
      <w:bookmarkStart w:id="334" w:name="_Ref138663584"/>
      <w:bookmarkStart w:id="335" w:name="_Ref131422506"/>
      <w:r w:rsidRPr="00BC1AFF">
        <w:rPr>
          <w:rStyle w:val="ui-provider"/>
        </w:rPr>
        <w:t>We rely on third party goods or services in order to provide the Telstra Purple Hosting and Connectivity Services to you (</w:t>
      </w:r>
      <w:r w:rsidRPr="00BC1AFF">
        <w:rPr>
          <w:rStyle w:val="Strong"/>
        </w:rPr>
        <w:t>Third Party Goods and Services</w:t>
      </w:r>
      <w:r w:rsidRPr="00BC1AFF">
        <w:rPr>
          <w:rStyle w:val="ui-provider"/>
        </w:rPr>
        <w:t xml:space="preserve">). If the cost of acquiring </w:t>
      </w:r>
      <w:r w:rsidR="00C952E7" w:rsidRPr="00BC1AFF">
        <w:rPr>
          <w:rStyle w:val="ui-provider"/>
        </w:rPr>
        <w:t xml:space="preserve">or procuring such </w:t>
      </w:r>
      <w:r w:rsidRPr="00BC1AFF">
        <w:rPr>
          <w:rStyle w:val="ui-provider"/>
        </w:rPr>
        <w:t xml:space="preserve">Third Party Goods and Services </w:t>
      </w:r>
      <w:r w:rsidR="00125555" w:rsidRPr="00BC1AFF">
        <w:rPr>
          <w:rStyle w:val="ui-provider"/>
        </w:rPr>
        <w:t xml:space="preserve">from the relevant third party provider </w:t>
      </w:r>
      <w:r w:rsidRPr="00BC1AFF">
        <w:rPr>
          <w:rStyle w:val="ui-provider"/>
        </w:rPr>
        <w:t>increases (other than based on</w:t>
      </w:r>
      <w:r w:rsidR="00125555" w:rsidRPr="00BC1AFF">
        <w:rPr>
          <w:rStyle w:val="ui-provider"/>
        </w:rPr>
        <w:t xml:space="preserve"> an increase in</w:t>
      </w:r>
      <w:r w:rsidRPr="00BC1AFF">
        <w:rPr>
          <w:rStyle w:val="ui-provider"/>
        </w:rPr>
        <w:t xml:space="preserve"> CPI), then we may increase our charges to you in respect of those Third Party Goods and Services by</w:t>
      </w:r>
      <w:r w:rsidR="00170883" w:rsidRPr="00BC1AFF">
        <w:rPr>
          <w:rStyle w:val="ui-provider"/>
        </w:rPr>
        <w:t xml:space="preserve"> a reasonable amount corresponding to the increase in the cost of acquiring</w:t>
      </w:r>
      <w:r w:rsidR="008B1E11" w:rsidRPr="00BC1AFF">
        <w:rPr>
          <w:rStyle w:val="ui-provider"/>
        </w:rPr>
        <w:t xml:space="preserve"> or procuring such </w:t>
      </w:r>
      <w:r w:rsidRPr="00BC1AFF">
        <w:rPr>
          <w:rStyle w:val="ui-provider"/>
        </w:rPr>
        <w:t>Third Party Goods and Services</w:t>
      </w:r>
      <w:r w:rsidR="008B1E11" w:rsidRPr="00BC1AFF">
        <w:rPr>
          <w:rStyle w:val="ui-provider"/>
        </w:rPr>
        <w:t xml:space="preserve"> from the relevant third party provider</w:t>
      </w:r>
      <w:r w:rsidRPr="00BC1AFF">
        <w:rPr>
          <w:rStyle w:val="ui-provider"/>
        </w:rPr>
        <w:t>. We will provide you with reasonable advance written no</w:t>
      </w:r>
      <w:r w:rsidR="00826C9C" w:rsidRPr="00BC1AFF">
        <w:rPr>
          <w:rStyle w:val="ui-provider"/>
        </w:rPr>
        <w:t>tice of any such increase.</w:t>
      </w:r>
      <w:bookmarkEnd w:id="334"/>
    </w:p>
    <w:bookmarkEnd w:id="335"/>
    <w:p w14:paraId="2F4102DF" w14:textId="237C5606" w:rsidR="00A079DE" w:rsidRPr="00BC1AFF" w:rsidRDefault="00A602D0" w:rsidP="008B2D95">
      <w:pPr>
        <w:pStyle w:val="Heading2"/>
      </w:pPr>
      <w:r w:rsidRPr="00CD7834">
        <w:t xml:space="preserve">Unless otherwise stated in your agreement with us, if the increased </w:t>
      </w:r>
      <w:r>
        <w:t>charge</w:t>
      </w:r>
      <w:r w:rsidRPr="00CD7834">
        <w:t xml:space="preserve"> which we notify to you under clause</w:t>
      </w:r>
      <w:r>
        <w:t>s</w:t>
      </w:r>
      <w:r w:rsidR="0059441B">
        <w:t xml:space="preserve"> </w:t>
      </w:r>
      <w:r w:rsidR="0059441B">
        <w:fldChar w:fldCharType="begin"/>
      </w:r>
      <w:r w:rsidR="0059441B">
        <w:instrText xml:space="preserve"> REF _Ref138663656 \r \h </w:instrText>
      </w:r>
      <w:r w:rsidR="0059441B">
        <w:fldChar w:fldCharType="separate"/>
      </w:r>
      <w:r w:rsidR="00810AD0">
        <w:t>19.7</w:t>
      </w:r>
      <w:r w:rsidR="0059441B">
        <w:fldChar w:fldCharType="end"/>
      </w:r>
      <w:r w:rsidR="0059441B">
        <w:t xml:space="preserve"> and </w:t>
      </w:r>
      <w:r w:rsidR="0059441B">
        <w:fldChar w:fldCharType="begin"/>
      </w:r>
      <w:r w:rsidR="0059441B">
        <w:instrText xml:space="preserve"> REF _Ref138663584 \r \h </w:instrText>
      </w:r>
      <w:r w:rsidR="0059441B">
        <w:fldChar w:fldCharType="separate"/>
      </w:r>
      <w:r w:rsidR="00810AD0">
        <w:t>19.8</w:t>
      </w:r>
      <w:r w:rsidR="0059441B">
        <w:fldChar w:fldCharType="end"/>
      </w:r>
      <w:r w:rsidRPr="00CD7834">
        <w:t xml:space="preserve"> is more than 20% of the </w:t>
      </w:r>
      <w:r>
        <w:t>charges</w:t>
      </w:r>
      <w:r w:rsidRPr="00CD7834">
        <w:t xml:space="preserve"> immediately prior to the date of our notification you may cancel the Services and/or Deliverables by notice to us within 5 business days of the date we notify you of the </w:t>
      </w:r>
      <w:r>
        <w:t>increased charges</w:t>
      </w:r>
      <w:r w:rsidRPr="00CD7834">
        <w:t>. Where you exercise this right to cancel, you must pay us for all Services and Deliverables provided up to the date of cancellation and must pay any additional charges specified in your agreement with us</w:t>
      </w:r>
      <w:r w:rsidR="005E6DCD">
        <w:t xml:space="preserve">, except </w:t>
      </w:r>
      <w:r w:rsidR="00494549">
        <w:t>you are not required to pay any</w:t>
      </w:r>
      <w:r w:rsidR="00DF6027">
        <w:t xml:space="preserve"> other</w:t>
      </w:r>
      <w:r w:rsidR="005E6DCD">
        <w:t xml:space="preserve"> early termination charges</w:t>
      </w:r>
      <w:r w:rsidRPr="00CD7834">
        <w:t>.</w:t>
      </w:r>
    </w:p>
    <w:p w14:paraId="344E134A" w14:textId="77777777" w:rsidR="00150982" w:rsidRPr="00BC1AFF" w:rsidRDefault="63A42F37" w:rsidP="00802292">
      <w:pPr>
        <w:pStyle w:val="Heading1"/>
      </w:pPr>
      <w:bookmarkStart w:id="336" w:name="_Toc115217377"/>
      <w:bookmarkStart w:id="337" w:name="_Ref115511234"/>
      <w:bookmarkStart w:id="338" w:name="_Toc137461091"/>
      <w:bookmarkStart w:id="339" w:name="_Toc138241460"/>
      <w:bookmarkStart w:id="340" w:name="_Toc160009057"/>
      <w:r w:rsidRPr="00BC1AFF">
        <w:t>TERM, TERMINATION AND EARLY TERMINATION FEES</w:t>
      </w:r>
      <w:bookmarkEnd w:id="336"/>
      <w:bookmarkEnd w:id="337"/>
      <w:bookmarkEnd w:id="338"/>
      <w:bookmarkEnd w:id="339"/>
      <w:bookmarkEnd w:id="340"/>
    </w:p>
    <w:p w14:paraId="21E3D9F5" w14:textId="13C1A42C" w:rsidR="00D6088B" w:rsidRPr="00BC1AFF" w:rsidRDefault="00D6088B">
      <w:pPr>
        <w:pStyle w:val="SubHead"/>
        <w:rPr>
          <w:bCs w:val="0"/>
        </w:rPr>
      </w:pPr>
      <w:bookmarkStart w:id="341" w:name="_Toc137461092"/>
      <w:bookmarkStart w:id="342" w:name="_Toc138241461"/>
      <w:bookmarkStart w:id="343" w:name="_Toc160009058"/>
      <w:bookmarkStart w:id="344" w:name="_Toc115217378"/>
      <w:r w:rsidRPr="00BC1AFF">
        <w:rPr>
          <w:bCs w:val="0"/>
        </w:rPr>
        <w:t>Initial Term</w:t>
      </w:r>
      <w:bookmarkEnd w:id="341"/>
      <w:bookmarkEnd w:id="342"/>
      <w:r w:rsidR="002D1238">
        <w:rPr>
          <w:bCs w:val="0"/>
        </w:rPr>
        <w:t xml:space="preserve"> with a Commencement Date before 20 November 2023</w:t>
      </w:r>
      <w:bookmarkEnd w:id="343"/>
    </w:p>
    <w:p w14:paraId="2BFDAACD" w14:textId="77777777" w:rsidR="008D16DE" w:rsidRPr="00BC1AFF" w:rsidRDefault="54E96EF3" w:rsidP="00C90281">
      <w:pPr>
        <w:pStyle w:val="Heading2"/>
      </w:pPr>
      <w:r w:rsidRPr="00BC1AFF">
        <w:t>Your Telstra Purple Managed Services will start on the Commencement Date and continue for the period specified in your Order (</w:t>
      </w:r>
      <w:r w:rsidRPr="00BC1AFF">
        <w:rPr>
          <w:b/>
          <w:bCs/>
        </w:rPr>
        <w:t>Initial Term</w:t>
      </w:r>
      <w:r w:rsidRPr="00BC1AFF">
        <w:t>)</w:t>
      </w:r>
      <w:r w:rsidR="098251C9" w:rsidRPr="00BC1AFF">
        <w:t xml:space="preserve">.  </w:t>
      </w:r>
    </w:p>
    <w:p w14:paraId="537D54CC" w14:textId="655726E3" w:rsidR="00AF704C" w:rsidRPr="00BC1AFF" w:rsidRDefault="00AF704C" w:rsidP="00C90281">
      <w:pPr>
        <w:pStyle w:val="Heading2"/>
      </w:pPr>
      <w:r w:rsidRPr="00BC1AFF">
        <w:t>Unless otherwise set out in an applicable MSD or SD:</w:t>
      </w:r>
    </w:p>
    <w:p w14:paraId="6EA62E71" w14:textId="5B7BD031" w:rsidR="00F94108" w:rsidRPr="00BC1AFF" w:rsidRDefault="00AF704C" w:rsidP="00555B76">
      <w:pPr>
        <w:pStyle w:val="Heading3"/>
      </w:pPr>
      <w:r w:rsidRPr="00BC1AFF">
        <w:t>i</w:t>
      </w:r>
      <w:r w:rsidR="098251C9" w:rsidRPr="00BC1AFF">
        <w:t>f the Initial Term is longer than one month</w:t>
      </w:r>
      <w:r w:rsidR="3A4D6C6C" w:rsidRPr="00BC1AFF">
        <w:t xml:space="preserve"> (</w:t>
      </w:r>
      <w:r w:rsidR="3A4D6C6C" w:rsidRPr="00BC1AFF">
        <w:rPr>
          <w:b/>
          <w:bCs/>
        </w:rPr>
        <w:t>Fixed Term</w:t>
      </w:r>
      <w:r w:rsidR="3A4D6C6C" w:rsidRPr="00BC1AFF">
        <w:t>)</w:t>
      </w:r>
      <w:r w:rsidR="098251C9" w:rsidRPr="00BC1AFF">
        <w:t xml:space="preserve">, </w:t>
      </w:r>
      <w:r w:rsidR="1E469EE1" w:rsidRPr="00BC1AFF">
        <w:t>it will automatically renew at the end of the Initial Term</w:t>
      </w:r>
      <w:r w:rsidR="54E96EF3" w:rsidRPr="00BC1AFF">
        <w:t xml:space="preserve"> </w:t>
      </w:r>
      <w:r w:rsidR="001E7771" w:rsidRPr="00BC1AFF">
        <w:t xml:space="preserve">on a </w:t>
      </w:r>
      <w:r w:rsidR="00E13C5D" w:rsidRPr="00BC1AFF">
        <w:t>month-to-month</w:t>
      </w:r>
      <w:r w:rsidR="001E7771" w:rsidRPr="00BC1AFF">
        <w:t xml:space="preserve"> basis </w:t>
      </w:r>
      <w:r w:rsidR="54E96EF3" w:rsidRPr="00BC1AFF">
        <w:t>(</w:t>
      </w:r>
      <w:r w:rsidR="54E96EF3" w:rsidRPr="00BC1AFF">
        <w:rPr>
          <w:b/>
          <w:bCs/>
        </w:rPr>
        <w:t>Renewal Term</w:t>
      </w:r>
      <w:r w:rsidR="54E96EF3" w:rsidRPr="00BC1AFF">
        <w:t xml:space="preserve">) unless terminated earlier in accordance </w:t>
      </w:r>
      <w:r w:rsidR="54FB1E49" w:rsidRPr="00BC1AFF">
        <w:t xml:space="preserve">with </w:t>
      </w:r>
      <w:r w:rsidR="54E96EF3" w:rsidRPr="00BC1AFF">
        <w:t xml:space="preserve">the </w:t>
      </w:r>
      <w:r w:rsidR="54FB1E49" w:rsidRPr="00BC1AFF">
        <w:t xml:space="preserve">termination </w:t>
      </w:r>
      <w:r w:rsidR="6E4B6B06" w:rsidRPr="00BC1AFF">
        <w:t>clause below</w:t>
      </w:r>
      <w:r w:rsidRPr="00BC1AFF">
        <w:t>; and</w:t>
      </w:r>
    </w:p>
    <w:p w14:paraId="36491736" w14:textId="37EEE010" w:rsidR="0077023D" w:rsidRPr="00BC1AFF" w:rsidRDefault="00AF704C" w:rsidP="00555B76">
      <w:pPr>
        <w:pStyle w:val="Heading3"/>
      </w:pPr>
      <w:r w:rsidRPr="00BC1AFF">
        <w:t>i</w:t>
      </w:r>
      <w:r w:rsidR="191CE384" w:rsidRPr="00BC1AFF">
        <w:t>f your Initial Term is one month</w:t>
      </w:r>
      <w:r w:rsidR="3A4D6C6C" w:rsidRPr="00BC1AFF">
        <w:t xml:space="preserve"> </w:t>
      </w:r>
      <w:r w:rsidR="005358FF" w:rsidRPr="00BC1AFF">
        <w:t>or less</w:t>
      </w:r>
      <w:r w:rsidR="00715FA6" w:rsidRPr="00BC1AFF">
        <w:t xml:space="preserve"> (</w:t>
      </w:r>
      <w:r w:rsidR="005358FF" w:rsidRPr="00BC1AFF">
        <w:rPr>
          <w:b/>
        </w:rPr>
        <w:t>Casual</w:t>
      </w:r>
      <w:r w:rsidR="3A4D6C6C" w:rsidRPr="00BC1AFF">
        <w:rPr>
          <w:b/>
          <w:bCs/>
        </w:rPr>
        <w:t xml:space="preserve"> Term</w:t>
      </w:r>
      <w:r w:rsidR="3A4D6C6C" w:rsidRPr="00BC1AFF">
        <w:t>)</w:t>
      </w:r>
      <w:r w:rsidR="191CE384" w:rsidRPr="00BC1AFF">
        <w:t>,</w:t>
      </w:r>
      <w:r w:rsidR="0CE412A8" w:rsidRPr="00BC1AFF">
        <w:t xml:space="preserve"> it will automatically </w:t>
      </w:r>
      <w:r w:rsidR="00837C56" w:rsidRPr="00BC1AFF">
        <w:t>continue</w:t>
      </w:r>
      <w:r w:rsidR="0CE412A8" w:rsidRPr="00BC1AFF">
        <w:t xml:space="preserve"> </w:t>
      </w:r>
      <w:r w:rsidR="3FD9C484" w:rsidRPr="00BC1AFF">
        <w:t>until terminate</w:t>
      </w:r>
      <w:r w:rsidR="15C3D72B" w:rsidRPr="00BC1AFF">
        <w:t xml:space="preserve">d by either party </w:t>
      </w:r>
      <w:r w:rsidR="00DA42FD" w:rsidRPr="00BC1AFF">
        <w:t>by giving</w:t>
      </w:r>
      <w:r w:rsidR="00632396" w:rsidRPr="00BC1AFF">
        <w:t xml:space="preserve"> </w:t>
      </w:r>
      <w:r w:rsidR="0007417F" w:rsidRPr="00BC1AFF">
        <w:t xml:space="preserve">the other party </w:t>
      </w:r>
      <w:r w:rsidR="32EC9AF3" w:rsidRPr="00BC1AFF">
        <w:t xml:space="preserve">at least </w:t>
      </w:r>
      <w:r w:rsidR="415A4E91" w:rsidRPr="00BC1AFF">
        <w:t>7</w:t>
      </w:r>
      <w:r w:rsidR="32EC9AF3" w:rsidRPr="00BC1AFF">
        <w:t xml:space="preserve"> days </w:t>
      </w:r>
      <w:r w:rsidR="0007417F" w:rsidRPr="00BC1AFF">
        <w:t>prior written notice</w:t>
      </w:r>
      <w:r w:rsidR="38416F03" w:rsidRPr="00BC1AFF">
        <w:t>.</w:t>
      </w:r>
    </w:p>
    <w:p w14:paraId="1F5F1272" w14:textId="332EA91A" w:rsidR="006329DC" w:rsidRPr="00817DDD" w:rsidRDefault="006329DC" w:rsidP="006329DC">
      <w:pPr>
        <w:pStyle w:val="SubHead"/>
        <w:rPr>
          <w:bCs w:val="0"/>
        </w:rPr>
      </w:pPr>
      <w:bookmarkStart w:id="345" w:name="_Toc160009059"/>
      <w:bookmarkStart w:id="346" w:name="_Toc137461093"/>
      <w:bookmarkStart w:id="347" w:name="_Toc138241462"/>
      <w:r w:rsidRPr="00817DDD">
        <w:rPr>
          <w:bCs w:val="0"/>
        </w:rPr>
        <w:t xml:space="preserve">Initial Term with a Commencement Date on or after </w:t>
      </w:r>
      <w:r w:rsidR="004E1C82" w:rsidRPr="00817DDD">
        <w:rPr>
          <w:bCs w:val="0"/>
        </w:rPr>
        <w:t>20 November 2023</w:t>
      </w:r>
      <w:bookmarkEnd w:id="345"/>
    </w:p>
    <w:p w14:paraId="1D5352E4" w14:textId="77777777" w:rsidR="006329DC" w:rsidRPr="00817DDD" w:rsidRDefault="006329DC" w:rsidP="00F43164">
      <w:pPr>
        <w:pStyle w:val="Heading2"/>
      </w:pPr>
      <w:r w:rsidRPr="00817DDD">
        <w:t xml:space="preserve">Your Telstra Purple Managed Services will start on the Commencement Date and continue for an initial period and subsequent renewal period specified in your Order or separate agreement with us (being the </w:t>
      </w:r>
      <w:r w:rsidRPr="00817DDD">
        <w:rPr>
          <w:b/>
          <w:bCs/>
        </w:rPr>
        <w:t xml:space="preserve">Initial Term, Renewal Term </w:t>
      </w:r>
      <w:r w:rsidRPr="00817DDD">
        <w:t xml:space="preserve">and </w:t>
      </w:r>
      <w:r w:rsidRPr="00817DDD">
        <w:rPr>
          <w:b/>
          <w:bCs/>
        </w:rPr>
        <w:t xml:space="preserve">Casual Term </w:t>
      </w:r>
      <w:r w:rsidRPr="00817DDD">
        <w:t>as applicable).</w:t>
      </w:r>
    </w:p>
    <w:p w14:paraId="3E70FF78" w14:textId="209FC681" w:rsidR="006329DC" w:rsidRPr="00817DDD" w:rsidRDefault="006329DC" w:rsidP="00F43164">
      <w:pPr>
        <w:pStyle w:val="Heading2"/>
      </w:pPr>
      <w:r w:rsidRPr="00817DDD">
        <w:rPr>
          <w:szCs w:val="20"/>
        </w:rPr>
        <w:t xml:space="preserve">We will provide you with reasonable advance notice that your Fixed Term is about to be renewed.  If we fail to provide you with reasonable advance notice, you may terminate your </w:t>
      </w:r>
      <w:r w:rsidRPr="00817DDD">
        <w:t>Telstra Purple Managed Services</w:t>
      </w:r>
      <w:r w:rsidRPr="00817DDD">
        <w:rPr>
          <w:szCs w:val="20"/>
        </w:rPr>
        <w:t xml:space="preserve"> at any time after your service has renewed by giving us not less than 30 days’ prior written notice without having to pay any early termination charges.</w:t>
      </w:r>
    </w:p>
    <w:p w14:paraId="2F34A87A" w14:textId="0D883BF6" w:rsidR="00B33FCE" w:rsidRPr="00817DDD" w:rsidRDefault="76F4E170" w:rsidP="00C56FE1">
      <w:pPr>
        <w:pStyle w:val="SubHead"/>
      </w:pPr>
      <w:bookmarkStart w:id="348" w:name="_Toc160009060"/>
      <w:r w:rsidRPr="00817DDD">
        <w:t xml:space="preserve">Fixed Term </w:t>
      </w:r>
      <w:r w:rsidR="5E33B8E5" w:rsidRPr="00817DDD">
        <w:t>Termination</w:t>
      </w:r>
      <w:bookmarkEnd w:id="344"/>
      <w:bookmarkEnd w:id="346"/>
      <w:bookmarkEnd w:id="347"/>
      <w:bookmarkEnd w:id="348"/>
    </w:p>
    <w:p w14:paraId="62062DBE" w14:textId="660380D7" w:rsidR="00B33FCE" w:rsidRPr="00BC1AFF" w:rsidRDefault="6E4B6B06" w:rsidP="00C90281">
      <w:pPr>
        <w:pStyle w:val="Heading2"/>
      </w:pPr>
      <w:r w:rsidRPr="00BC1AFF">
        <w:t>Your Telstra Purple Managed Services</w:t>
      </w:r>
      <w:r w:rsidR="5E33B8E5" w:rsidRPr="00BC1AFF">
        <w:t xml:space="preserve"> will terminate at the end of the </w:t>
      </w:r>
      <w:r w:rsidR="5E33B8E5" w:rsidRPr="00BC1AFF">
        <w:rPr>
          <w:rFonts w:cs="Times New Roman"/>
          <w:lang w:eastAsia="en-AU"/>
        </w:rPr>
        <w:t>Initial Term</w:t>
      </w:r>
      <w:r w:rsidR="5E33B8E5" w:rsidRPr="00BC1AFF">
        <w:t xml:space="preserve"> or the then-current </w:t>
      </w:r>
      <w:r w:rsidR="5E33B8E5" w:rsidRPr="00BC1AFF">
        <w:rPr>
          <w:rFonts w:cs="Times New Roman"/>
          <w:lang w:eastAsia="en-AU"/>
        </w:rPr>
        <w:t>Renewal Term</w:t>
      </w:r>
      <w:r w:rsidR="5E33B8E5" w:rsidRPr="00BC1AFF">
        <w:t xml:space="preserve"> (as the case may be) if either party notifies the other in writing not less than 60 days prior to the end of the Initial Term or then current Renewal Term (as </w:t>
      </w:r>
      <w:r w:rsidR="5E33B8E5" w:rsidRPr="00BC1AFF">
        <w:lastRenderedPageBreak/>
        <w:t xml:space="preserve">the case may be) that they do not wish to renew the </w:t>
      </w:r>
      <w:r w:rsidR="00925B8A" w:rsidRPr="00BC1AFF">
        <w:t>Telstra Purple Managed Services</w:t>
      </w:r>
      <w:r w:rsidR="5E33B8E5" w:rsidRPr="00BC1AFF">
        <w:t xml:space="preserve"> for a further Renewal Term.</w:t>
      </w:r>
    </w:p>
    <w:p w14:paraId="37D607C6" w14:textId="22A05918" w:rsidR="00B33FCE" w:rsidRPr="00BC1AFF" w:rsidRDefault="5E33B8E5" w:rsidP="00C56FE1">
      <w:pPr>
        <w:pStyle w:val="SubHead"/>
      </w:pPr>
      <w:bookmarkStart w:id="349" w:name="_Toc115217379"/>
      <w:bookmarkStart w:id="350" w:name="_Toc137461094"/>
      <w:bookmarkStart w:id="351" w:name="_Toc138241463"/>
      <w:bookmarkStart w:id="352" w:name="_Toc160009061"/>
      <w:r w:rsidRPr="00BC1AFF">
        <w:t>Minimum Commitment</w:t>
      </w:r>
      <w:bookmarkEnd w:id="349"/>
      <w:bookmarkEnd w:id="350"/>
      <w:bookmarkEnd w:id="351"/>
      <w:bookmarkEnd w:id="352"/>
    </w:p>
    <w:p w14:paraId="26AA71EE" w14:textId="0834C72C" w:rsidR="00B33FCE" w:rsidRPr="00BC1AFF" w:rsidRDefault="007251FB" w:rsidP="00BC1AFF">
      <w:pPr>
        <w:pStyle w:val="Heading2"/>
        <w:rPr>
          <w:szCs w:val="20"/>
        </w:rPr>
      </w:pPr>
      <w:r w:rsidRPr="00BC1AFF">
        <w:t xml:space="preserve">If you have a Fixed Term, </w:t>
      </w:r>
      <w:r w:rsidR="00A46FB0" w:rsidRPr="00BC1AFF">
        <w:t>y</w:t>
      </w:r>
      <w:r w:rsidR="5E33B8E5" w:rsidRPr="00BC1AFF">
        <w:t xml:space="preserve">ou may request in writing, in accordance with this clause, a variation of the </w:t>
      </w:r>
      <w:r w:rsidR="0CC21F98" w:rsidRPr="00BC1AFF">
        <w:t xml:space="preserve">Telstra Purple Managed </w:t>
      </w:r>
      <w:r w:rsidR="5E33B8E5" w:rsidRPr="00BC1AFF">
        <w:t xml:space="preserve">Services to meet </w:t>
      </w:r>
      <w:r w:rsidR="0CC21F98" w:rsidRPr="00BC1AFF">
        <w:t xml:space="preserve">your </w:t>
      </w:r>
      <w:r w:rsidR="5E33B8E5" w:rsidRPr="00BC1AFF">
        <w:t>changing requirements and demands.</w:t>
      </w:r>
      <w:r w:rsidR="4EB1FCD4" w:rsidRPr="00BC1AFF">
        <w:t xml:space="preserve"> </w:t>
      </w:r>
      <w:r w:rsidR="5E33B8E5" w:rsidRPr="00BC1AFF">
        <w:t> </w:t>
      </w:r>
      <w:r w:rsidR="00B33FCE" w:rsidRPr="00BC1AFF">
        <w:t>When such variations result in a reduction to the Monthly Recurring Charges (MRC), the resulting</w:t>
      </w:r>
      <w:r w:rsidR="00B33FCE" w:rsidRPr="00BC1AFF">
        <w:rPr>
          <w:szCs w:val="20"/>
        </w:rPr>
        <w:t xml:space="preserve"> MRC total may not be lower than 75% of the higher of:</w:t>
      </w:r>
    </w:p>
    <w:p w14:paraId="73E18D40" w14:textId="53CAE31A" w:rsidR="00B33FCE" w:rsidRPr="00BC1AFF" w:rsidRDefault="5E33B8E5">
      <w:pPr>
        <w:pStyle w:val="ScheduleHeading3"/>
        <w:numPr>
          <w:ilvl w:val="0"/>
          <w:numId w:val="10"/>
        </w:numPr>
        <w:tabs>
          <w:tab w:val="left" w:pos="1560"/>
        </w:tabs>
      </w:pPr>
      <w:r w:rsidRPr="00BC1AFF">
        <w:t>The MRC as at the Billing Commencement Date; or</w:t>
      </w:r>
    </w:p>
    <w:p w14:paraId="394F46D8" w14:textId="2D9B5F9B" w:rsidR="00B33FCE" w:rsidRPr="00BC1AFF" w:rsidRDefault="5E33B8E5">
      <w:pPr>
        <w:pStyle w:val="ScheduleHeading3"/>
        <w:numPr>
          <w:ilvl w:val="0"/>
          <w:numId w:val="10"/>
        </w:numPr>
        <w:tabs>
          <w:tab w:val="left" w:pos="1560"/>
        </w:tabs>
      </w:pPr>
      <w:r w:rsidRPr="00BC1AFF">
        <w:t>The average MRC over the previous 3 months.</w:t>
      </w:r>
    </w:p>
    <w:p w14:paraId="234F70DD" w14:textId="2B4C1C9E" w:rsidR="006A3949" w:rsidRPr="00BC1AFF" w:rsidRDefault="006A3949" w:rsidP="00C56FE1">
      <w:pPr>
        <w:pStyle w:val="SubHead"/>
      </w:pPr>
      <w:bookmarkStart w:id="353" w:name="_Toc115217380"/>
      <w:bookmarkStart w:id="354" w:name="_Toc137461095"/>
      <w:bookmarkStart w:id="355" w:name="_Toc138241464"/>
      <w:bookmarkStart w:id="356" w:name="_Toc160009062"/>
      <w:r w:rsidRPr="00BC1AFF">
        <w:rPr>
          <w:bCs w:val="0"/>
        </w:rPr>
        <w:t>Early Termination Charges</w:t>
      </w:r>
      <w:bookmarkEnd w:id="353"/>
      <w:bookmarkEnd w:id="354"/>
      <w:bookmarkEnd w:id="355"/>
      <w:bookmarkEnd w:id="356"/>
    </w:p>
    <w:p w14:paraId="304655E8" w14:textId="04810CF4" w:rsidR="00466133" w:rsidRPr="00BC1AFF" w:rsidRDefault="02791F00" w:rsidP="00C90281">
      <w:pPr>
        <w:pStyle w:val="Heading2"/>
        <w:rPr>
          <w:b/>
          <w:bCs/>
        </w:rPr>
      </w:pPr>
      <w:r w:rsidRPr="00BC1AFF">
        <w:t xml:space="preserve">If </w:t>
      </w:r>
      <w:r w:rsidR="1ED1FE61" w:rsidRPr="00BC1AFF">
        <w:t xml:space="preserve">you have a Fixed Term and </w:t>
      </w:r>
      <w:r w:rsidRPr="00BC1AFF">
        <w:t xml:space="preserve">during the Initial Term </w:t>
      </w:r>
      <w:r w:rsidR="1ED1FE61" w:rsidRPr="00BC1AFF">
        <w:t>y</w:t>
      </w:r>
      <w:r w:rsidRPr="00BC1AFF">
        <w:t xml:space="preserve">ou terminate </w:t>
      </w:r>
      <w:r w:rsidR="4EB1FCD4" w:rsidRPr="00BC1AFF">
        <w:t>the Telstra Purple Managed Services for any reason other than our material breach</w:t>
      </w:r>
      <w:r w:rsidRPr="00BC1AFF">
        <w:t xml:space="preserve">, </w:t>
      </w:r>
      <w:r w:rsidR="4EB1FCD4" w:rsidRPr="00BC1AFF">
        <w:t>we</w:t>
      </w:r>
      <w:r w:rsidRPr="00BC1AFF">
        <w:t xml:space="preserve"> may charge </w:t>
      </w:r>
      <w:r w:rsidR="4EB1FCD4" w:rsidRPr="00BC1AFF">
        <w:t xml:space="preserve">you </w:t>
      </w:r>
      <w:r w:rsidRPr="00BC1AFF">
        <w:t>an Early Termination Charge (</w:t>
      </w:r>
      <w:r w:rsidRPr="00BC1AFF">
        <w:rPr>
          <w:b/>
          <w:bCs/>
        </w:rPr>
        <w:t>ETC</w:t>
      </w:r>
      <w:r w:rsidRPr="00BC1AFF">
        <w:t xml:space="preserve">) for the </w:t>
      </w:r>
      <w:r w:rsidR="402DFC9A" w:rsidRPr="00BC1AFF">
        <w:t>Telstra Purple Managed Services</w:t>
      </w:r>
      <w:r w:rsidRPr="00BC1AFF">
        <w:t xml:space="preserve"> with the amount </w:t>
      </w:r>
      <w:r w:rsidR="00C90B4A" w:rsidRPr="005D481C">
        <w:t>equal to the actual costs and expenses that we have incurred or committed to in anticipation of providing the service to you and that cannot be reasonably avoided by us as a result of the cancellation, which will not exceed an amount</w:t>
      </w:r>
      <w:r w:rsidR="00C90B4A">
        <w:t xml:space="preserve">  </w:t>
      </w:r>
      <w:r w:rsidRPr="00BC1AFF">
        <w:t>calculated as follows:</w:t>
      </w:r>
    </w:p>
    <w:tbl>
      <w:tblPr>
        <w:tblStyle w:val="VMTStandardTable1"/>
        <w:tblW w:w="4658" w:type="pct"/>
        <w:tblInd w:w="704" w:type="dxa"/>
        <w:tblLook w:val="04A0" w:firstRow="1" w:lastRow="0" w:firstColumn="1" w:lastColumn="0" w:noHBand="0" w:noVBand="1"/>
      </w:tblPr>
      <w:tblGrid>
        <w:gridCol w:w="4274"/>
        <w:gridCol w:w="5223"/>
      </w:tblGrid>
      <w:tr w:rsidR="00C06B19" w:rsidRPr="00BC1AFF" w14:paraId="2A3907DC" w14:textId="77777777" w:rsidTr="00865B70">
        <w:trPr>
          <w:cnfStyle w:val="100000000000" w:firstRow="1" w:lastRow="0" w:firstColumn="0" w:lastColumn="0" w:oddVBand="0" w:evenVBand="0" w:oddHBand="0" w:evenHBand="0" w:firstRowFirstColumn="0" w:firstRowLastColumn="0" w:lastRowFirstColumn="0" w:lastRowLastColumn="0"/>
        </w:trPr>
        <w:tc>
          <w:tcPr>
            <w:tcW w:w="2250" w:type="pct"/>
            <w:shd w:val="clear" w:color="auto" w:fill="F2F2F2" w:themeFill="background1" w:themeFillShade="F2"/>
            <w:hideMark/>
          </w:tcPr>
          <w:p w14:paraId="53F685A3" w14:textId="77777777" w:rsidR="00C06B19" w:rsidRPr="00BC1AFF" w:rsidRDefault="00C06B19" w:rsidP="0006764E">
            <w:pPr>
              <w:spacing w:before="120" w:after="120"/>
              <w:jc w:val="center"/>
              <w:rPr>
                <w:rFonts w:eastAsia="DengXian"/>
                <w:b/>
                <w:color w:val="auto"/>
              </w:rPr>
            </w:pPr>
            <w:r w:rsidRPr="00BC1AFF">
              <w:rPr>
                <w:b/>
                <w:color w:val="auto"/>
              </w:rPr>
              <w:br w:type="page"/>
            </w:r>
            <w:r w:rsidRPr="00BC1AFF">
              <w:rPr>
                <w:rFonts w:eastAsia="DengXian"/>
                <w:b/>
                <w:color w:val="auto"/>
              </w:rPr>
              <w:t>Number of Remaining Months</w:t>
            </w:r>
          </w:p>
        </w:tc>
        <w:tc>
          <w:tcPr>
            <w:tcW w:w="2750" w:type="pct"/>
            <w:shd w:val="clear" w:color="auto" w:fill="F2F2F2" w:themeFill="background1" w:themeFillShade="F2"/>
            <w:hideMark/>
          </w:tcPr>
          <w:p w14:paraId="3371A7A4" w14:textId="77777777" w:rsidR="00C06B19" w:rsidRPr="00BC1AFF" w:rsidRDefault="00C06B19" w:rsidP="0006764E">
            <w:pPr>
              <w:spacing w:before="120" w:after="120"/>
              <w:jc w:val="center"/>
              <w:rPr>
                <w:rFonts w:eastAsia="DengXian"/>
                <w:b/>
                <w:color w:val="auto"/>
              </w:rPr>
            </w:pPr>
            <w:r w:rsidRPr="00BC1AFF">
              <w:rPr>
                <w:rFonts w:eastAsia="DengXian"/>
                <w:b/>
                <w:color w:val="auto"/>
              </w:rPr>
              <w:t>Early Termination Charge</w:t>
            </w:r>
          </w:p>
        </w:tc>
      </w:tr>
      <w:tr w:rsidR="00C06B19" w:rsidRPr="00BC1AFF" w14:paraId="0FAE10E2" w14:textId="77777777" w:rsidTr="00865B70">
        <w:trPr>
          <w:cnfStyle w:val="000000100000" w:firstRow="0" w:lastRow="0" w:firstColumn="0" w:lastColumn="0" w:oddVBand="0" w:evenVBand="0" w:oddHBand="1" w:evenHBand="0" w:firstRowFirstColumn="0" w:firstRowLastColumn="0" w:lastRowFirstColumn="0" w:lastRowLastColumn="0"/>
        </w:trPr>
        <w:tc>
          <w:tcPr>
            <w:tcW w:w="2250" w:type="pct"/>
            <w:shd w:val="clear" w:color="auto" w:fill="auto"/>
            <w:hideMark/>
          </w:tcPr>
          <w:p w14:paraId="68EF4F1F" w14:textId="77777777" w:rsidR="00C06B19" w:rsidRPr="00BC1AFF" w:rsidRDefault="00C06B19" w:rsidP="0006764E">
            <w:pPr>
              <w:spacing w:before="120" w:after="120"/>
              <w:jc w:val="center"/>
              <w:rPr>
                <w:rFonts w:eastAsia="DengXian"/>
              </w:rPr>
            </w:pPr>
            <w:r w:rsidRPr="00BC1AFF">
              <w:rPr>
                <w:rFonts w:eastAsia="DengXian"/>
              </w:rPr>
              <w:t>37 – 60 months</w:t>
            </w:r>
          </w:p>
        </w:tc>
        <w:tc>
          <w:tcPr>
            <w:tcW w:w="2750" w:type="pct"/>
            <w:shd w:val="clear" w:color="auto" w:fill="auto"/>
            <w:hideMark/>
          </w:tcPr>
          <w:p w14:paraId="3FBB4E0D" w14:textId="77777777" w:rsidR="00C06B19" w:rsidRPr="00BC1AFF" w:rsidRDefault="00C06B19" w:rsidP="0006764E">
            <w:pPr>
              <w:spacing w:before="120" w:after="120"/>
              <w:jc w:val="center"/>
              <w:rPr>
                <w:rFonts w:eastAsia="DengXian"/>
              </w:rPr>
            </w:pPr>
            <w:r w:rsidRPr="00BC1AFF">
              <w:rPr>
                <w:rFonts w:eastAsia="DengXian"/>
              </w:rPr>
              <w:t>18 months of Monthly Recurring Charges</w:t>
            </w:r>
          </w:p>
        </w:tc>
      </w:tr>
      <w:tr w:rsidR="00C06B19" w:rsidRPr="00BC1AFF" w14:paraId="61EA788F" w14:textId="77777777" w:rsidTr="00865B70">
        <w:trPr>
          <w:cnfStyle w:val="000000010000" w:firstRow="0" w:lastRow="0" w:firstColumn="0" w:lastColumn="0" w:oddVBand="0" w:evenVBand="0" w:oddHBand="0" w:evenHBand="1" w:firstRowFirstColumn="0" w:firstRowLastColumn="0" w:lastRowFirstColumn="0" w:lastRowLastColumn="0"/>
        </w:trPr>
        <w:tc>
          <w:tcPr>
            <w:tcW w:w="2250" w:type="pct"/>
            <w:shd w:val="clear" w:color="auto" w:fill="auto"/>
            <w:hideMark/>
          </w:tcPr>
          <w:p w14:paraId="23CA5E82" w14:textId="77777777" w:rsidR="00C06B19" w:rsidRPr="00BC1AFF" w:rsidRDefault="00C06B19" w:rsidP="0006764E">
            <w:pPr>
              <w:spacing w:before="120" w:after="120"/>
              <w:jc w:val="center"/>
              <w:rPr>
                <w:rFonts w:eastAsia="DengXian"/>
              </w:rPr>
            </w:pPr>
            <w:r w:rsidRPr="00BC1AFF">
              <w:rPr>
                <w:rFonts w:eastAsia="DengXian"/>
              </w:rPr>
              <w:t>25 – 36 months</w:t>
            </w:r>
          </w:p>
        </w:tc>
        <w:tc>
          <w:tcPr>
            <w:tcW w:w="2750" w:type="pct"/>
            <w:shd w:val="clear" w:color="auto" w:fill="auto"/>
            <w:hideMark/>
          </w:tcPr>
          <w:p w14:paraId="259861BE" w14:textId="77777777" w:rsidR="00C06B19" w:rsidRPr="00BC1AFF" w:rsidRDefault="00C06B19" w:rsidP="0006764E">
            <w:pPr>
              <w:spacing w:before="120" w:after="120"/>
              <w:jc w:val="center"/>
              <w:rPr>
                <w:rFonts w:eastAsia="DengXian"/>
              </w:rPr>
            </w:pPr>
            <w:r w:rsidRPr="00BC1AFF">
              <w:rPr>
                <w:rFonts w:eastAsia="DengXian"/>
              </w:rPr>
              <w:t>12 months of Monthly Recurring Charges</w:t>
            </w:r>
          </w:p>
        </w:tc>
      </w:tr>
      <w:tr w:rsidR="00C06B19" w:rsidRPr="00BC1AFF" w14:paraId="6D984401" w14:textId="77777777" w:rsidTr="00865B70">
        <w:trPr>
          <w:cnfStyle w:val="000000100000" w:firstRow="0" w:lastRow="0" w:firstColumn="0" w:lastColumn="0" w:oddVBand="0" w:evenVBand="0" w:oddHBand="1" w:evenHBand="0" w:firstRowFirstColumn="0" w:firstRowLastColumn="0" w:lastRowFirstColumn="0" w:lastRowLastColumn="0"/>
        </w:trPr>
        <w:tc>
          <w:tcPr>
            <w:tcW w:w="2250" w:type="pct"/>
            <w:shd w:val="clear" w:color="auto" w:fill="auto"/>
            <w:hideMark/>
          </w:tcPr>
          <w:p w14:paraId="7B1FEB2D" w14:textId="77777777" w:rsidR="00C06B19" w:rsidRPr="00BC1AFF" w:rsidRDefault="00C06B19" w:rsidP="0006764E">
            <w:pPr>
              <w:spacing w:before="120" w:after="120"/>
              <w:jc w:val="center"/>
              <w:rPr>
                <w:rFonts w:eastAsia="DengXian"/>
              </w:rPr>
            </w:pPr>
            <w:r w:rsidRPr="00BC1AFF">
              <w:rPr>
                <w:rFonts w:eastAsia="DengXian"/>
              </w:rPr>
              <w:t>13 – 24 months</w:t>
            </w:r>
          </w:p>
        </w:tc>
        <w:tc>
          <w:tcPr>
            <w:tcW w:w="2750" w:type="pct"/>
            <w:shd w:val="clear" w:color="auto" w:fill="auto"/>
            <w:hideMark/>
          </w:tcPr>
          <w:p w14:paraId="128E0666" w14:textId="77777777" w:rsidR="00C06B19" w:rsidRPr="00BC1AFF" w:rsidRDefault="00C06B19" w:rsidP="0006764E">
            <w:pPr>
              <w:spacing w:before="120" w:after="120"/>
              <w:jc w:val="center"/>
              <w:rPr>
                <w:rFonts w:eastAsia="DengXian"/>
              </w:rPr>
            </w:pPr>
            <w:r w:rsidRPr="00BC1AFF">
              <w:rPr>
                <w:rFonts w:eastAsia="DengXian"/>
              </w:rPr>
              <w:t>8 months of Monthly Recurring Charges</w:t>
            </w:r>
          </w:p>
        </w:tc>
      </w:tr>
      <w:tr w:rsidR="00C06B19" w:rsidRPr="00BC1AFF" w14:paraId="2AD894F1" w14:textId="77777777" w:rsidTr="00865B70">
        <w:trPr>
          <w:cnfStyle w:val="000000010000" w:firstRow="0" w:lastRow="0" w:firstColumn="0" w:lastColumn="0" w:oddVBand="0" w:evenVBand="0" w:oddHBand="0" w:evenHBand="1" w:firstRowFirstColumn="0" w:firstRowLastColumn="0" w:lastRowFirstColumn="0" w:lastRowLastColumn="0"/>
        </w:trPr>
        <w:tc>
          <w:tcPr>
            <w:tcW w:w="2250" w:type="pct"/>
            <w:shd w:val="clear" w:color="auto" w:fill="auto"/>
            <w:hideMark/>
          </w:tcPr>
          <w:p w14:paraId="0575C91C" w14:textId="4E7EBDA9" w:rsidR="00C06B19" w:rsidRPr="00BC1AFF" w:rsidRDefault="00C06B19" w:rsidP="0006764E">
            <w:pPr>
              <w:spacing w:before="120" w:after="120"/>
              <w:jc w:val="center"/>
              <w:rPr>
                <w:rFonts w:eastAsia="DengXian"/>
              </w:rPr>
            </w:pPr>
            <w:r w:rsidRPr="00BC1AFF">
              <w:rPr>
                <w:rFonts w:eastAsia="DengXian"/>
              </w:rPr>
              <w:t>5 - 12 months</w:t>
            </w:r>
          </w:p>
        </w:tc>
        <w:tc>
          <w:tcPr>
            <w:tcW w:w="2750" w:type="pct"/>
            <w:shd w:val="clear" w:color="auto" w:fill="auto"/>
            <w:hideMark/>
          </w:tcPr>
          <w:p w14:paraId="12B0FCA2" w14:textId="77777777" w:rsidR="00C06B19" w:rsidRPr="00BC1AFF" w:rsidRDefault="00C06B19" w:rsidP="0006764E">
            <w:pPr>
              <w:spacing w:before="120" w:after="120"/>
              <w:jc w:val="center"/>
              <w:rPr>
                <w:rFonts w:eastAsia="DengXian"/>
              </w:rPr>
            </w:pPr>
            <w:r w:rsidRPr="00BC1AFF">
              <w:rPr>
                <w:rFonts w:eastAsia="DengXian"/>
              </w:rPr>
              <w:t>4 months of Monthly Recurring Charges</w:t>
            </w:r>
          </w:p>
        </w:tc>
      </w:tr>
      <w:tr w:rsidR="00C06B19" w:rsidRPr="00BC1AFF" w14:paraId="7FB692C7" w14:textId="77777777" w:rsidTr="00865B70">
        <w:trPr>
          <w:cnfStyle w:val="000000100000" w:firstRow="0" w:lastRow="0" w:firstColumn="0" w:lastColumn="0" w:oddVBand="0" w:evenVBand="0" w:oddHBand="1" w:evenHBand="0" w:firstRowFirstColumn="0" w:firstRowLastColumn="0" w:lastRowFirstColumn="0" w:lastRowLastColumn="0"/>
        </w:trPr>
        <w:tc>
          <w:tcPr>
            <w:tcW w:w="2250" w:type="pct"/>
            <w:shd w:val="clear" w:color="auto" w:fill="auto"/>
          </w:tcPr>
          <w:p w14:paraId="51D69CF8" w14:textId="77777777" w:rsidR="00C06B19" w:rsidRPr="00BC1AFF" w:rsidDel="005D31C1" w:rsidRDefault="00C06B19" w:rsidP="0006764E">
            <w:pPr>
              <w:spacing w:before="120" w:after="120"/>
              <w:jc w:val="center"/>
              <w:rPr>
                <w:rFonts w:eastAsia="DengXian"/>
              </w:rPr>
            </w:pPr>
            <w:r w:rsidRPr="00BC1AFF">
              <w:rPr>
                <w:rFonts w:eastAsia="DengXian"/>
              </w:rPr>
              <w:t>0 – 4 months</w:t>
            </w:r>
          </w:p>
        </w:tc>
        <w:tc>
          <w:tcPr>
            <w:tcW w:w="2750" w:type="pct"/>
            <w:shd w:val="clear" w:color="auto" w:fill="auto"/>
          </w:tcPr>
          <w:p w14:paraId="3150B182" w14:textId="77777777" w:rsidR="00C06B19" w:rsidRPr="00BC1AFF" w:rsidRDefault="00C06B19" w:rsidP="0006764E">
            <w:pPr>
              <w:spacing w:before="120" w:after="120"/>
              <w:jc w:val="center"/>
              <w:rPr>
                <w:rFonts w:eastAsia="DengXian"/>
              </w:rPr>
            </w:pPr>
            <w:r w:rsidRPr="00BC1AFF">
              <w:rPr>
                <w:rFonts w:eastAsia="DengXian"/>
              </w:rPr>
              <w:t>50% of the remaining Monthly Recurring Charges</w:t>
            </w:r>
          </w:p>
        </w:tc>
      </w:tr>
    </w:tbl>
    <w:p w14:paraId="4F2934FA" w14:textId="77777777" w:rsidR="00365818" w:rsidRPr="00BC1AFF" w:rsidRDefault="00365818" w:rsidP="00C90281">
      <w:pPr>
        <w:pStyle w:val="Heading2"/>
        <w:numPr>
          <w:ilvl w:val="0"/>
          <w:numId w:val="0"/>
        </w:numPr>
        <w:ind w:left="1304"/>
      </w:pPr>
    </w:p>
    <w:p w14:paraId="3A693133" w14:textId="674A2B8D" w:rsidR="00CC0A9D" w:rsidRPr="00BC1AFF" w:rsidRDefault="00CC0A9D" w:rsidP="00555B76">
      <w:pPr>
        <w:ind w:left="709"/>
      </w:pPr>
      <w:r w:rsidRPr="00BC1AFF">
        <w:t xml:space="preserve">If you take up the Telstra Purple Hosting and Connectivity Service, in addition to the ETC calculated in accordance with the table above, we may also charge you an ETC </w:t>
      </w:r>
      <w:r w:rsidR="005E476F" w:rsidRPr="00BC1AFF">
        <w:t xml:space="preserve">for the Telstra Purple Hosting and Connectivity Service </w:t>
      </w:r>
      <w:r w:rsidRPr="00BC1AFF">
        <w:t>calculated as follows:</w:t>
      </w:r>
    </w:p>
    <w:p w14:paraId="188C14DA" w14:textId="14F1DD96" w:rsidR="00CC0A9D" w:rsidRPr="00BC1AFF" w:rsidRDefault="003A1664" w:rsidP="00555B76">
      <w:pPr>
        <w:ind w:left="709"/>
      </w:pPr>
      <w:r w:rsidRPr="00BC1AFF">
        <w:t xml:space="preserve">ETC = </w:t>
      </w:r>
      <w:r w:rsidR="00140A88" w:rsidRPr="00BC1AFF">
        <w:t>A</w:t>
      </w:r>
      <w:r w:rsidRPr="00BC1AFF">
        <w:t xml:space="preserve"> + </w:t>
      </w:r>
      <w:r w:rsidR="00140A88" w:rsidRPr="00BC1AFF">
        <w:t>B</w:t>
      </w:r>
      <w:r w:rsidR="00AF704C" w:rsidRPr="00BC1AFF">
        <w:t xml:space="preserve"> + C</w:t>
      </w:r>
    </w:p>
    <w:p w14:paraId="7A466E3C" w14:textId="1DCE8402" w:rsidR="003A1664" w:rsidRPr="00BC1AFF" w:rsidRDefault="000027F2" w:rsidP="00555B76">
      <w:pPr>
        <w:ind w:left="709"/>
      </w:pPr>
      <w:r w:rsidRPr="00BC1AFF">
        <w:t>where</w:t>
      </w:r>
    </w:p>
    <w:p w14:paraId="106E371F" w14:textId="707A2823" w:rsidR="003A1664" w:rsidRPr="00BC1AFF" w:rsidRDefault="003A1664" w:rsidP="00555B76">
      <w:pPr>
        <w:ind w:left="1985" w:hanging="567"/>
      </w:pPr>
      <w:r w:rsidRPr="00BC1AFF">
        <w:rPr>
          <w:b/>
          <w:bCs/>
        </w:rPr>
        <w:t>A</w:t>
      </w:r>
      <w:r w:rsidRPr="00BC1AFF">
        <w:t xml:space="preserve"> = </w:t>
      </w:r>
      <w:r w:rsidRPr="00BC1AFF">
        <w:tab/>
        <w:t xml:space="preserve">the </w:t>
      </w:r>
      <w:r w:rsidR="000027F2" w:rsidRPr="00BC1AFF">
        <w:t xml:space="preserve">unavoidable and unrecoverable </w:t>
      </w:r>
      <w:r w:rsidRPr="00BC1AFF">
        <w:t>cost of any fixed term third party licence that we purchase in respect of your Telstra Purple Hosting and Connectivity Service</w:t>
      </w:r>
      <w:r w:rsidR="001634B5" w:rsidRPr="00BC1AFF">
        <w:t>, prorated based on the number of months remaining in your Initial Term or Renewal Term (as applicable)</w:t>
      </w:r>
      <w:r w:rsidR="000027F2" w:rsidRPr="00BC1AFF">
        <w:t>;</w:t>
      </w:r>
    </w:p>
    <w:p w14:paraId="5F80A197" w14:textId="39A90692" w:rsidR="003A1664" w:rsidRPr="00BC1AFF" w:rsidRDefault="003A1664" w:rsidP="00555B76">
      <w:pPr>
        <w:ind w:left="1985" w:hanging="567"/>
      </w:pPr>
      <w:r w:rsidRPr="00BC1AFF">
        <w:rPr>
          <w:b/>
          <w:bCs/>
        </w:rPr>
        <w:lastRenderedPageBreak/>
        <w:t>B</w:t>
      </w:r>
      <w:r w:rsidRPr="00BC1AFF">
        <w:t xml:space="preserve"> =</w:t>
      </w:r>
      <w:r w:rsidRPr="00BC1AFF">
        <w:tab/>
        <w:t xml:space="preserve">the </w:t>
      </w:r>
      <w:r w:rsidR="0093301C" w:rsidRPr="00BC1AFF">
        <w:t>unrecoverable</w:t>
      </w:r>
      <w:r w:rsidR="00271AE6" w:rsidRPr="00BC1AFF">
        <w:t xml:space="preserve"> </w:t>
      </w:r>
      <w:r w:rsidRPr="00BC1AFF">
        <w:t xml:space="preserve">cost of any hardware </w:t>
      </w:r>
      <w:r w:rsidR="0093301C" w:rsidRPr="00BC1AFF">
        <w:t xml:space="preserve">(corresponding to the decreased value of the hardware calculated based on Telstra’s ability (using reasonable efforts) or inability to reuse the hardware within 60 days </w:t>
      </w:r>
      <w:r w:rsidR="004C468E" w:rsidRPr="00BC1AFF">
        <w:t>after the termination of your Telstra Purple Hosting and Con</w:t>
      </w:r>
      <w:r w:rsidR="00B25ADD" w:rsidRPr="00BC1AFF">
        <w:t>n</w:t>
      </w:r>
      <w:r w:rsidR="004C468E" w:rsidRPr="00BC1AFF">
        <w:t>ectivity Service)</w:t>
      </w:r>
      <w:r w:rsidR="00B25ADD" w:rsidRPr="00BC1AFF">
        <w:t xml:space="preserve"> </w:t>
      </w:r>
      <w:r w:rsidRPr="00BC1AFF">
        <w:t xml:space="preserve">that we purchase </w:t>
      </w:r>
      <w:r w:rsidR="00B25ADD" w:rsidRPr="00BC1AFF">
        <w:t>specifically to provide</w:t>
      </w:r>
      <w:r w:rsidRPr="00BC1AFF">
        <w:t xml:space="preserve"> your dedicated Telstra Purple Hosting and Connectivity Service</w:t>
      </w:r>
      <w:r w:rsidR="000027F2" w:rsidRPr="00BC1AFF">
        <w:t>; and</w:t>
      </w:r>
      <w:r w:rsidRPr="00BC1AFF">
        <w:t xml:space="preserve"> </w:t>
      </w:r>
    </w:p>
    <w:p w14:paraId="45AA4FFC" w14:textId="6C98C156" w:rsidR="00AF704C" w:rsidRPr="00BC1AFF" w:rsidRDefault="00AF704C" w:rsidP="00555B76">
      <w:pPr>
        <w:ind w:left="1985" w:hanging="567"/>
      </w:pPr>
      <w:r w:rsidRPr="00BC1AFF">
        <w:rPr>
          <w:b/>
          <w:bCs/>
        </w:rPr>
        <w:t>C =</w:t>
      </w:r>
      <w:r w:rsidRPr="00BC1AFF">
        <w:tab/>
        <w:t>the</w:t>
      </w:r>
      <w:r w:rsidR="00A2599C" w:rsidRPr="00BC1AFF">
        <w:t xml:space="preserve"> </w:t>
      </w:r>
      <w:r w:rsidR="000027F2" w:rsidRPr="00BC1AFF">
        <w:t xml:space="preserve">unavoidable and unrecoverable </w:t>
      </w:r>
      <w:r w:rsidRPr="00BC1AFF">
        <w:t>cost</w:t>
      </w:r>
      <w:r w:rsidR="00A2599C" w:rsidRPr="00BC1AFF">
        <w:t>s</w:t>
      </w:r>
      <w:r w:rsidRPr="00BC1AFF">
        <w:t xml:space="preserve"> of any</w:t>
      </w:r>
      <w:r w:rsidRPr="00BC1AFF">
        <w:rPr>
          <w:b/>
          <w:bCs/>
        </w:rPr>
        <w:t xml:space="preserve"> </w:t>
      </w:r>
      <w:r w:rsidRPr="00BC1AFF">
        <w:t xml:space="preserve">third party </w:t>
      </w:r>
      <w:r w:rsidR="00442869" w:rsidRPr="00BC1AFF">
        <w:t>service</w:t>
      </w:r>
      <w:r w:rsidR="000027F2" w:rsidRPr="00BC1AFF">
        <w:t xml:space="preserve"> (other than third party licenses)</w:t>
      </w:r>
      <w:r w:rsidRPr="00BC1AFF">
        <w:t xml:space="preserve"> we acquire </w:t>
      </w:r>
      <w:r w:rsidR="00A2599C" w:rsidRPr="00BC1AFF">
        <w:t>for the purposes of providing</w:t>
      </w:r>
      <w:r w:rsidRPr="00BC1AFF">
        <w:t xml:space="preserve"> </w:t>
      </w:r>
      <w:r w:rsidR="00A2599C" w:rsidRPr="00BC1AFF">
        <w:t>the</w:t>
      </w:r>
      <w:r w:rsidRPr="00BC1AFF">
        <w:t xml:space="preserve"> Telstra Purple Hosting and Connectivity Service</w:t>
      </w:r>
      <w:r w:rsidR="00271AE6" w:rsidRPr="00BC1AFF">
        <w:t>, prorated based on the number of months remaining in your Initial Term or Renewal Term (as applicable)</w:t>
      </w:r>
      <w:r w:rsidR="000027F2" w:rsidRPr="00BC1AFF">
        <w:t>.</w:t>
      </w:r>
    </w:p>
    <w:p w14:paraId="0AD45658" w14:textId="77777777" w:rsidR="00FB11DC" w:rsidRPr="00101A1D" w:rsidRDefault="00FB11DC" w:rsidP="00FB11DC">
      <w:pPr>
        <w:pStyle w:val="Heading2"/>
      </w:pPr>
      <w:r w:rsidRPr="00101A1D">
        <w:t xml:space="preserve">During your Renewal Term, </w:t>
      </w:r>
      <w:r w:rsidRPr="008376B4">
        <w:rPr>
          <w:szCs w:val="20"/>
        </w:rPr>
        <w:t>you can terminate your service at any time by giving us not less than 30 days’ prior written notice but we may charge you an amount equal to the actual third-party costs and expenses that we have incurred or committed to in anticipation of providing the service to you and that cannot be reasonably avoided by us as a result of the termination.</w:t>
      </w:r>
    </w:p>
    <w:p w14:paraId="7C597B38" w14:textId="467C8091" w:rsidR="00286F2E" w:rsidRPr="00BC1AFF" w:rsidRDefault="37F0389E" w:rsidP="00C90281">
      <w:pPr>
        <w:pStyle w:val="Heading2"/>
      </w:pPr>
      <w:r w:rsidRPr="00BC1AFF">
        <w:t>You acknowledge that this amount is a genuine pre-estimate of the loss Telstra Purple are likely to suffer.</w:t>
      </w:r>
    </w:p>
    <w:p w14:paraId="0FD912F3" w14:textId="738BD248" w:rsidR="00286F2E" w:rsidRPr="00BC1AFF" w:rsidRDefault="37F0389E" w:rsidP="00C90281">
      <w:pPr>
        <w:pStyle w:val="Heading2"/>
      </w:pPr>
      <w:r w:rsidRPr="00BC1AFF">
        <w:t>The ETC’s will be in addition to any outstanding charges due pro-rated to last payment.</w:t>
      </w:r>
    </w:p>
    <w:p w14:paraId="15B8B4A5" w14:textId="63BABAB3" w:rsidR="00286F2E" w:rsidRPr="00BC1AFF" w:rsidRDefault="37F0389E" w:rsidP="00C90281">
      <w:pPr>
        <w:pStyle w:val="Heading2"/>
      </w:pPr>
      <w:r w:rsidRPr="00BC1AFF">
        <w:t>Any charges which have been incurred are non-refundable in event of early termination</w:t>
      </w:r>
      <w:r w:rsidR="004A6604" w:rsidRPr="00BC1AFF">
        <w:t>.</w:t>
      </w:r>
    </w:p>
    <w:p w14:paraId="69F6D28A" w14:textId="1B260200" w:rsidR="00286F2E" w:rsidRPr="00BC1AFF" w:rsidRDefault="37F0389E" w:rsidP="00C90281">
      <w:pPr>
        <w:pStyle w:val="Heading2"/>
      </w:pPr>
      <w:r w:rsidRPr="00BC1AFF">
        <w:t>The ETC will be in addition to any charges associated with disengagement services</w:t>
      </w:r>
      <w:r w:rsidR="004A6604" w:rsidRPr="00BC1AFF">
        <w:t>.</w:t>
      </w:r>
    </w:p>
    <w:p w14:paraId="3CF7E59B" w14:textId="15E57D30" w:rsidR="00286F2E" w:rsidRPr="00BC1AFF" w:rsidRDefault="37F0389E" w:rsidP="00C90281">
      <w:pPr>
        <w:pStyle w:val="Heading2"/>
      </w:pPr>
      <w:r w:rsidRPr="00BC1AFF">
        <w:t xml:space="preserve">ETC’s may also apply for additional services as listed in any </w:t>
      </w:r>
      <w:r w:rsidR="00F679EC" w:rsidRPr="00BC1AFF">
        <w:t>MSDs or SD</w:t>
      </w:r>
      <w:r w:rsidRPr="00BC1AFF">
        <w:t>.</w:t>
      </w:r>
    </w:p>
    <w:p w14:paraId="7B1CF394" w14:textId="30A95E04" w:rsidR="00EF7990" w:rsidRPr="00BC1AFF" w:rsidRDefault="415A4E91" w:rsidP="00C90281">
      <w:pPr>
        <w:pStyle w:val="Heading2"/>
      </w:pPr>
      <w:r w:rsidRPr="00BC1AFF">
        <w:t>There are</w:t>
      </w:r>
      <w:r w:rsidR="4047B8E0" w:rsidRPr="00BC1AFF">
        <w:t xml:space="preserve"> no </w:t>
      </w:r>
      <w:r w:rsidR="3354FA23" w:rsidRPr="00BC1AFF">
        <w:t xml:space="preserve">early </w:t>
      </w:r>
      <w:r w:rsidR="4047B8E0" w:rsidRPr="00BC1AFF">
        <w:t>termination fee</w:t>
      </w:r>
      <w:r w:rsidR="0A7A97BC" w:rsidRPr="00BC1AFF">
        <w:t>s</w:t>
      </w:r>
      <w:r w:rsidR="4047B8E0" w:rsidRPr="00BC1AFF">
        <w:t xml:space="preserve"> </w:t>
      </w:r>
      <w:r w:rsidR="0A7A97BC" w:rsidRPr="00BC1AFF">
        <w:t xml:space="preserve">for Telstra Purple Managed Services on a </w:t>
      </w:r>
      <w:r w:rsidR="00D20072" w:rsidRPr="00BC1AFF">
        <w:t xml:space="preserve">Casual </w:t>
      </w:r>
      <w:r w:rsidR="0A7A97BC" w:rsidRPr="00BC1AFF">
        <w:t>Term</w:t>
      </w:r>
      <w:r w:rsidR="4047B8E0" w:rsidRPr="00BC1AFF">
        <w:t>.</w:t>
      </w:r>
    </w:p>
    <w:p w14:paraId="563E8137" w14:textId="74BA6423" w:rsidR="000B5676" w:rsidRPr="00BC1AFF" w:rsidRDefault="40BE84EA" w:rsidP="00C90281">
      <w:pPr>
        <w:pStyle w:val="Heading2"/>
      </w:pPr>
      <w:r w:rsidRPr="00BC1AFF">
        <w:t xml:space="preserve">If a </w:t>
      </w:r>
      <w:r w:rsidR="402DFC9A" w:rsidRPr="00BC1AFF">
        <w:t>Telstra Purple Managed Service</w:t>
      </w:r>
      <w:r w:rsidRPr="00BC1AFF">
        <w:t xml:space="preserve"> is cancelled or terminated for any reason:</w:t>
      </w:r>
    </w:p>
    <w:p w14:paraId="36F00D52" w14:textId="4B2F85BE" w:rsidR="000B5676" w:rsidRPr="00BC1AFF" w:rsidRDefault="40BE84EA" w:rsidP="000B5676">
      <w:pPr>
        <w:pStyle w:val="Heading3"/>
      </w:pPr>
      <w:r w:rsidRPr="00BC1AFF">
        <w:t xml:space="preserve">on and from the termination date you must remove our access to your systems and environment being managed by or in connection with that Service, and immediately cease using the relevant </w:t>
      </w:r>
      <w:r w:rsidR="402DFC9A" w:rsidRPr="00BC1AFF">
        <w:t>Telstra Purple Managed Services</w:t>
      </w:r>
      <w:r w:rsidRPr="00BC1AFF">
        <w:t>;</w:t>
      </w:r>
    </w:p>
    <w:p w14:paraId="323BE3AC" w14:textId="61DE1EFC" w:rsidR="000B5676" w:rsidRPr="00BC1AFF" w:rsidRDefault="40BE84EA" w:rsidP="000B5676">
      <w:pPr>
        <w:pStyle w:val="Heading3"/>
      </w:pPr>
      <w:r w:rsidRPr="00BC1AFF">
        <w:t xml:space="preserve">you must pay us all outstanding invoices for the </w:t>
      </w:r>
      <w:r w:rsidR="402DFC9A" w:rsidRPr="00BC1AFF">
        <w:t>Telstra Purple Managed Services</w:t>
      </w:r>
      <w:r w:rsidRPr="00BC1AFF">
        <w:t xml:space="preserve"> by their due date; and</w:t>
      </w:r>
    </w:p>
    <w:p w14:paraId="3E9A1201" w14:textId="73593E8E" w:rsidR="000B5676" w:rsidRPr="00BC1AFF" w:rsidRDefault="40BE84EA" w:rsidP="000B5676">
      <w:pPr>
        <w:pStyle w:val="Heading3"/>
      </w:pPr>
      <w:r w:rsidRPr="00BC1AFF">
        <w:t>all rights a party has accrued before expiry, termination or cancellation continue.</w:t>
      </w:r>
    </w:p>
    <w:p w14:paraId="372F16DA" w14:textId="6597AE9E" w:rsidR="00D26F5E" w:rsidRPr="00BC1AFF" w:rsidRDefault="00D26F5E" w:rsidP="00802292">
      <w:pPr>
        <w:pStyle w:val="Heading1"/>
      </w:pPr>
      <w:bookmarkStart w:id="357" w:name="_Toc137461096"/>
      <w:bookmarkStart w:id="358" w:name="_Toc138241465"/>
      <w:bookmarkStart w:id="359" w:name="_Toc160009063"/>
      <w:r w:rsidRPr="00BC1AFF">
        <w:t>DEFINITIONS AND INTERPRETATION</w:t>
      </w:r>
      <w:bookmarkEnd w:id="357"/>
      <w:bookmarkEnd w:id="358"/>
      <w:bookmarkEnd w:id="359"/>
    </w:p>
    <w:p w14:paraId="3DCAFF19" w14:textId="6C88819D" w:rsidR="00D26F5E" w:rsidRPr="00BC1AFF" w:rsidRDefault="11C959CE" w:rsidP="00C90281">
      <w:pPr>
        <w:pStyle w:val="Heading2"/>
      </w:pPr>
      <w:r w:rsidRPr="00BC1AFF">
        <w:t xml:space="preserve">In this </w:t>
      </w:r>
      <w:r w:rsidR="1CB04667" w:rsidRPr="00BC1AFF">
        <w:t xml:space="preserve">section </w:t>
      </w:r>
      <w:r w:rsidRPr="00BC1AFF">
        <w:t>unless otherwise indicated:</w:t>
      </w:r>
    </w:p>
    <w:p w14:paraId="0A08AE9B" w14:textId="10B8C398" w:rsidR="00BE3009" w:rsidRPr="00BC1AFF" w:rsidRDefault="00BE3009" w:rsidP="00185F50">
      <w:pPr>
        <w:ind w:left="709"/>
      </w:pPr>
      <w:r w:rsidRPr="00BC1AFF">
        <w:rPr>
          <w:b/>
        </w:rPr>
        <w:t>Authorised User</w:t>
      </w:r>
      <w:r w:rsidR="002C483C" w:rsidRPr="00BC1AFF">
        <w:rPr>
          <w:b/>
        </w:rPr>
        <w:t xml:space="preserve"> </w:t>
      </w:r>
      <w:r w:rsidR="002C483C" w:rsidRPr="00BC1AFF">
        <w:t xml:space="preserve">means any </w:t>
      </w:r>
      <w:r w:rsidR="0035565B" w:rsidRPr="00BC1AFF">
        <w:t xml:space="preserve">person who you authorise to access or use the Telstra Purple Hosting and Connectivity Services. </w:t>
      </w:r>
    </w:p>
    <w:p w14:paraId="54661AEE" w14:textId="01E2735D" w:rsidR="0041030C" w:rsidRPr="00BC1AFF" w:rsidRDefault="0041030C" w:rsidP="00185F50">
      <w:pPr>
        <w:ind w:left="709"/>
      </w:pPr>
      <w:r w:rsidRPr="00BC1AFF">
        <w:rPr>
          <w:b/>
        </w:rPr>
        <w:t>Additional Service Charges</w:t>
      </w:r>
      <w:r w:rsidRPr="00BC1AFF">
        <w:t xml:space="preserve"> means a charge or charges that are advised and must be accepted by you in writing before a chargeable service action can take place</w:t>
      </w:r>
      <w:r w:rsidR="00BB2111" w:rsidRPr="00BC1AFF">
        <w:t>.</w:t>
      </w:r>
    </w:p>
    <w:p w14:paraId="677068C3" w14:textId="07EF757B" w:rsidR="003A1FB6" w:rsidRPr="00BC1AFF" w:rsidRDefault="003A1FB6" w:rsidP="00185F50">
      <w:pPr>
        <w:ind w:left="709"/>
      </w:pPr>
      <w:r w:rsidRPr="00BC1AFF">
        <w:rPr>
          <w:b/>
        </w:rPr>
        <w:t>Agreed Data Locations</w:t>
      </w:r>
      <w:r w:rsidRPr="00BC1AFF">
        <w:t xml:space="preserve"> means </w:t>
      </w:r>
      <w:r w:rsidR="00A54765" w:rsidRPr="00BC1AFF">
        <w:t>the data centre locations set out in your Order.</w:t>
      </w:r>
      <w:r w:rsidRPr="00BC1AFF">
        <w:t xml:space="preserve"> </w:t>
      </w:r>
    </w:p>
    <w:p w14:paraId="55594B80" w14:textId="7F7F83DE" w:rsidR="0041030C" w:rsidRPr="00BC1AFF" w:rsidRDefault="0041030C" w:rsidP="00185F50">
      <w:pPr>
        <w:ind w:left="709"/>
      </w:pPr>
      <w:r w:rsidRPr="00BC1AFF">
        <w:rPr>
          <w:b/>
        </w:rPr>
        <w:lastRenderedPageBreak/>
        <w:t>Best Efforts</w:t>
      </w:r>
      <w:r w:rsidRPr="00BC1AFF">
        <w:t xml:space="preserve"> means we will do everything that can</w:t>
      </w:r>
      <w:r w:rsidR="00BB2111" w:rsidRPr="00BC1AFF">
        <w:t xml:space="preserve"> reasonably</w:t>
      </w:r>
      <w:r w:rsidRPr="00BC1AFF">
        <w:t xml:space="preserve"> be done to help manage a service that is no longer supported by a </w:t>
      </w:r>
      <w:r w:rsidR="00BB2111" w:rsidRPr="00BC1AFF">
        <w:t>V</w:t>
      </w:r>
      <w:r w:rsidRPr="00BC1AFF">
        <w:t xml:space="preserve">endor </w:t>
      </w:r>
      <w:r w:rsidR="00ED3545" w:rsidRPr="00BC1AFF">
        <w:t xml:space="preserve">and is </w:t>
      </w:r>
      <w:r w:rsidRPr="00BC1AFF">
        <w:t xml:space="preserve">without Service Levels </w:t>
      </w:r>
      <w:r w:rsidR="00ED3545" w:rsidRPr="00BC1AFF">
        <w:t>from</w:t>
      </w:r>
      <w:r w:rsidRPr="00BC1AFF">
        <w:t xml:space="preserve"> us</w:t>
      </w:r>
      <w:r w:rsidR="00ED3545" w:rsidRPr="00BC1AFF">
        <w:t>.</w:t>
      </w:r>
    </w:p>
    <w:p w14:paraId="5814F884" w14:textId="06F2D04E" w:rsidR="00981E83" w:rsidRPr="00BC1AFF" w:rsidRDefault="00981E83" w:rsidP="00185F50">
      <w:pPr>
        <w:ind w:left="709"/>
      </w:pPr>
      <w:r w:rsidRPr="00BC1AFF">
        <w:rPr>
          <w:b/>
        </w:rPr>
        <w:t>Change/s</w:t>
      </w:r>
      <w:r w:rsidRPr="00BC1AFF">
        <w:t xml:space="preserve"> means the addition, modification or removal of anything that could have a direct or indirect effect on </w:t>
      </w:r>
      <w:r w:rsidR="00ED3545" w:rsidRPr="00BC1AFF">
        <w:t>the Telstra Purple Managed Services.</w:t>
      </w:r>
    </w:p>
    <w:p w14:paraId="378ED25F" w14:textId="5B1B086E" w:rsidR="00981E83" w:rsidRPr="00BC1AFF" w:rsidRDefault="00981E83" w:rsidP="00185F50">
      <w:pPr>
        <w:ind w:left="709"/>
      </w:pPr>
      <w:r w:rsidRPr="00BC1AFF">
        <w:rPr>
          <w:b/>
        </w:rPr>
        <w:t>Change Enablement</w:t>
      </w:r>
      <w:r w:rsidRPr="00BC1AFF">
        <w:t xml:space="preserve"> is an ITIL 4 Practice that has the purpose of maximising the number of successful service and product changes by </w:t>
      </w:r>
      <w:r w:rsidR="004445EF" w:rsidRPr="00BC1AFF">
        <w:t xml:space="preserve">checking </w:t>
      </w:r>
      <w:r w:rsidRPr="00BC1AFF">
        <w:t>that risks have been properly assessed, changes have been authorised to proceed and change schedules have been managed</w:t>
      </w:r>
      <w:r w:rsidR="004445EF" w:rsidRPr="00BC1AFF">
        <w:t>.</w:t>
      </w:r>
    </w:p>
    <w:p w14:paraId="7BAB691A" w14:textId="77777777" w:rsidR="00981E83" w:rsidRPr="00BC1AFF" w:rsidRDefault="00981E83" w:rsidP="00185F50">
      <w:pPr>
        <w:ind w:left="709"/>
        <w:rPr>
          <w:szCs w:val="20"/>
        </w:rPr>
      </w:pPr>
      <w:r w:rsidRPr="00BC1AFF">
        <w:rPr>
          <w:rStyle w:val="Strong"/>
          <w:szCs w:val="20"/>
        </w:rPr>
        <w:t xml:space="preserve">Commencement Date </w:t>
      </w:r>
      <w:r w:rsidRPr="00BC1AFF">
        <w:rPr>
          <w:szCs w:val="20"/>
        </w:rPr>
        <w:t xml:space="preserve">means the date set out in your Order or if no date is specified the date the first day that the Telstra Purple </w:t>
      </w:r>
      <w:r w:rsidRPr="00BC1AFF">
        <w:t>Managed</w:t>
      </w:r>
      <w:r w:rsidRPr="00BC1AFF">
        <w:rPr>
          <w:szCs w:val="20"/>
        </w:rPr>
        <w:t xml:space="preserve"> Services are installed or provisioned and are ready-for use, as determined by us.</w:t>
      </w:r>
    </w:p>
    <w:p w14:paraId="7D2947FF" w14:textId="29C3A35A" w:rsidR="00981E83" w:rsidRPr="00BC1AFF" w:rsidRDefault="00981E83" w:rsidP="00185F50">
      <w:pPr>
        <w:ind w:left="709"/>
      </w:pPr>
      <w:r w:rsidRPr="00BC1AFF">
        <w:rPr>
          <w:b/>
        </w:rPr>
        <w:t>Configuration Management System (</w:t>
      </w:r>
      <w:r w:rsidRPr="00BC1AFF">
        <w:rPr>
          <w:b/>
          <w:bCs/>
        </w:rPr>
        <w:t>CMS)</w:t>
      </w:r>
      <w:r w:rsidRPr="00BC1AFF">
        <w:t xml:space="preserve"> means a set of tools, data and information that is used to store information for configuration items (components that need to be managed) within the designated scope</w:t>
      </w:r>
      <w:r w:rsidR="004445EF" w:rsidRPr="00BC1AFF">
        <w:t xml:space="preserve"> of the Telstra Purple Managed Services.</w:t>
      </w:r>
    </w:p>
    <w:p w14:paraId="5CB9B4BA" w14:textId="5ADCB0FF" w:rsidR="0041030C" w:rsidRPr="00BC1AFF" w:rsidRDefault="0041030C" w:rsidP="00185F50">
      <w:pPr>
        <w:ind w:left="709"/>
      </w:pPr>
      <w:r w:rsidRPr="00BC1AFF">
        <w:rPr>
          <w:b/>
        </w:rPr>
        <w:t>Incident</w:t>
      </w:r>
      <w:r w:rsidR="006B45FA" w:rsidRPr="00BC1AFF">
        <w:rPr>
          <w:b/>
        </w:rPr>
        <w:t>(s)</w:t>
      </w:r>
      <w:r w:rsidRPr="00BC1AFF">
        <w:t xml:space="preserve"> means an unplanned interruption to a service or a reduction in quality of a service</w:t>
      </w:r>
      <w:r w:rsidR="002E12A4" w:rsidRPr="00BC1AFF">
        <w:t xml:space="preserve"> in your </w:t>
      </w:r>
      <w:r w:rsidR="0072336A" w:rsidRPr="00BC1AFF">
        <w:t>managed IT Environments or Components.</w:t>
      </w:r>
    </w:p>
    <w:p w14:paraId="5B572A4C" w14:textId="5CE45B3E" w:rsidR="0041030C" w:rsidRPr="00BC1AFF" w:rsidRDefault="0041030C" w:rsidP="00185F50">
      <w:pPr>
        <w:ind w:left="709"/>
      </w:pPr>
      <w:r w:rsidRPr="00BC1AFF">
        <w:rPr>
          <w:b/>
        </w:rPr>
        <w:t>Incident Management</w:t>
      </w:r>
      <w:r w:rsidRPr="00BC1AFF">
        <w:t xml:space="preserve"> is an ITIL 4 Practice that defines the appropriate management of incidents based on their impact</w:t>
      </w:r>
      <w:r w:rsidR="002E3901" w:rsidRPr="00BC1AFF">
        <w:t>.</w:t>
      </w:r>
    </w:p>
    <w:p w14:paraId="3F8D3A68" w14:textId="6F612920" w:rsidR="00261BA5" w:rsidRPr="00BC1AFF" w:rsidRDefault="00261BA5" w:rsidP="00185F50">
      <w:pPr>
        <w:ind w:left="709"/>
        <w:rPr>
          <w:bCs/>
        </w:rPr>
      </w:pPr>
      <w:r w:rsidRPr="00BC1AFF">
        <w:rPr>
          <w:b/>
        </w:rPr>
        <w:t>Intellectual Property Rights</w:t>
      </w:r>
      <w:r w:rsidRPr="00BC1AFF">
        <w:rPr>
          <w:bCs/>
        </w:rPr>
        <w:t xml:space="preserve"> means </w:t>
      </w:r>
      <w:r w:rsidRPr="00BC1AFF">
        <w:t>all current and future registered rights in respect of copyright, designs, circuit layouts, trademarks, trade secrets, domain names, database rights, know-how and confidential information and any other intellectual property rights as defined by Article 2 of the World Intellectual Property Organisation Convention of July 1967.</w:t>
      </w:r>
    </w:p>
    <w:p w14:paraId="3CCD13C5" w14:textId="46E70E53" w:rsidR="00D44E09" w:rsidRPr="00BC1AFF" w:rsidRDefault="00D44E09" w:rsidP="00185F50">
      <w:pPr>
        <w:ind w:left="709"/>
      </w:pPr>
      <w:r w:rsidRPr="00BC1AFF">
        <w:rPr>
          <w:b/>
        </w:rPr>
        <w:t>IT Environments and Components</w:t>
      </w:r>
      <w:r w:rsidRPr="00BC1AFF">
        <w:t xml:space="preserve"> has the meaning given to it in clause </w:t>
      </w:r>
      <w:r w:rsidRPr="00BC1AFF">
        <w:fldChar w:fldCharType="begin"/>
      </w:r>
      <w:r w:rsidRPr="00BC1AFF">
        <w:instrText xml:space="preserve"> REF _Ref130807480 \r \h </w:instrText>
      </w:r>
      <w:r w:rsidR="00BC1AFF">
        <w:instrText xml:space="preserve"> \* MERGEFORMAT </w:instrText>
      </w:r>
      <w:r w:rsidRPr="00BC1AFF">
        <w:fldChar w:fldCharType="separate"/>
      </w:r>
      <w:r w:rsidR="00810AD0">
        <w:t>2.1</w:t>
      </w:r>
      <w:r w:rsidRPr="00BC1AFF">
        <w:fldChar w:fldCharType="end"/>
      </w:r>
      <w:r w:rsidR="00341044" w:rsidRPr="00BC1AFF">
        <w:t xml:space="preserve"> of this section of Our Customer Terms</w:t>
      </w:r>
      <w:r w:rsidRPr="00BC1AFF">
        <w:t xml:space="preserve">. </w:t>
      </w:r>
    </w:p>
    <w:p w14:paraId="602B9986" w14:textId="667BC3DF" w:rsidR="0041030C" w:rsidRPr="00BC1AFF" w:rsidRDefault="0041030C" w:rsidP="00185F50">
      <w:pPr>
        <w:ind w:left="709"/>
      </w:pPr>
      <w:r w:rsidRPr="00BC1AFF">
        <w:rPr>
          <w:b/>
        </w:rPr>
        <w:t xml:space="preserve">Managed Services </w:t>
      </w:r>
      <w:r w:rsidR="00E13C5D" w:rsidRPr="00BC1AFF">
        <w:rPr>
          <w:b/>
        </w:rPr>
        <w:t>Team</w:t>
      </w:r>
      <w:r w:rsidR="00E13C5D" w:rsidRPr="00BC1AFF">
        <w:t xml:space="preserve"> </w:t>
      </w:r>
      <w:r w:rsidRPr="00BC1AFF">
        <w:t xml:space="preserve">means </w:t>
      </w:r>
      <w:r w:rsidR="00BD0003" w:rsidRPr="00BC1AFF">
        <w:t>Telstra Purple’s</w:t>
      </w:r>
      <w:r w:rsidRPr="00BC1AFF">
        <w:t xml:space="preserve"> team who manages your IT Environments and Components in accordance with your MSD</w:t>
      </w:r>
      <w:r w:rsidR="00AB7765" w:rsidRPr="00BC1AFF">
        <w:t>(s)</w:t>
      </w:r>
      <w:r w:rsidR="00357E09" w:rsidRPr="00BC1AFF">
        <w:t xml:space="preserve"> or SD</w:t>
      </w:r>
      <w:r w:rsidR="002E3901" w:rsidRPr="00BC1AFF">
        <w:t>.</w:t>
      </w:r>
    </w:p>
    <w:p w14:paraId="06EF053F" w14:textId="7257FDE2" w:rsidR="00602643" w:rsidRPr="00BC1AFF" w:rsidRDefault="00602643" w:rsidP="00185F50">
      <w:pPr>
        <w:ind w:left="709"/>
        <w:rPr>
          <w:rStyle w:val="Strong"/>
          <w:b w:val="0"/>
          <w:bCs w:val="0"/>
          <w:szCs w:val="20"/>
        </w:rPr>
      </w:pPr>
      <w:r w:rsidRPr="00BC1AFF">
        <w:rPr>
          <w:rStyle w:val="Strong"/>
          <w:szCs w:val="20"/>
        </w:rPr>
        <w:t xml:space="preserve">Operations Manual </w:t>
      </w:r>
      <w:r w:rsidRPr="00BC1AFF">
        <w:rPr>
          <w:rStyle w:val="Strong"/>
          <w:b w:val="0"/>
          <w:bCs w:val="0"/>
          <w:szCs w:val="20"/>
        </w:rPr>
        <w:t>means</w:t>
      </w:r>
      <w:r w:rsidR="00D75823" w:rsidRPr="00BC1AFF">
        <w:rPr>
          <w:rStyle w:val="Strong"/>
          <w:b w:val="0"/>
          <w:bCs w:val="0"/>
          <w:szCs w:val="20"/>
        </w:rPr>
        <w:t xml:space="preserve"> the </w:t>
      </w:r>
      <w:r w:rsidR="00D75823" w:rsidRPr="00BC1AFF">
        <w:t>document</w:t>
      </w:r>
      <w:r w:rsidR="00D75823" w:rsidRPr="00BC1AFF">
        <w:rPr>
          <w:rStyle w:val="Strong"/>
          <w:b w:val="0"/>
          <w:bCs w:val="0"/>
          <w:szCs w:val="20"/>
        </w:rPr>
        <w:t xml:space="preserve"> we provide </w:t>
      </w:r>
      <w:r w:rsidR="0053709D" w:rsidRPr="00BC1AFF">
        <w:rPr>
          <w:rStyle w:val="Strong"/>
          <w:b w:val="0"/>
          <w:bCs w:val="0"/>
          <w:szCs w:val="20"/>
        </w:rPr>
        <w:t>once onboarding has been complet</w:t>
      </w:r>
      <w:r w:rsidR="001F046A" w:rsidRPr="00BC1AFF">
        <w:rPr>
          <w:rStyle w:val="Strong"/>
          <w:b w:val="0"/>
          <w:bCs w:val="0"/>
          <w:szCs w:val="20"/>
        </w:rPr>
        <w:t>ed.  It contains operating procedures, processes and environmental information pertain</w:t>
      </w:r>
      <w:r w:rsidR="00E21A07" w:rsidRPr="00BC1AFF">
        <w:rPr>
          <w:rStyle w:val="Strong"/>
          <w:b w:val="0"/>
          <w:bCs w:val="0"/>
          <w:szCs w:val="20"/>
        </w:rPr>
        <w:t>ing to your managed IT Environments and Components</w:t>
      </w:r>
      <w:r w:rsidR="0053709D" w:rsidRPr="00BC1AFF">
        <w:rPr>
          <w:rStyle w:val="Strong"/>
          <w:b w:val="0"/>
          <w:bCs w:val="0"/>
          <w:szCs w:val="20"/>
        </w:rPr>
        <w:t xml:space="preserve"> which </w:t>
      </w:r>
      <w:r w:rsidR="005A760E" w:rsidRPr="00BC1AFF">
        <w:rPr>
          <w:rStyle w:val="Strong"/>
          <w:b w:val="0"/>
          <w:bCs w:val="0"/>
          <w:szCs w:val="20"/>
        </w:rPr>
        <w:t>sets out the processes and procedures that together will be used in the day to day operational management of your managed service</w:t>
      </w:r>
      <w:r w:rsidR="002E3901" w:rsidRPr="00BC1AFF">
        <w:rPr>
          <w:rStyle w:val="Strong"/>
          <w:b w:val="0"/>
          <w:bCs w:val="0"/>
          <w:szCs w:val="20"/>
        </w:rPr>
        <w:t>.</w:t>
      </w:r>
    </w:p>
    <w:p w14:paraId="4F366A2A" w14:textId="34B3B1CD" w:rsidR="00D26F5E" w:rsidRPr="00BC1AFF" w:rsidRDefault="11C959CE" w:rsidP="00185F50">
      <w:pPr>
        <w:ind w:left="709"/>
        <w:rPr>
          <w:szCs w:val="20"/>
        </w:rPr>
      </w:pPr>
      <w:r w:rsidRPr="00BC1AFF">
        <w:rPr>
          <w:rStyle w:val="Strong"/>
          <w:szCs w:val="20"/>
        </w:rPr>
        <w:t xml:space="preserve">Order </w:t>
      </w:r>
      <w:r w:rsidRPr="00BC1AFF">
        <w:rPr>
          <w:szCs w:val="20"/>
        </w:rPr>
        <w:t xml:space="preserve">means any </w:t>
      </w:r>
      <w:r w:rsidR="1701B008" w:rsidRPr="00BC1AFF">
        <w:rPr>
          <w:szCs w:val="20"/>
        </w:rPr>
        <w:t xml:space="preserve">application form, </w:t>
      </w:r>
      <w:r w:rsidR="1701B008" w:rsidRPr="00BC1AFF">
        <w:t>statement</w:t>
      </w:r>
      <w:r w:rsidR="1701B008" w:rsidRPr="00BC1AFF">
        <w:rPr>
          <w:szCs w:val="20"/>
        </w:rPr>
        <w:t xml:space="preserve"> of work or other </w:t>
      </w:r>
      <w:r w:rsidRPr="00BC1AFF">
        <w:rPr>
          <w:szCs w:val="20"/>
        </w:rPr>
        <w:t>order placed by or on behalf of you</w:t>
      </w:r>
      <w:r w:rsidR="1701B008" w:rsidRPr="00BC1AFF">
        <w:rPr>
          <w:szCs w:val="20"/>
        </w:rPr>
        <w:t xml:space="preserve"> for Telstra Purple Managed Services</w:t>
      </w:r>
      <w:r w:rsidRPr="00BC1AFF">
        <w:rPr>
          <w:szCs w:val="20"/>
        </w:rPr>
        <w:t xml:space="preserve"> and </w:t>
      </w:r>
      <w:r w:rsidR="71F6252B" w:rsidRPr="00BC1AFF">
        <w:rPr>
          <w:szCs w:val="20"/>
        </w:rPr>
        <w:t>accepted by</w:t>
      </w:r>
      <w:r w:rsidRPr="00BC1AFF">
        <w:rPr>
          <w:szCs w:val="20"/>
        </w:rPr>
        <w:t xml:space="preserve"> </w:t>
      </w:r>
      <w:r w:rsidR="00BD0003" w:rsidRPr="00BC1AFF">
        <w:rPr>
          <w:szCs w:val="20"/>
        </w:rPr>
        <w:t>Telstra Purple</w:t>
      </w:r>
      <w:r w:rsidRPr="00BC1AFF">
        <w:rPr>
          <w:szCs w:val="20"/>
        </w:rPr>
        <w:t xml:space="preserve"> (in our discretion).</w:t>
      </w:r>
    </w:p>
    <w:p w14:paraId="4E1D7B17" w14:textId="6CB8D21F" w:rsidR="0041030C" w:rsidRPr="00BC1AFF" w:rsidRDefault="0041030C" w:rsidP="00C90281">
      <w:pPr>
        <w:pStyle w:val="Heading2"/>
        <w:numPr>
          <w:ilvl w:val="0"/>
          <w:numId w:val="0"/>
        </w:numPr>
        <w:ind w:left="709"/>
      </w:pPr>
      <w:r w:rsidRPr="00BC1AFF">
        <w:rPr>
          <w:b/>
        </w:rPr>
        <w:t>Proactive Monitoring</w:t>
      </w:r>
      <w:r w:rsidRPr="00BC1AFF">
        <w:t xml:space="preserve"> refers to </w:t>
      </w:r>
      <w:r w:rsidR="00BD0003" w:rsidRPr="00BC1AFF">
        <w:t>Telstra Purple’s</w:t>
      </w:r>
      <w:r w:rsidRPr="00BC1AFF">
        <w:t xml:space="preserve"> systematic observation of managed IT Environments and Components and includes recording and reporting on changes of state</w:t>
      </w:r>
      <w:r w:rsidR="002E3901" w:rsidRPr="00BC1AFF">
        <w:t>.</w:t>
      </w:r>
    </w:p>
    <w:p w14:paraId="66570520" w14:textId="69BEA4BC" w:rsidR="0041030C" w:rsidRPr="00BC1AFF" w:rsidRDefault="0041030C" w:rsidP="00C90281">
      <w:pPr>
        <w:pStyle w:val="Heading2"/>
        <w:numPr>
          <w:ilvl w:val="0"/>
          <w:numId w:val="0"/>
        </w:numPr>
        <w:ind w:left="709"/>
      </w:pPr>
      <w:r w:rsidRPr="00BC1AFF">
        <w:rPr>
          <w:b/>
        </w:rPr>
        <w:t>Request for Change</w:t>
      </w:r>
      <w:r w:rsidRPr="00BC1AFF">
        <w:t xml:space="preserve"> means a request from a user or user’s authorised representative for the addition, modification or removal of anything that could have a direct or indirect effect on the managed IT Environments and Components</w:t>
      </w:r>
      <w:r w:rsidR="002E3901" w:rsidRPr="00BC1AFF">
        <w:t>.</w:t>
      </w:r>
    </w:p>
    <w:p w14:paraId="51C2A646" w14:textId="64520377" w:rsidR="00D61ED5" w:rsidRPr="00BC1AFF" w:rsidRDefault="00D61ED5" w:rsidP="00555B76">
      <w:pPr>
        <w:ind w:left="709"/>
      </w:pPr>
      <w:r w:rsidRPr="00BC1AFF">
        <w:rPr>
          <w:b/>
        </w:rPr>
        <w:t>SaaS</w:t>
      </w:r>
      <w:r w:rsidRPr="00BC1AFF">
        <w:t xml:space="preserve"> has the meaning given to it in clause </w:t>
      </w:r>
      <w:r w:rsidRPr="00BC1AFF">
        <w:fldChar w:fldCharType="begin"/>
      </w:r>
      <w:r w:rsidRPr="00BC1AFF">
        <w:instrText xml:space="preserve"> REF _Ref130808548 \r \h </w:instrText>
      </w:r>
      <w:r w:rsidR="00D9110C" w:rsidRPr="00BC1AFF">
        <w:instrText xml:space="preserve"> \* MERGEFORMAT </w:instrText>
      </w:r>
      <w:r w:rsidRPr="00BC1AFF">
        <w:fldChar w:fldCharType="separate"/>
      </w:r>
      <w:r w:rsidR="00810AD0">
        <w:t>16.1(c)</w:t>
      </w:r>
      <w:r w:rsidRPr="00BC1AFF">
        <w:fldChar w:fldCharType="end"/>
      </w:r>
      <w:r w:rsidRPr="00BC1AFF">
        <w:t xml:space="preserve"> of this section of Our Customer Terms. </w:t>
      </w:r>
    </w:p>
    <w:p w14:paraId="574D65B7" w14:textId="54A1075D" w:rsidR="00201172" w:rsidRPr="00BC1AFF" w:rsidRDefault="00201172" w:rsidP="00555B76">
      <w:pPr>
        <w:ind w:left="709"/>
      </w:pPr>
      <w:r w:rsidRPr="00BC1AFF">
        <w:rPr>
          <w:b/>
        </w:rPr>
        <w:lastRenderedPageBreak/>
        <w:t>Scheduled Maintenance</w:t>
      </w:r>
      <w:r w:rsidRPr="00BC1AFF">
        <w:t xml:space="preserve"> </w:t>
      </w:r>
      <w:r w:rsidR="002E4CE4" w:rsidRPr="00BC1AFF">
        <w:t xml:space="preserve">means </w:t>
      </w:r>
      <w:r w:rsidR="00BD16F5" w:rsidRPr="00BC1AFF">
        <w:t>act</w:t>
      </w:r>
      <w:r w:rsidR="001B200E" w:rsidRPr="00BC1AFF">
        <w:t xml:space="preserve">ivities or tasks that are </w:t>
      </w:r>
      <w:r w:rsidR="00875A7D" w:rsidRPr="00BC1AFF">
        <w:t>which</w:t>
      </w:r>
      <w:r w:rsidR="001B200E" w:rsidRPr="00BC1AFF">
        <w:t xml:space="preserve"> are </w:t>
      </w:r>
      <w:r w:rsidR="00185F50" w:rsidRPr="00BC1AFF">
        <w:t xml:space="preserve">scheduled in advance and </w:t>
      </w:r>
      <w:r w:rsidR="001B200E" w:rsidRPr="00BC1AFF">
        <w:t>performed so assets ca</w:t>
      </w:r>
      <w:r w:rsidR="00127E1F" w:rsidRPr="00BC1AFF">
        <w:t xml:space="preserve">n remain functional for as long as possible without unplanned downtime.  Scheduled </w:t>
      </w:r>
      <w:r w:rsidR="007C491E" w:rsidRPr="00BC1AFF">
        <w:t>Maintenance</w:t>
      </w:r>
      <w:r w:rsidR="00127E1F" w:rsidRPr="00BC1AFF">
        <w:t xml:space="preserve"> is determined by </w:t>
      </w:r>
      <w:r w:rsidR="00185F50" w:rsidRPr="00BC1AFF">
        <w:t xml:space="preserve">us based on </w:t>
      </w:r>
      <w:r w:rsidR="00127E1F" w:rsidRPr="00BC1AFF">
        <w:t>maintenance triggers including time, usage, event and condition.</w:t>
      </w:r>
      <w:r w:rsidRPr="00BC1AFF">
        <w:t xml:space="preserve"> </w:t>
      </w:r>
    </w:p>
    <w:p w14:paraId="0054784E" w14:textId="12BE9BB6" w:rsidR="005B6550" w:rsidRPr="00BC1AFF" w:rsidRDefault="005B6550" w:rsidP="003A620A">
      <w:pPr>
        <w:ind w:left="709"/>
      </w:pPr>
      <w:r w:rsidRPr="00BC1AFF">
        <w:rPr>
          <w:b/>
        </w:rPr>
        <w:t>Service Description (SD) or Managed Service Description (MSD)</w:t>
      </w:r>
      <w:r w:rsidRPr="00BC1AFF">
        <w:t xml:space="preserve"> </w:t>
      </w:r>
      <w:r w:rsidR="000A3BD5" w:rsidRPr="00BC1AFF">
        <w:t xml:space="preserve">has the meaning given to it in clause </w:t>
      </w:r>
      <w:r w:rsidR="000A3BD5" w:rsidRPr="00BC1AFF">
        <w:fldChar w:fldCharType="begin"/>
      </w:r>
      <w:r w:rsidR="000A3BD5" w:rsidRPr="00BC1AFF">
        <w:instrText xml:space="preserve"> REF _Ref130807445 \r \h </w:instrText>
      </w:r>
      <w:r w:rsidR="00586EE5" w:rsidRPr="00BC1AFF">
        <w:instrText xml:space="preserve"> \* MERGEFORMAT </w:instrText>
      </w:r>
      <w:r w:rsidR="000A3BD5" w:rsidRPr="00BC1AFF">
        <w:fldChar w:fldCharType="separate"/>
      </w:r>
      <w:r w:rsidR="00810AD0">
        <w:t>2.2</w:t>
      </w:r>
      <w:r w:rsidR="000A3BD5" w:rsidRPr="00BC1AFF">
        <w:fldChar w:fldCharType="end"/>
      </w:r>
      <w:r w:rsidR="00341044" w:rsidRPr="00BC1AFF">
        <w:t xml:space="preserve"> of this section of Our Customer Terms</w:t>
      </w:r>
      <w:r w:rsidR="000A3BD5" w:rsidRPr="00BC1AFF">
        <w:t xml:space="preserve">. </w:t>
      </w:r>
    </w:p>
    <w:p w14:paraId="36186482" w14:textId="51AA1C0B" w:rsidR="00D26F5E" w:rsidRPr="00BC1AFF" w:rsidRDefault="11C959CE" w:rsidP="003A620A">
      <w:pPr>
        <w:ind w:left="709"/>
        <w:rPr>
          <w:szCs w:val="20"/>
        </w:rPr>
      </w:pPr>
      <w:r w:rsidRPr="00BC1AFF">
        <w:rPr>
          <w:rStyle w:val="Strong"/>
          <w:szCs w:val="20"/>
        </w:rPr>
        <w:t xml:space="preserve">Service Levels </w:t>
      </w:r>
      <w:r w:rsidRPr="00BC1AFF">
        <w:rPr>
          <w:szCs w:val="20"/>
        </w:rPr>
        <w:t xml:space="preserve">means the service levels (if any) for your </w:t>
      </w:r>
      <w:r w:rsidR="402DFC9A" w:rsidRPr="00BC1AFF">
        <w:rPr>
          <w:szCs w:val="20"/>
        </w:rPr>
        <w:t>Telstra Purple Managed Services</w:t>
      </w:r>
      <w:r w:rsidRPr="00BC1AFF">
        <w:rPr>
          <w:szCs w:val="20"/>
        </w:rPr>
        <w:t xml:space="preserve"> specified in </w:t>
      </w:r>
      <w:r w:rsidR="7BA76891" w:rsidRPr="00BC1AFF">
        <w:rPr>
          <w:szCs w:val="20"/>
        </w:rPr>
        <w:t xml:space="preserve">this </w:t>
      </w:r>
      <w:r w:rsidR="1105BCBB" w:rsidRPr="00BC1AFF">
        <w:rPr>
          <w:szCs w:val="20"/>
        </w:rPr>
        <w:t xml:space="preserve">Telstra Purple Managed Services </w:t>
      </w:r>
      <w:r w:rsidR="1105BCBB" w:rsidRPr="00BC1AFF">
        <w:t>section</w:t>
      </w:r>
      <w:r w:rsidR="522CE605" w:rsidRPr="00BC1AFF">
        <w:rPr>
          <w:szCs w:val="20"/>
        </w:rPr>
        <w:t xml:space="preserve"> or MSD</w:t>
      </w:r>
      <w:r w:rsidR="00721003" w:rsidRPr="00BC1AFF">
        <w:rPr>
          <w:szCs w:val="20"/>
        </w:rPr>
        <w:t xml:space="preserve"> or SD</w:t>
      </w:r>
      <w:r w:rsidRPr="00BC1AFF">
        <w:rPr>
          <w:szCs w:val="20"/>
        </w:rPr>
        <w:t>.</w:t>
      </w:r>
    </w:p>
    <w:p w14:paraId="3160CBA9" w14:textId="10AA539B" w:rsidR="0041030C" w:rsidRPr="00BC1AFF" w:rsidRDefault="0041030C" w:rsidP="003A620A">
      <w:pPr>
        <w:ind w:left="709"/>
      </w:pPr>
      <w:r w:rsidRPr="00BC1AFF">
        <w:rPr>
          <w:b/>
        </w:rPr>
        <w:t>Service Management System</w:t>
      </w:r>
      <w:r w:rsidRPr="00BC1AFF">
        <w:t xml:space="preserve"> means platforms or applications we use to implement and deliver Telstra Purple Managed Services on behalf of customers</w:t>
      </w:r>
      <w:r w:rsidR="002E3901" w:rsidRPr="00BC1AFF">
        <w:t>.</w:t>
      </w:r>
    </w:p>
    <w:p w14:paraId="66C524EC" w14:textId="1164D345" w:rsidR="0041030C" w:rsidRPr="00BC1AFF" w:rsidRDefault="0041030C" w:rsidP="003A620A">
      <w:pPr>
        <w:ind w:left="709"/>
      </w:pPr>
      <w:r w:rsidRPr="00BC1AFF">
        <w:rPr>
          <w:b/>
        </w:rPr>
        <w:t>Service Request</w:t>
      </w:r>
      <w:r w:rsidRPr="00BC1AFF">
        <w:t xml:space="preserve"> means a request from a user or user’s authorised representative for information, advice, a Standard Change or access to a service</w:t>
      </w:r>
      <w:r w:rsidR="002E3901" w:rsidRPr="00BC1AFF">
        <w:t>.</w:t>
      </w:r>
    </w:p>
    <w:p w14:paraId="0E8AB39C" w14:textId="0C212615" w:rsidR="00D26F5E" w:rsidRPr="00BC1AFF" w:rsidDel="00D1757B" w:rsidRDefault="11C959CE" w:rsidP="003A620A">
      <w:pPr>
        <w:ind w:left="709"/>
        <w:rPr>
          <w:szCs w:val="20"/>
        </w:rPr>
      </w:pPr>
      <w:r w:rsidRPr="00BC1AFF">
        <w:rPr>
          <w:rStyle w:val="Strong"/>
          <w:szCs w:val="20"/>
        </w:rPr>
        <w:t xml:space="preserve">Term </w:t>
      </w:r>
      <w:r w:rsidRPr="00BC1AFF">
        <w:rPr>
          <w:szCs w:val="20"/>
        </w:rPr>
        <w:t xml:space="preserve">means the term of the </w:t>
      </w:r>
      <w:r w:rsidR="402DFC9A" w:rsidRPr="00BC1AFF">
        <w:rPr>
          <w:szCs w:val="20"/>
        </w:rPr>
        <w:t xml:space="preserve">Telstra Purple </w:t>
      </w:r>
      <w:r w:rsidR="402DFC9A" w:rsidRPr="00BC1AFF">
        <w:t>Managed</w:t>
      </w:r>
      <w:r w:rsidR="402DFC9A" w:rsidRPr="00BC1AFF">
        <w:rPr>
          <w:szCs w:val="20"/>
        </w:rPr>
        <w:t xml:space="preserve"> Services</w:t>
      </w:r>
      <w:r w:rsidRPr="00BC1AFF">
        <w:rPr>
          <w:szCs w:val="20"/>
        </w:rPr>
        <w:t xml:space="preserve"> as </w:t>
      </w:r>
      <w:r w:rsidR="63A42F37" w:rsidRPr="00BC1AFF">
        <w:rPr>
          <w:szCs w:val="20"/>
        </w:rPr>
        <w:t xml:space="preserve">described in </w:t>
      </w:r>
      <w:r w:rsidRPr="00BC1AFF">
        <w:rPr>
          <w:szCs w:val="20"/>
        </w:rPr>
        <w:t xml:space="preserve">clause </w:t>
      </w:r>
      <w:r w:rsidR="00764F39" w:rsidRPr="00BC1AFF">
        <w:rPr>
          <w:szCs w:val="20"/>
        </w:rPr>
        <w:t>20</w:t>
      </w:r>
      <w:r w:rsidR="0175D36F" w:rsidRPr="00BC1AFF">
        <w:rPr>
          <w:szCs w:val="20"/>
        </w:rPr>
        <w:t>.</w:t>
      </w:r>
      <w:r w:rsidR="00D26F5E" w:rsidRPr="00BC1AFF">
        <w:tab/>
      </w:r>
    </w:p>
    <w:p w14:paraId="691E48E4" w14:textId="5C9B6B51" w:rsidR="7EAFBB86" w:rsidRPr="00BC1AFF" w:rsidRDefault="7EAFBB86" w:rsidP="003A620A">
      <w:pPr>
        <w:ind w:left="709"/>
      </w:pPr>
      <w:r w:rsidRPr="00BC1AFF">
        <w:rPr>
          <w:b/>
        </w:rPr>
        <w:t>Vendor</w:t>
      </w:r>
      <w:r w:rsidR="495DF02C" w:rsidRPr="00BC1AFF">
        <w:t xml:space="preserve"> means </w:t>
      </w:r>
      <w:r w:rsidR="00755F59" w:rsidRPr="00BC1AFF">
        <w:t xml:space="preserve">a </w:t>
      </w:r>
      <w:r w:rsidR="495DF02C" w:rsidRPr="00BC1AFF">
        <w:t>third party supplier of a platform, s</w:t>
      </w:r>
      <w:r w:rsidR="7C18870A" w:rsidRPr="00BC1AFF">
        <w:t>ervice</w:t>
      </w:r>
      <w:r w:rsidR="495DF02C" w:rsidRPr="00BC1AFF">
        <w:t xml:space="preserve"> or application</w:t>
      </w:r>
      <w:r w:rsidR="00755F59" w:rsidRPr="00BC1AFF">
        <w:t xml:space="preserve"> </w:t>
      </w:r>
      <w:r w:rsidR="00CD6D4A" w:rsidRPr="00BC1AFF">
        <w:t>in your IT Environment</w:t>
      </w:r>
      <w:r w:rsidR="00AB7765" w:rsidRPr="00BC1AFF">
        <w:t>s</w:t>
      </w:r>
      <w:r w:rsidR="00CD6D4A" w:rsidRPr="00BC1AFF">
        <w:t xml:space="preserve"> and Components </w:t>
      </w:r>
      <w:r w:rsidR="008B18CE" w:rsidRPr="00BC1AFF">
        <w:t>where the relationship is owned by either you or us</w:t>
      </w:r>
      <w:r w:rsidR="00CD6D4A" w:rsidRPr="00BC1AFF">
        <w:t>.</w:t>
      </w:r>
    </w:p>
    <w:p w14:paraId="5170F417" w14:textId="16710822" w:rsidR="009F5B04" w:rsidRPr="009F5B04" w:rsidRDefault="009F5B04" w:rsidP="003A620A">
      <w:pPr>
        <w:ind w:left="709"/>
      </w:pPr>
      <w:r w:rsidRPr="00BC1AFF">
        <w:rPr>
          <w:b/>
        </w:rPr>
        <w:t>Your Data</w:t>
      </w:r>
      <w:r w:rsidRPr="00BC1AFF">
        <w:t xml:space="preserve"> means the data that you store on, or transmit via, the Telstra Purple Hosting and Connectivity Services.</w:t>
      </w:r>
      <w:r>
        <w:t xml:space="preserve"> </w:t>
      </w:r>
    </w:p>
    <w:p w14:paraId="79EC1044" w14:textId="77777777" w:rsidR="00981E83" w:rsidRPr="00C56FE1" w:rsidRDefault="00981E83" w:rsidP="003A620A"/>
    <w:sectPr w:rsidR="00981E83" w:rsidRPr="00C56FE1" w:rsidSect="003448A6">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EEB1" w14:textId="77777777" w:rsidR="0058165F" w:rsidRDefault="0058165F">
      <w:r>
        <w:separator/>
      </w:r>
    </w:p>
    <w:p w14:paraId="7CEAA489" w14:textId="77777777" w:rsidR="0058165F" w:rsidRDefault="0058165F"/>
  </w:endnote>
  <w:endnote w:type="continuationSeparator" w:id="0">
    <w:p w14:paraId="1915869A" w14:textId="77777777" w:rsidR="0058165F" w:rsidRDefault="0058165F">
      <w:r>
        <w:continuationSeparator/>
      </w:r>
    </w:p>
    <w:p w14:paraId="69D97C3D" w14:textId="77777777" w:rsidR="0058165F" w:rsidRDefault="0058165F"/>
  </w:endnote>
  <w:endnote w:type="continuationNotice" w:id="1">
    <w:p w14:paraId="67DE1EB8" w14:textId="77777777" w:rsidR="0058165F" w:rsidRDefault="005816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uli">
    <w:altName w:val="Calibri"/>
    <w:charset w:val="00"/>
    <w:family w:val="auto"/>
    <w:pitch w:val="variable"/>
    <w:sig w:usb0="800000EF" w:usb1="4000204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elstra Akkurat">
    <w:panose1 w:val="020B0504020101020102"/>
    <w:charset w:val="00"/>
    <w:family w:val="swiss"/>
    <w:notTrueType/>
    <w:pitch w:val="variable"/>
    <w:sig w:usb0="A00000AF" w:usb1="4000316A" w:usb2="00000008"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3191" w14:textId="678C6A96" w:rsidR="00AB41F7" w:rsidRDefault="00F67D3F">
    <w:pPr>
      <w:pStyle w:val="Footer"/>
    </w:pPr>
    <w:r>
      <w:rPr>
        <w:noProof/>
      </w:rPr>
      <mc:AlternateContent>
        <mc:Choice Requires="wps">
          <w:drawing>
            <wp:anchor distT="0" distB="0" distL="0" distR="0" simplePos="0" relativeHeight="251658241" behindDoc="0" locked="0" layoutInCell="1" allowOverlap="1" wp14:anchorId="0175BDC6" wp14:editId="4A6DB06D">
              <wp:simplePos x="635" y="635"/>
              <wp:positionH relativeFrom="column">
                <wp:align>center</wp:align>
              </wp:positionH>
              <wp:positionV relativeFrom="paragraph">
                <wp:posOffset>635</wp:posOffset>
              </wp:positionV>
              <wp:extent cx="443865" cy="443865"/>
              <wp:effectExtent l="0" t="0" r="11430" b="16510"/>
              <wp:wrapSquare wrapText="bothSides"/>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3C9C3" w14:textId="67302D38" w:rsidR="00F67D3F" w:rsidRPr="00F67D3F" w:rsidRDefault="00F67D3F">
                          <w:pPr>
                            <w:rPr>
                              <w:rFonts w:ascii="Calibri" w:eastAsia="Calibri" w:hAnsi="Calibri" w:cs="Calibri"/>
                              <w:noProof/>
                              <w:color w:val="000000"/>
                              <w:szCs w:val="20"/>
                            </w:rPr>
                          </w:pPr>
                          <w:r w:rsidRPr="00F67D3F">
                            <w:rPr>
                              <w:rFonts w:ascii="Calibri" w:eastAsia="Calibri" w:hAnsi="Calibri" w:cs="Calibri"/>
                              <w:noProof/>
                              <w:color w:val="00000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75BDC6" id="_x0000_t202" coordsize="21600,21600" o:spt="202" path="m,l,21600r21600,l21600,xe">
              <v:stroke joinstyle="miter"/>
              <v:path gradientshapeok="t" o:connecttype="rect"/>
            </v:shapetype>
            <v:shape id="Text Box 6" o:spid="_x0000_s1026" type="#_x0000_t202" alt="&quot;&quot;"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913C9C3" w14:textId="67302D38" w:rsidR="00F67D3F" w:rsidRPr="00F67D3F" w:rsidRDefault="00F67D3F">
                    <w:pPr>
                      <w:rPr>
                        <w:rFonts w:ascii="Calibri" w:eastAsia="Calibri" w:hAnsi="Calibri" w:cs="Calibri"/>
                        <w:noProof/>
                        <w:color w:val="000000"/>
                        <w:szCs w:val="20"/>
                      </w:rPr>
                    </w:pPr>
                    <w:r w:rsidRPr="00F67D3F">
                      <w:rPr>
                        <w:rFonts w:ascii="Calibri" w:eastAsia="Calibri" w:hAnsi="Calibri" w:cs="Calibri"/>
                        <w:noProof/>
                        <w:color w:val="000000"/>
                        <w:szCs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3E81" w14:textId="77777777" w:rsidR="00802292" w:rsidRPr="00802292" w:rsidRDefault="00802292" w:rsidP="00802292">
    <w:pPr>
      <w:spacing w:after="0"/>
      <w:rPr>
        <w:sz w:val="16"/>
        <w:szCs w:val="16"/>
      </w:rPr>
    </w:pPr>
  </w:p>
  <w:tbl>
    <w:tblPr>
      <w:tblW w:w="5000" w:type="pct"/>
      <w:tblLook w:val="04A0" w:firstRow="1" w:lastRow="0" w:firstColumn="1" w:lastColumn="0" w:noHBand="0" w:noVBand="1"/>
    </w:tblPr>
    <w:tblGrid>
      <w:gridCol w:w="8712"/>
      <w:gridCol w:w="1492"/>
    </w:tblGrid>
    <w:tr w:rsidR="000F7423" w14:paraId="38C4D4F7" w14:textId="77777777" w:rsidTr="005B6550">
      <w:tc>
        <w:tcPr>
          <w:tcW w:w="4269" w:type="pct"/>
        </w:tcPr>
        <w:p w14:paraId="38C4D4F5" w14:textId="4A0FB391" w:rsidR="000F7423" w:rsidRDefault="0094214D" w:rsidP="00A924EF">
          <w:pPr>
            <w:pStyle w:val="DocName"/>
            <w:widowControl/>
            <w:rPr>
              <w:snapToGrid w:val="0"/>
            </w:rPr>
          </w:pPr>
          <w:r>
            <w:t>This section</w:t>
          </w:r>
          <w:r w:rsidR="000F7423">
            <w:t xml:space="preserve"> was last changed on</w:t>
          </w:r>
          <w:r w:rsidR="00D77D7C">
            <w:t xml:space="preserve"> </w:t>
          </w:r>
          <w:r w:rsidR="001727C0">
            <w:t>19 September 2025</w:t>
          </w:r>
          <w:r w:rsidR="000F7423">
            <w:t xml:space="preserve"> </w:t>
          </w:r>
        </w:p>
      </w:tc>
      <w:tc>
        <w:tcPr>
          <w:tcW w:w="731" w:type="pct"/>
        </w:tcPr>
        <w:p w14:paraId="38C4D4F6" w14:textId="41BB19C2" w:rsidR="000F7423" w:rsidRPr="001360F2" w:rsidRDefault="000F7423">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noProof/>
            </w:rPr>
            <w:t>9</w:t>
          </w:r>
          <w:r w:rsidRPr="001360F2">
            <w:rPr>
              <w:rStyle w:val="PageNumber"/>
            </w:rPr>
            <w:fldChar w:fldCharType="end"/>
          </w:r>
          <w:r w:rsidRPr="001360F2">
            <w:rPr>
              <w:rStyle w:val="PageNumber"/>
            </w:rPr>
            <w:t xml:space="preserve"> of </w:t>
          </w:r>
          <w:r w:rsidRPr="00E92B45">
            <w:rPr>
              <w:sz w:val="16"/>
              <w:szCs w:val="16"/>
            </w:rPr>
            <w:fldChar w:fldCharType="begin"/>
          </w:r>
          <w:r w:rsidRPr="00E92B45">
            <w:rPr>
              <w:sz w:val="16"/>
              <w:szCs w:val="16"/>
            </w:rPr>
            <w:instrText xml:space="preserve"> NUMPAGES  \* Arabic \*MERGEFORMAT </w:instrText>
          </w:r>
          <w:r w:rsidRPr="00E92B45">
            <w:rPr>
              <w:sz w:val="16"/>
              <w:szCs w:val="16"/>
            </w:rPr>
            <w:fldChar w:fldCharType="separate"/>
          </w:r>
          <w:r>
            <w:rPr>
              <w:noProof/>
              <w:sz w:val="16"/>
              <w:szCs w:val="16"/>
            </w:rPr>
            <w:t>21</w:t>
          </w:r>
          <w:r w:rsidRPr="00E92B45">
            <w:rPr>
              <w:noProof/>
              <w:sz w:val="16"/>
              <w:szCs w:val="16"/>
            </w:rPr>
            <w:fldChar w:fldCharType="end"/>
          </w:r>
        </w:p>
      </w:tc>
    </w:tr>
  </w:tbl>
  <w:p w14:paraId="38C4D4F8" w14:textId="66568E0E" w:rsidR="000F7423" w:rsidRPr="003A620A" w:rsidRDefault="000F7423" w:rsidP="00027C14">
    <w:pPr>
      <w:rPr>
        <w:rFonts w:ascii="Tahoma" w:hAnsi="Tahoma" w:cs="Tahoma"/>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5621" w14:textId="44431D0D" w:rsidR="00AB41F7" w:rsidRDefault="00F67D3F">
    <w:pPr>
      <w:pStyle w:val="Footer"/>
    </w:pPr>
    <w:r>
      <w:rPr>
        <w:noProof/>
      </w:rPr>
      <mc:AlternateContent>
        <mc:Choice Requires="wps">
          <w:drawing>
            <wp:anchor distT="0" distB="0" distL="0" distR="0" simplePos="0" relativeHeight="251658240" behindDoc="0" locked="0" layoutInCell="1" allowOverlap="1" wp14:anchorId="464E0192" wp14:editId="04B13E36">
              <wp:simplePos x="635" y="635"/>
              <wp:positionH relativeFrom="column">
                <wp:align>center</wp:align>
              </wp:positionH>
              <wp:positionV relativeFrom="paragraph">
                <wp:posOffset>635</wp:posOffset>
              </wp:positionV>
              <wp:extent cx="443865" cy="443865"/>
              <wp:effectExtent l="0" t="0" r="11430" b="16510"/>
              <wp:wrapSquare wrapText="bothSides"/>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6AA63" w14:textId="71936A29" w:rsidR="00F67D3F" w:rsidRPr="00F67D3F" w:rsidRDefault="00F67D3F">
                          <w:pPr>
                            <w:rPr>
                              <w:rFonts w:ascii="Calibri" w:eastAsia="Calibri" w:hAnsi="Calibri" w:cs="Calibri"/>
                              <w:noProof/>
                              <w:color w:val="000000"/>
                              <w:szCs w:val="20"/>
                            </w:rPr>
                          </w:pPr>
                          <w:r w:rsidRPr="00F67D3F">
                            <w:rPr>
                              <w:rFonts w:ascii="Calibri" w:eastAsia="Calibri" w:hAnsi="Calibri" w:cs="Calibri"/>
                              <w:noProof/>
                              <w:color w:val="00000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4E0192" id="_x0000_t202" coordsize="21600,21600" o:spt="202" path="m,l,21600r21600,l21600,xe">
              <v:stroke joinstyle="miter"/>
              <v:path gradientshapeok="t" o:connecttype="rect"/>
            </v:shapetype>
            <v:shape id="Text Box 5" o:spid="_x0000_s1027" type="#_x0000_t202" alt="&quot;&quot;"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516AA63" w14:textId="71936A29" w:rsidR="00F67D3F" w:rsidRPr="00F67D3F" w:rsidRDefault="00F67D3F">
                    <w:pPr>
                      <w:rPr>
                        <w:rFonts w:ascii="Calibri" w:eastAsia="Calibri" w:hAnsi="Calibri" w:cs="Calibri"/>
                        <w:noProof/>
                        <w:color w:val="000000"/>
                        <w:szCs w:val="20"/>
                      </w:rPr>
                    </w:pPr>
                    <w:r w:rsidRPr="00F67D3F">
                      <w:rPr>
                        <w:rFonts w:ascii="Calibri" w:eastAsia="Calibri" w:hAnsi="Calibri" w:cs="Calibri"/>
                        <w:noProof/>
                        <w:color w:val="000000"/>
                        <w:szCs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94A2" w14:textId="77777777" w:rsidR="0058165F" w:rsidRDefault="0058165F">
      <w:r>
        <w:separator/>
      </w:r>
    </w:p>
    <w:p w14:paraId="7DA0E7C2" w14:textId="77777777" w:rsidR="0058165F" w:rsidRDefault="0058165F"/>
  </w:footnote>
  <w:footnote w:type="continuationSeparator" w:id="0">
    <w:p w14:paraId="0054BE71" w14:textId="77777777" w:rsidR="0058165F" w:rsidRDefault="0058165F">
      <w:r>
        <w:continuationSeparator/>
      </w:r>
    </w:p>
    <w:p w14:paraId="4E1AB33E" w14:textId="77777777" w:rsidR="0058165F" w:rsidRDefault="0058165F"/>
  </w:footnote>
  <w:footnote w:type="continuationNotice" w:id="1">
    <w:p w14:paraId="503CBE9F" w14:textId="77777777" w:rsidR="0058165F" w:rsidRDefault="005816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D4F2" w14:textId="7DF3EA0F" w:rsidR="000F7423" w:rsidRDefault="000F7423" w:rsidP="00F43164">
    <w:pPr>
      <w:pStyle w:val="Header"/>
    </w:pPr>
    <w:r>
      <w:t>Our Customer Terms</w:t>
    </w:r>
  </w:p>
  <w:p w14:paraId="38C4D4F3" w14:textId="6C7751D7" w:rsidR="000F7423" w:rsidRDefault="00EF1D5C" w:rsidP="00F43164">
    <w:pPr>
      <w:pStyle w:val="Header"/>
      <w:rPr>
        <w:noProof/>
        <w:lang w:eastAsia="en-AU"/>
      </w:rPr>
    </w:pPr>
    <w:r>
      <w:t>TELSTRA PURPLE MANAGED SERVICES</w:t>
    </w:r>
  </w:p>
  <w:p w14:paraId="00E97347" w14:textId="77777777" w:rsidR="000F7423" w:rsidRDefault="000F7423" w:rsidP="009F5093">
    <w:pPr>
      <w:pStyle w:val="Header"/>
      <w:ind w:left="2127"/>
    </w:pPr>
  </w:p>
  <w:p w14:paraId="38C4D4F4" w14:textId="77777777" w:rsidR="000F7423" w:rsidRDefault="000F7423" w:rsidP="002A4572"/>
</w:hdr>
</file>

<file path=word/intelligence2.xml><?xml version="1.0" encoding="utf-8"?>
<int2:intelligence xmlns:int2="http://schemas.microsoft.com/office/intelligence/2020/intelligence" xmlns:oel="http://schemas.microsoft.com/office/2019/extlst">
  <int2:observations>
    <int2:bookmark int2:bookmarkName="_Int_ZZSXxNAO" int2:invalidationBookmarkName="" int2:hashCode="CXBsQYgJ8fTP2p" int2:id="tEFSQYv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8752B846"/>
    <w:lvl w:ilvl="0">
      <w:start w:val="1"/>
      <w:numFmt w:val="decimal"/>
      <w:pStyle w:val="Heading1"/>
      <w:lvlText w:val="%1"/>
      <w:lvlJc w:val="left"/>
      <w:pPr>
        <w:tabs>
          <w:tab w:val="num" w:pos="4707"/>
        </w:tabs>
        <w:ind w:left="4707" w:hanging="737"/>
      </w:pPr>
    </w:lvl>
    <w:lvl w:ilvl="1">
      <w:start w:val="1"/>
      <w:numFmt w:val="decimal"/>
      <w:pStyle w:val="Heading2"/>
      <w:lvlText w:val="%1.%2"/>
      <w:lvlJc w:val="left"/>
      <w:pPr>
        <w:tabs>
          <w:tab w:val="num" w:pos="879"/>
        </w:tabs>
        <w:ind w:left="879" w:hanging="737"/>
      </w:pPr>
      <w:rPr>
        <w:b w:val="0"/>
        <w:bCs/>
        <w:strike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76E1A42"/>
    <w:multiLevelType w:val="multilevel"/>
    <w:tmpl w:val="7AD814D8"/>
    <w:name w:val="ScheduleListNum"/>
    <w:lvl w:ilvl="0">
      <w:start w:val="1"/>
      <w:numFmt w:val="decimal"/>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6" w15:restartNumberingAfterBreak="0">
    <w:nsid w:val="4B117CE9"/>
    <w:multiLevelType w:val="hybridMultilevel"/>
    <w:tmpl w:val="18A4C9AA"/>
    <w:lvl w:ilvl="0" w:tplc="FFFFFFFF">
      <w:start w:val="1"/>
      <w:numFmt w:val="lowerLetter"/>
      <w:lvlText w:val="(%1)"/>
      <w:lvlJc w:val="left"/>
      <w:pPr>
        <w:ind w:left="2182" w:hanging="1474"/>
      </w:pPr>
      <w:rPr>
        <w:rFonts w:hint="default"/>
      </w:rPr>
    </w:lvl>
    <w:lvl w:ilvl="1" w:tplc="FFFFFFFF" w:tentative="1">
      <w:start w:val="1"/>
      <w:numFmt w:val="bullet"/>
      <w:lvlText w:val="o"/>
      <w:lvlJc w:val="left"/>
      <w:pPr>
        <w:ind w:left="2193" w:hanging="360"/>
      </w:pPr>
      <w:rPr>
        <w:rFonts w:ascii="Courier New" w:hAnsi="Courier New" w:cs="Courier New" w:hint="default"/>
      </w:rPr>
    </w:lvl>
    <w:lvl w:ilvl="2" w:tplc="FFFFFFFF" w:tentative="1">
      <w:start w:val="1"/>
      <w:numFmt w:val="bullet"/>
      <w:lvlText w:val=""/>
      <w:lvlJc w:val="left"/>
      <w:pPr>
        <w:ind w:left="2913" w:hanging="360"/>
      </w:pPr>
      <w:rPr>
        <w:rFonts w:ascii="Wingdings" w:hAnsi="Wingdings" w:hint="default"/>
      </w:rPr>
    </w:lvl>
    <w:lvl w:ilvl="3" w:tplc="FFFFFFFF" w:tentative="1">
      <w:start w:val="1"/>
      <w:numFmt w:val="bullet"/>
      <w:lvlText w:val=""/>
      <w:lvlJc w:val="left"/>
      <w:pPr>
        <w:ind w:left="3633" w:hanging="360"/>
      </w:pPr>
      <w:rPr>
        <w:rFonts w:ascii="Symbol" w:hAnsi="Symbol" w:hint="default"/>
      </w:rPr>
    </w:lvl>
    <w:lvl w:ilvl="4" w:tplc="FFFFFFFF" w:tentative="1">
      <w:start w:val="1"/>
      <w:numFmt w:val="bullet"/>
      <w:lvlText w:val="o"/>
      <w:lvlJc w:val="left"/>
      <w:pPr>
        <w:ind w:left="4353" w:hanging="360"/>
      </w:pPr>
      <w:rPr>
        <w:rFonts w:ascii="Courier New" w:hAnsi="Courier New" w:cs="Courier New" w:hint="default"/>
      </w:rPr>
    </w:lvl>
    <w:lvl w:ilvl="5" w:tplc="FFFFFFFF" w:tentative="1">
      <w:start w:val="1"/>
      <w:numFmt w:val="bullet"/>
      <w:lvlText w:val=""/>
      <w:lvlJc w:val="left"/>
      <w:pPr>
        <w:ind w:left="5073" w:hanging="360"/>
      </w:pPr>
      <w:rPr>
        <w:rFonts w:ascii="Wingdings" w:hAnsi="Wingdings" w:hint="default"/>
      </w:rPr>
    </w:lvl>
    <w:lvl w:ilvl="6" w:tplc="FFFFFFFF" w:tentative="1">
      <w:start w:val="1"/>
      <w:numFmt w:val="bullet"/>
      <w:lvlText w:val=""/>
      <w:lvlJc w:val="left"/>
      <w:pPr>
        <w:ind w:left="5793" w:hanging="360"/>
      </w:pPr>
      <w:rPr>
        <w:rFonts w:ascii="Symbol" w:hAnsi="Symbol" w:hint="default"/>
      </w:rPr>
    </w:lvl>
    <w:lvl w:ilvl="7" w:tplc="FFFFFFFF" w:tentative="1">
      <w:start w:val="1"/>
      <w:numFmt w:val="bullet"/>
      <w:lvlText w:val="o"/>
      <w:lvlJc w:val="left"/>
      <w:pPr>
        <w:ind w:left="6513" w:hanging="360"/>
      </w:pPr>
      <w:rPr>
        <w:rFonts w:ascii="Courier New" w:hAnsi="Courier New" w:cs="Courier New" w:hint="default"/>
      </w:rPr>
    </w:lvl>
    <w:lvl w:ilvl="8" w:tplc="FFFFFFFF" w:tentative="1">
      <w:start w:val="1"/>
      <w:numFmt w:val="bullet"/>
      <w:lvlText w:val=""/>
      <w:lvlJc w:val="left"/>
      <w:pPr>
        <w:ind w:left="7233" w:hanging="360"/>
      </w:pPr>
      <w:rPr>
        <w:rFonts w:ascii="Wingdings" w:hAnsi="Wingdings" w:hint="default"/>
      </w:rPr>
    </w:lvl>
  </w:abstractNum>
  <w:abstractNum w:abstractNumId="7"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8"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4F71CB3"/>
    <w:multiLevelType w:val="hybridMultilevel"/>
    <w:tmpl w:val="FFFFFFFF"/>
    <w:lvl w:ilvl="0" w:tplc="9EFEF358">
      <w:numFmt w:val="none"/>
      <w:lvlText w:val=""/>
      <w:lvlJc w:val="left"/>
      <w:pPr>
        <w:tabs>
          <w:tab w:val="num" w:pos="360"/>
        </w:tabs>
      </w:pPr>
    </w:lvl>
    <w:lvl w:ilvl="1" w:tplc="1070169A">
      <w:start w:val="1"/>
      <w:numFmt w:val="lowerLetter"/>
      <w:pStyle w:val="VMTTSDNumbered"/>
      <w:lvlText w:val="%2."/>
      <w:lvlJc w:val="left"/>
      <w:pPr>
        <w:ind w:left="1440" w:hanging="360"/>
      </w:pPr>
    </w:lvl>
    <w:lvl w:ilvl="2" w:tplc="56823754">
      <w:start w:val="1"/>
      <w:numFmt w:val="lowerRoman"/>
      <w:lvlText w:val="%3."/>
      <w:lvlJc w:val="right"/>
      <w:pPr>
        <w:ind w:left="2160" w:hanging="180"/>
      </w:pPr>
    </w:lvl>
    <w:lvl w:ilvl="3" w:tplc="050E3024">
      <w:start w:val="1"/>
      <w:numFmt w:val="decimal"/>
      <w:lvlText w:val="%4."/>
      <w:lvlJc w:val="left"/>
      <w:pPr>
        <w:ind w:left="2880" w:hanging="360"/>
      </w:pPr>
    </w:lvl>
    <w:lvl w:ilvl="4" w:tplc="2A00BFFC">
      <w:start w:val="1"/>
      <w:numFmt w:val="lowerLetter"/>
      <w:lvlText w:val="%5."/>
      <w:lvlJc w:val="left"/>
      <w:pPr>
        <w:ind w:left="3600" w:hanging="360"/>
      </w:pPr>
    </w:lvl>
    <w:lvl w:ilvl="5" w:tplc="B5900686">
      <w:start w:val="1"/>
      <w:numFmt w:val="lowerRoman"/>
      <w:lvlText w:val="%6."/>
      <w:lvlJc w:val="right"/>
      <w:pPr>
        <w:ind w:left="4320" w:hanging="180"/>
      </w:pPr>
    </w:lvl>
    <w:lvl w:ilvl="6" w:tplc="8F149B98">
      <w:start w:val="1"/>
      <w:numFmt w:val="decimal"/>
      <w:lvlText w:val="%7."/>
      <w:lvlJc w:val="left"/>
      <w:pPr>
        <w:ind w:left="5040" w:hanging="360"/>
      </w:pPr>
    </w:lvl>
    <w:lvl w:ilvl="7" w:tplc="882A381C">
      <w:start w:val="1"/>
      <w:numFmt w:val="lowerLetter"/>
      <w:lvlText w:val="%8."/>
      <w:lvlJc w:val="left"/>
      <w:pPr>
        <w:ind w:left="5760" w:hanging="360"/>
      </w:pPr>
    </w:lvl>
    <w:lvl w:ilvl="8" w:tplc="00E23118">
      <w:start w:val="1"/>
      <w:numFmt w:val="lowerRoman"/>
      <w:lvlText w:val="%9."/>
      <w:lvlJc w:val="right"/>
      <w:pPr>
        <w:ind w:left="6480" w:hanging="180"/>
      </w:pPr>
    </w:lvl>
  </w:abstractNum>
  <w:num w:numId="1" w16cid:durableId="958991141">
    <w:abstractNumId w:val="9"/>
  </w:num>
  <w:num w:numId="2" w16cid:durableId="685522503">
    <w:abstractNumId w:val="0"/>
  </w:num>
  <w:num w:numId="3" w16cid:durableId="557058999">
    <w:abstractNumId w:val="3"/>
  </w:num>
  <w:num w:numId="4" w16cid:durableId="1007904513">
    <w:abstractNumId w:val="5"/>
  </w:num>
  <w:num w:numId="5" w16cid:durableId="194737945">
    <w:abstractNumId w:val="7"/>
  </w:num>
  <w:num w:numId="6" w16cid:durableId="1787400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16117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59379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576411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566116">
    <w:abstractNumId w:val="6"/>
  </w:num>
  <w:num w:numId="11" w16cid:durableId="1896964047">
    <w:abstractNumId w:val="0"/>
  </w:num>
  <w:num w:numId="12" w16cid:durableId="1770271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3472426">
    <w:abstractNumId w:val="0"/>
  </w:num>
  <w:num w:numId="14" w16cid:durableId="348072077">
    <w:abstractNumId w:val="0"/>
  </w:num>
  <w:num w:numId="15" w16cid:durableId="7657343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AwtjCwNLMwMDIxNzNU0lEKTi0uzszPAykwqgUApl159SwAAAA="/>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272E6A"/>
    <w:rsid w:val="00000516"/>
    <w:rsid w:val="0000140A"/>
    <w:rsid w:val="000027F2"/>
    <w:rsid w:val="00002EFE"/>
    <w:rsid w:val="000034A4"/>
    <w:rsid w:val="00003A00"/>
    <w:rsid w:val="00003B30"/>
    <w:rsid w:val="00003DF0"/>
    <w:rsid w:val="0000424C"/>
    <w:rsid w:val="00004F65"/>
    <w:rsid w:val="00005D01"/>
    <w:rsid w:val="000063BC"/>
    <w:rsid w:val="00006D11"/>
    <w:rsid w:val="000079A4"/>
    <w:rsid w:val="00010446"/>
    <w:rsid w:val="0001159E"/>
    <w:rsid w:val="0001249F"/>
    <w:rsid w:val="0001335F"/>
    <w:rsid w:val="00013FDE"/>
    <w:rsid w:val="00014419"/>
    <w:rsid w:val="00015229"/>
    <w:rsid w:val="00015446"/>
    <w:rsid w:val="000154DD"/>
    <w:rsid w:val="00015D45"/>
    <w:rsid w:val="00015DA1"/>
    <w:rsid w:val="000162D5"/>
    <w:rsid w:val="00016A2B"/>
    <w:rsid w:val="00017481"/>
    <w:rsid w:val="000174BB"/>
    <w:rsid w:val="000177BB"/>
    <w:rsid w:val="000203F2"/>
    <w:rsid w:val="00020BEF"/>
    <w:rsid w:val="000221CA"/>
    <w:rsid w:val="00022A81"/>
    <w:rsid w:val="00023C39"/>
    <w:rsid w:val="000246A3"/>
    <w:rsid w:val="00024C02"/>
    <w:rsid w:val="0002542B"/>
    <w:rsid w:val="00025FDD"/>
    <w:rsid w:val="00027C14"/>
    <w:rsid w:val="00027C2D"/>
    <w:rsid w:val="00027DB1"/>
    <w:rsid w:val="00027E00"/>
    <w:rsid w:val="000301E2"/>
    <w:rsid w:val="00030C45"/>
    <w:rsid w:val="00031E98"/>
    <w:rsid w:val="00032A1E"/>
    <w:rsid w:val="00033405"/>
    <w:rsid w:val="00033F87"/>
    <w:rsid w:val="000347F6"/>
    <w:rsid w:val="00035149"/>
    <w:rsid w:val="00035567"/>
    <w:rsid w:val="00035E55"/>
    <w:rsid w:val="00036CD2"/>
    <w:rsid w:val="00040F55"/>
    <w:rsid w:val="00041314"/>
    <w:rsid w:val="0004164D"/>
    <w:rsid w:val="00041DEF"/>
    <w:rsid w:val="00042225"/>
    <w:rsid w:val="00042F6A"/>
    <w:rsid w:val="00043118"/>
    <w:rsid w:val="000437CF"/>
    <w:rsid w:val="00043BB3"/>
    <w:rsid w:val="00043F68"/>
    <w:rsid w:val="000455C6"/>
    <w:rsid w:val="00045E99"/>
    <w:rsid w:val="00045F4A"/>
    <w:rsid w:val="00046257"/>
    <w:rsid w:val="00046731"/>
    <w:rsid w:val="000471A9"/>
    <w:rsid w:val="0005083F"/>
    <w:rsid w:val="00051103"/>
    <w:rsid w:val="0005332B"/>
    <w:rsid w:val="0005339C"/>
    <w:rsid w:val="000541DC"/>
    <w:rsid w:val="0005505B"/>
    <w:rsid w:val="000551B4"/>
    <w:rsid w:val="000551BF"/>
    <w:rsid w:val="0005560F"/>
    <w:rsid w:val="000564BE"/>
    <w:rsid w:val="00056BDB"/>
    <w:rsid w:val="0005759A"/>
    <w:rsid w:val="00057BB0"/>
    <w:rsid w:val="000605AF"/>
    <w:rsid w:val="000625D0"/>
    <w:rsid w:val="000630B6"/>
    <w:rsid w:val="000640E6"/>
    <w:rsid w:val="000648C5"/>
    <w:rsid w:val="0006549E"/>
    <w:rsid w:val="0006592A"/>
    <w:rsid w:val="0006680D"/>
    <w:rsid w:val="00066D3B"/>
    <w:rsid w:val="000675EA"/>
    <w:rsid w:val="0006764E"/>
    <w:rsid w:val="00070255"/>
    <w:rsid w:val="000708A8"/>
    <w:rsid w:val="00070F0A"/>
    <w:rsid w:val="00072148"/>
    <w:rsid w:val="00072764"/>
    <w:rsid w:val="000740E4"/>
    <w:rsid w:val="0007417F"/>
    <w:rsid w:val="00075435"/>
    <w:rsid w:val="00075454"/>
    <w:rsid w:val="000766A1"/>
    <w:rsid w:val="00076BB3"/>
    <w:rsid w:val="00076C6B"/>
    <w:rsid w:val="00077C8F"/>
    <w:rsid w:val="00077F71"/>
    <w:rsid w:val="000807A5"/>
    <w:rsid w:val="00082483"/>
    <w:rsid w:val="000837D5"/>
    <w:rsid w:val="00083B1F"/>
    <w:rsid w:val="000845B1"/>
    <w:rsid w:val="00084A35"/>
    <w:rsid w:val="000851A3"/>
    <w:rsid w:val="00085986"/>
    <w:rsid w:val="00085E9A"/>
    <w:rsid w:val="0008684C"/>
    <w:rsid w:val="00086982"/>
    <w:rsid w:val="00086C6C"/>
    <w:rsid w:val="00086CCA"/>
    <w:rsid w:val="000875D4"/>
    <w:rsid w:val="000912BD"/>
    <w:rsid w:val="00091564"/>
    <w:rsid w:val="00091648"/>
    <w:rsid w:val="00092061"/>
    <w:rsid w:val="00092531"/>
    <w:rsid w:val="000930F2"/>
    <w:rsid w:val="0009347E"/>
    <w:rsid w:val="00093A24"/>
    <w:rsid w:val="000945B3"/>
    <w:rsid w:val="00094623"/>
    <w:rsid w:val="000947F4"/>
    <w:rsid w:val="0009520B"/>
    <w:rsid w:val="000956E6"/>
    <w:rsid w:val="000969B3"/>
    <w:rsid w:val="00096C54"/>
    <w:rsid w:val="0009745E"/>
    <w:rsid w:val="000A07C8"/>
    <w:rsid w:val="000A07DB"/>
    <w:rsid w:val="000A09A2"/>
    <w:rsid w:val="000A194C"/>
    <w:rsid w:val="000A202E"/>
    <w:rsid w:val="000A210F"/>
    <w:rsid w:val="000A259C"/>
    <w:rsid w:val="000A2725"/>
    <w:rsid w:val="000A360F"/>
    <w:rsid w:val="000A3BD5"/>
    <w:rsid w:val="000A3C5B"/>
    <w:rsid w:val="000A404B"/>
    <w:rsid w:val="000A40D7"/>
    <w:rsid w:val="000A4572"/>
    <w:rsid w:val="000A5381"/>
    <w:rsid w:val="000A5572"/>
    <w:rsid w:val="000A612C"/>
    <w:rsid w:val="000A6A66"/>
    <w:rsid w:val="000A6DD7"/>
    <w:rsid w:val="000B00D4"/>
    <w:rsid w:val="000B0224"/>
    <w:rsid w:val="000B07CB"/>
    <w:rsid w:val="000B0E99"/>
    <w:rsid w:val="000B13B7"/>
    <w:rsid w:val="000B1943"/>
    <w:rsid w:val="000B1C23"/>
    <w:rsid w:val="000B1F93"/>
    <w:rsid w:val="000B204E"/>
    <w:rsid w:val="000B2111"/>
    <w:rsid w:val="000B237A"/>
    <w:rsid w:val="000B2D69"/>
    <w:rsid w:val="000B3396"/>
    <w:rsid w:val="000B40B0"/>
    <w:rsid w:val="000B42F5"/>
    <w:rsid w:val="000B443B"/>
    <w:rsid w:val="000B49B9"/>
    <w:rsid w:val="000B49FC"/>
    <w:rsid w:val="000B4CC8"/>
    <w:rsid w:val="000B5676"/>
    <w:rsid w:val="000B716A"/>
    <w:rsid w:val="000B7363"/>
    <w:rsid w:val="000C0301"/>
    <w:rsid w:val="000C0B19"/>
    <w:rsid w:val="000C0E6D"/>
    <w:rsid w:val="000C1CD9"/>
    <w:rsid w:val="000C1D2C"/>
    <w:rsid w:val="000C1F8B"/>
    <w:rsid w:val="000C228B"/>
    <w:rsid w:val="000C34B4"/>
    <w:rsid w:val="000C36D4"/>
    <w:rsid w:val="000C4278"/>
    <w:rsid w:val="000C4FFB"/>
    <w:rsid w:val="000C58EE"/>
    <w:rsid w:val="000C5B08"/>
    <w:rsid w:val="000C5E7A"/>
    <w:rsid w:val="000C7069"/>
    <w:rsid w:val="000C71A3"/>
    <w:rsid w:val="000C777D"/>
    <w:rsid w:val="000C7810"/>
    <w:rsid w:val="000D04C2"/>
    <w:rsid w:val="000D073B"/>
    <w:rsid w:val="000D0BA6"/>
    <w:rsid w:val="000D133C"/>
    <w:rsid w:val="000D177F"/>
    <w:rsid w:val="000D19C5"/>
    <w:rsid w:val="000D2D0A"/>
    <w:rsid w:val="000D379D"/>
    <w:rsid w:val="000D4779"/>
    <w:rsid w:val="000D4EB8"/>
    <w:rsid w:val="000D536E"/>
    <w:rsid w:val="000D5DD7"/>
    <w:rsid w:val="000D6D41"/>
    <w:rsid w:val="000D6DBC"/>
    <w:rsid w:val="000D7442"/>
    <w:rsid w:val="000D75D9"/>
    <w:rsid w:val="000D78A3"/>
    <w:rsid w:val="000E05A2"/>
    <w:rsid w:val="000E18B0"/>
    <w:rsid w:val="000E1D83"/>
    <w:rsid w:val="000E1FED"/>
    <w:rsid w:val="000E2141"/>
    <w:rsid w:val="000E22BA"/>
    <w:rsid w:val="000E37F3"/>
    <w:rsid w:val="000E382A"/>
    <w:rsid w:val="000E3E63"/>
    <w:rsid w:val="000E41FA"/>
    <w:rsid w:val="000E5438"/>
    <w:rsid w:val="000E5A0E"/>
    <w:rsid w:val="000E5E70"/>
    <w:rsid w:val="000E7100"/>
    <w:rsid w:val="000E74BA"/>
    <w:rsid w:val="000E7A47"/>
    <w:rsid w:val="000F0329"/>
    <w:rsid w:val="000F105A"/>
    <w:rsid w:val="000F2472"/>
    <w:rsid w:val="000F27C6"/>
    <w:rsid w:val="000F36E8"/>
    <w:rsid w:val="000F39ED"/>
    <w:rsid w:val="000F3A05"/>
    <w:rsid w:val="000F4000"/>
    <w:rsid w:val="000F4225"/>
    <w:rsid w:val="000F46F4"/>
    <w:rsid w:val="000F4C69"/>
    <w:rsid w:val="000F5530"/>
    <w:rsid w:val="000F59FB"/>
    <w:rsid w:val="000F6526"/>
    <w:rsid w:val="000F65AB"/>
    <w:rsid w:val="000F7423"/>
    <w:rsid w:val="000F78C8"/>
    <w:rsid w:val="000F7E4E"/>
    <w:rsid w:val="00101A1D"/>
    <w:rsid w:val="00102837"/>
    <w:rsid w:val="0010321E"/>
    <w:rsid w:val="0010428C"/>
    <w:rsid w:val="001054B4"/>
    <w:rsid w:val="001054D2"/>
    <w:rsid w:val="00106072"/>
    <w:rsid w:val="0010620B"/>
    <w:rsid w:val="001067D5"/>
    <w:rsid w:val="0010683F"/>
    <w:rsid w:val="00107E0F"/>
    <w:rsid w:val="00111CCB"/>
    <w:rsid w:val="00113496"/>
    <w:rsid w:val="001140FD"/>
    <w:rsid w:val="001166CD"/>
    <w:rsid w:val="001175D3"/>
    <w:rsid w:val="001202E4"/>
    <w:rsid w:val="001209A4"/>
    <w:rsid w:val="00120C89"/>
    <w:rsid w:val="00121526"/>
    <w:rsid w:val="00121A2D"/>
    <w:rsid w:val="00121B89"/>
    <w:rsid w:val="00121F7C"/>
    <w:rsid w:val="0012226C"/>
    <w:rsid w:val="0012283F"/>
    <w:rsid w:val="00122F7A"/>
    <w:rsid w:val="00123EC8"/>
    <w:rsid w:val="00124773"/>
    <w:rsid w:val="001248C9"/>
    <w:rsid w:val="00124C39"/>
    <w:rsid w:val="001252CA"/>
    <w:rsid w:val="00125555"/>
    <w:rsid w:val="001257F6"/>
    <w:rsid w:val="00126F95"/>
    <w:rsid w:val="001279C7"/>
    <w:rsid w:val="00127E1F"/>
    <w:rsid w:val="00130CED"/>
    <w:rsid w:val="00131529"/>
    <w:rsid w:val="00132041"/>
    <w:rsid w:val="00132212"/>
    <w:rsid w:val="00132585"/>
    <w:rsid w:val="00133881"/>
    <w:rsid w:val="0013451E"/>
    <w:rsid w:val="00134E98"/>
    <w:rsid w:val="00135F8B"/>
    <w:rsid w:val="001360F2"/>
    <w:rsid w:val="001364B2"/>
    <w:rsid w:val="0013653B"/>
    <w:rsid w:val="00136645"/>
    <w:rsid w:val="0013668D"/>
    <w:rsid w:val="00136BDF"/>
    <w:rsid w:val="00136EDF"/>
    <w:rsid w:val="0013757C"/>
    <w:rsid w:val="0013766D"/>
    <w:rsid w:val="00140A88"/>
    <w:rsid w:val="001411C2"/>
    <w:rsid w:val="001415C3"/>
    <w:rsid w:val="00141BFD"/>
    <w:rsid w:val="00142216"/>
    <w:rsid w:val="001424A8"/>
    <w:rsid w:val="00142F3A"/>
    <w:rsid w:val="001435E2"/>
    <w:rsid w:val="00143ABC"/>
    <w:rsid w:val="00144A06"/>
    <w:rsid w:val="00144EA8"/>
    <w:rsid w:val="0014540D"/>
    <w:rsid w:val="00145BFA"/>
    <w:rsid w:val="00147922"/>
    <w:rsid w:val="001506A6"/>
    <w:rsid w:val="00150982"/>
    <w:rsid w:val="0015184B"/>
    <w:rsid w:val="0015206F"/>
    <w:rsid w:val="00152688"/>
    <w:rsid w:val="0015472F"/>
    <w:rsid w:val="0015498B"/>
    <w:rsid w:val="00155036"/>
    <w:rsid w:val="001551CE"/>
    <w:rsid w:val="00155774"/>
    <w:rsid w:val="001571C9"/>
    <w:rsid w:val="001574B5"/>
    <w:rsid w:val="00157685"/>
    <w:rsid w:val="00160120"/>
    <w:rsid w:val="00160A8F"/>
    <w:rsid w:val="00161E25"/>
    <w:rsid w:val="00161FFC"/>
    <w:rsid w:val="001623D3"/>
    <w:rsid w:val="001626FF"/>
    <w:rsid w:val="00162B80"/>
    <w:rsid w:val="001634B5"/>
    <w:rsid w:val="001639E1"/>
    <w:rsid w:val="00163A29"/>
    <w:rsid w:val="00163C51"/>
    <w:rsid w:val="00164694"/>
    <w:rsid w:val="00164AC3"/>
    <w:rsid w:val="0016580A"/>
    <w:rsid w:val="00165EE3"/>
    <w:rsid w:val="00167680"/>
    <w:rsid w:val="00170883"/>
    <w:rsid w:val="00170A2F"/>
    <w:rsid w:val="00170AEB"/>
    <w:rsid w:val="00171166"/>
    <w:rsid w:val="001711F0"/>
    <w:rsid w:val="001712A4"/>
    <w:rsid w:val="00171754"/>
    <w:rsid w:val="001724B2"/>
    <w:rsid w:val="001727C0"/>
    <w:rsid w:val="001727E8"/>
    <w:rsid w:val="00172BC8"/>
    <w:rsid w:val="00173437"/>
    <w:rsid w:val="00174357"/>
    <w:rsid w:val="001749D7"/>
    <w:rsid w:val="001759B6"/>
    <w:rsid w:val="001769A7"/>
    <w:rsid w:val="00176A28"/>
    <w:rsid w:val="00177240"/>
    <w:rsid w:val="001776CF"/>
    <w:rsid w:val="00177789"/>
    <w:rsid w:val="00180262"/>
    <w:rsid w:val="00180576"/>
    <w:rsid w:val="0018069E"/>
    <w:rsid w:val="00180C8A"/>
    <w:rsid w:val="00181178"/>
    <w:rsid w:val="0018200E"/>
    <w:rsid w:val="00182522"/>
    <w:rsid w:val="00182F43"/>
    <w:rsid w:val="00184684"/>
    <w:rsid w:val="00184C62"/>
    <w:rsid w:val="00184F91"/>
    <w:rsid w:val="00185521"/>
    <w:rsid w:val="00185544"/>
    <w:rsid w:val="00185F50"/>
    <w:rsid w:val="0018670A"/>
    <w:rsid w:val="00187155"/>
    <w:rsid w:val="00187F4F"/>
    <w:rsid w:val="001901BE"/>
    <w:rsid w:val="00190F66"/>
    <w:rsid w:val="001929D9"/>
    <w:rsid w:val="001932B3"/>
    <w:rsid w:val="001934D5"/>
    <w:rsid w:val="00193511"/>
    <w:rsid w:val="00193546"/>
    <w:rsid w:val="00194458"/>
    <w:rsid w:val="00195413"/>
    <w:rsid w:val="0019637C"/>
    <w:rsid w:val="00196BD3"/>
    <w:rsid w:val="0019742C"/>
    <w:rsid w:val="001978D9"/>
    <w:rsid w:val="001979EE"/>
    <w:rsid w:val="00197C05"/>
    <w:rsid w:val="001A01A8"/>
    <w:rsid w:val="001A0CFE"/>
    <w:rsid w:val="001A266D"/>
    <w:rsid w:val="001A31D7"/>
    <w:rsid w:val="001A4EAA"/>
    <w:rsid w:val="001A5498"/>
    <w:rsid w:val="001A6C5A"/>
    <w:rsid w:val="001A6ED8"/>
    <w:rsid w:val="001A7082"/>
    <w:rsid w:val="001A784A"/>
    <w:rsid w:val="001B02EA"/>
    <w:rsid w:val="001B039D"/>
    <w:rsid w:val="001B104E"/>
    <w:rsid w:val="001B1B79"/>
    <w:rsid w:val="001B200E"/>
    <w:rsid w:val="001B2411"/>
    <w:rsid w:val="001B2735"/>
    <w:rsid w:val="001B44B7"/>
    <w:rsid w:val="001B466D"/>
    <w:rsid w:val="001B4C5A"/>
    <w:rsid w:val="001B5BB8"/>
    <w:rsid w:val="001B629D"/>
    <w:rsid w:val="001C01DA"/>
    <w:rsid w:val="001C3105"/>
    <w:rsid w:val="001C3B8F"/>
    <w:rsid w:val="001C3C24"/>
    <w:rsid w:val="001C3C50"/>
    <w:rsid w:val="001C3F84"/>
    <w:rsid w:val="001C4F4C"/>
    <w:rsid w:val="001C4F73"/>
    <w:rsid w:val="001C5618"/>
    <w:rsid w:val="001C5BE5"/>
    <w:rsid w:val="001C662D"/>
    <w:rsid w:val="001C77D5"/>
    <w:rsid w:val="001C7DC2"/>
    <w:rsid w:val="001D0246"/>
    <w:rsid w:val="001D16C6"/>
    <w:rsid w:val="001D1791"/>
    <w:rsid w:val="001D182F"/>
    <w:rsid w:val="001D20A0"/>
    <w:rsid w:val="001D264D"/>
    <w:rsid w:val="001D291A"/>
    <w:rsid w:val="001D2996"/>
    <w:rsid w:val="001D326A"/>
    <w:rsid w:val="001D34DA"/>
    <w:rsid w:val="001D34F6"/>
    <w:rsid w:val="001D35F7"/>
    <w:rsid w:val="001D39AF"/>
    <w:rsid w:val="001D3F56"/>
    <w:rsid w:val="001D43AD"/>
    <w:rsid w:val="001D44C1"/>
    <w:rsid w:val="001D5C4B"/>
    <w:rsid w:val="001D69C8"/>
    <w:rsid w:val="001D6A28"/>
    <w:rsid w:val="001D6E9A"/>
    <w:rsid w:val="001D7FB6"/>
    <w:rsid w:val="001D7FCA"/>
    <w:rsid w:val="001E1658"/>
    <w:rsid w:val="001E19D3"/>
    <w:rsid w:val="001E1C34"/>
    <w:rsid w:val="001E255F"/>
    <w:rsid w:val="001E2BE2"/>
    <w:rsid w:val="001E2FD6"/>
    <w:rsid w:val="001E43CC"/>
    <w:rsid w:val="001E4511"/>
    <w:rsid w:val="001E6933"/>
    <w:rsid w:val="001E7438"/>
    <w:rsid w:val="001E775A"/>
    <w:rsid w:val="001E7771"/>
    <w:rsid w:val="001E7DC6"/>
    <w:rsid w:val="001F046A"/>
    <w:rsid w:val="001F0949"/>
    <w:rsid w:val="001F0E63"/>
    <w:rsid w:val="001F281E"/>
    <w:rsid w:val="001F2D20"/>
    <w:rsid w:val="001F30E3"/>
    <w:rsid w:val="001F33D3"/>
    <w:rsid w:val="001F381E"/>
    <w:rsid w:val="001F4418"/>
    <w:rsid w:val="001F4947"/>
    <w:rsid w:val="001F57E1"/>
    <w:rsid w:val="001F64A9"/>
    <w:rsid w:val="001F6A0A"/>
    <w:rsid w:val="001F6CCB"/>
    <w:rsid w:val="001F6DC3"/>
    <w:rsid w:val="0020045D"/>
    <w:rsid w:val="0020053A"/>
    <w:rsid w:val="00201172"/>
    <w:rsid w:val="002011A3"/>
    <w:rsid w:val="00201281"/>
    <w:rsid w:val="00201563"/>
    <w:rsid w:val="00201822"/>
    <w:rsid w:val="00201FA0"/>
    <w:rsid w:val="002022AD"/>
    <w:rsid w:val="00202340"/>
    <w:rsid w:val="002023F7"/>
    <w:rsid w:val="00202A6D"/>
    <w:rsid w:val="002034A1"/>
    <w:rsid w:val="00203500"/>
    <w:rsid w:val="002038CB"/>
    <w:rsid w:val="0020447F"/>
    <w:rsid w:val="00204D96"/>
    <w:rsid w:val="002050EB"/>
    <w:rsid w:val="00205588"/>
    <w:rsid w:val="00205AEA"/>
    <w:rsid w:val="00205CF6"/>
    <w:rsid w:val="0020643F"/>
    <w:rsid w:val="002068D4"/>
    <w:rsid w:val="00207BD6"/>
    <w:rsid w:val="00207C89"/>
    <w:rsid w:val="00207F56"/>
    <w:rsid w:val="00210B95"/>
    <w:rsid w:val="00211111"/>
    <w:rsid w:val="00211FC7"/>
    <w:rsid w:val="00212DFE"/>
    <w:rsid w:val="00213760"/>
    <w:rsid w:val="00213BBD"/>
    <w:rsid w:val="00213CF5"/>
    <w:rsid w:val="00214108"/>
    <w:rsid w:val="00214E17"/>
    <w:rsid w:val="002157C8"/>
    <w:rsid w:val="002161E3"/>
    <w:rsid w:val="00216487"/>
    <w:rsid w:val="00216A32"/>
    <w:rsid w:val="00216EF8"/>
    <w:rsid w:val="002174C3"/>
    <w:rsid w:val="00217C58"/>
    <w:rsid w:val="00220C6D"/>
    <w:rsid w:val="00220E6F"/>
    <w:rsid w:val="00221156"/>
    <w:rsid w:val="0022169B"/>
    <w:rsid w:val="002221F4"/>
    <w:rsid w:val="002225FC"/>
    <w:rsid w:val="00222C9B"/>
    <w:rsid w:val="00223326"/>
    <w:rsid w:val="00223DCD"/>
    <w:rsid w:val="002243D3"/>
    <w:rsid w:val="00224F85"/>
    <w:rsid w:val="00224FDF"/>
    <w:rsid w:val="00225393"/>
    <w:rsid w:val="002256D5"/>
    <w:rsid w:val="00225A5C"/>
    <w:rsid w:val="00225C9F"/>
    <w:rsid w:val="0022654F"/>
    <w:rsid w:val="002305FC"/>
    <w:rsid w:val="002306AF"/>
    <w:rsid w:val="0023078B"/>
    <w:rsid w:val="0023245F"/>
    <w:rsid w:val="002337D5"/>
    <w:rsid w:val="002339B5"/>
    <w:rsid w:val="00235233"/>
    <w:rsid w:val="00235D50"/>
    <w:rsid w:val="002376B1"/>
    <w:rsid w:val="00240FCB"/>
    <w:rsid w:val="00241978"/>
    <w:rsid w:val="002419C0"/>
    <w:rsid w:val="00241C48"/>
    <w:rsid w:val="00241E5D"/>
    <w:rsid w:val="002424FF"/>
    <w:rsid w:val="00242780"/>
    <w:rsid w:val="00242906"/>
    <w:rsid w:val="00242D8F"/>
    <w:rsid w:val="002436A2"/>
    <w:rsid w:val="002436A9"/>
    <w:rsid w:val="00243BFF"/>
    <w:rsid w:val="0024453A"/>
    <w:rsid w:val="002455CA"/>
    <w:rsid w:val="0024563F"/>
    <w:rsid w:val="0024690E"/>
    <w:rsid w:val="00246E77"/>
    <w:rsid w:val="00250448"/>
    <w:rsid w:val="002519FA"/>
    <w:rsid w:val="00251E25"/>
    <w:rsid w:val="002526D6"/>
    <w:rsid w:val="00252981"/>
    <w:rsid w:val="00252DFF"/>
    <w:rsid w:val="002530D5"/>
    <w:rsid w:val="00253F9D"/>
    <w:rsid w:val="002551E7"/>
    <w:rsid w:val="00256149"/>
    <w:rsid w:val="0025675E"/>
    <w:rsid w:val="00256A31"/>
    <w:rsid w:val="0025718D"/>
    <w:rsid w:val="002579E4"/>
    <w:rsid w:val="00257CB6"/>
    <w:rsid w:val="00257F49"/>
    <w:rsid w:val="00260B01"/>
    <w:rsid w:val="002618AA"/>
    <w:rsid w:val="00261BA5"/>
    <w:rsid w:val="002620AF"/>
    <w:rsid w:val="002621E7"/>
    <w:rsid w:val="002625DA"/>
    <w:rsid w:val="00262AEA"/>
    <w:rsid w:val="0026377A"/>
    <w:rsid w:val="002637D0"/>
    <w:rsid w:val="00263931"/>
    <w:rsid w:val="002640C9"/>
    <w:rsid w:val="002640EF"/>
    <w:rsid w:val="002642D1"/>
    <w:rsid w:val="00265E1A"/>
    <w:rsid w:val="002672FA"/>
    <w:rsid w:val="002674B9"/>
    <w:rsid w:val="0027043F"/>
    <w:rsid w:val="0027061B"/>
    <w:rsid w:val="0027097C"/>
    <w:rsid w:val="00271312"/>
    <w:rsid w:val="00271676"/>
    <w:rsid w:val="00271AE6"/>
    <w:rsid w:val="00271CE3"/>
    <w:rsid w:val="00272113"/>
    <w:rsid w:val="00272E6A"/>
    <w:rsid w:val="0027330D"/>
    <w:rsid w:val="002737D3"/>
    <w:rsid w:val="00274F4A"/>
    <w:rsid w:val="00275503"/>
    <w:rsid w:val="00275F66"/>
    <w:rsid w:val="002765C5"/>
    <w:rsid w:val="00276802"/>
    <w:rsid w:val="00276CD5"/>
    <w:rsid w:val="0027738D"/>
    <w:rsid w:val="00277547"/>
    <w:rsid w:val="00281819"/>
    <w:rsid w:val="00281F43"/>
    <w:rsid w:val="002831D4"/>
    <w:rsid w:val="00283218"/>
    <w:rsid w:val="00284893"/>
    <w:rsid w:val="00284FC4"/>
    <w:rsid w:val="002854AF"/>
    <w:rsid w:val="0028601B"/>
    <w:rsid w:val="00286551"/>
    <w:rsid w:val="00286F2E"/>
    <w:rsid w:val="00287F3B"/>
    <w:rsid w:val="002908DA"/>
    <w:rsid w:val="002912D0"/>
    <w:rsid w:val="00292C4F"/>
    <w:rsid w:val="00292DED"/>
    <w:rsid w:val="00293154"/>
    <w:rsid w:val="002932DF"/>
    <w:rsid w:val="002946B1"/>
    <w:rsid w:val="00294C4E"/>
    <w:rsid w:val="00294ED3"/>
    <w:rsid w:val="00294EE4"/>
    <w:rsid w:val="002951D3"/>
    <w:rsid w:val="002957FB"/>
    <w:rsid w:val="00295D99"/>
    <w:rsid w:val="00296FBE"/>
    <w:rsid w:val="00297043"/>
    <w:rsid w:val="00297296"/>
    <w:rsid w:val="00297404"/>
    <w:rsid w:val="00297416"/>
    <w:rsid w:val="0029789A"/>
    <w:rsid w:val="002A00A1"/>
    <w:rsid w:val="002A06E1"/>
    <w:rsid w:val="002A27D0"/>
    <w:rsid w:val="002A333C"/>
    <w:rsid w:val="002A3C5D"/>
    <w:rsid w:val="002A3DBF"/>
    <w:rsid w:val="002A42A8"/>
    <w:rsid w:val="002A4572"/>
    <w:rsid w:val="002A4622"/>
    <w:rsid w:val="002A49CF"/>
    <w:rsid w:val="002A5115"/>
    <w:rsid w:val="002A5A7C"/>
    <w:rsid w:val="002A5C60"/>
    <w:rsid w:val="002A6A5F"/>
    <w:rsid w:val="002A6ED9"/>
    <w:rsid w:val="002A7477"/>
    <w:rsid w:val="002B1632"/>
    <w:rsid w:val="002B1F45"/>
    <w:rsid w:val="002B314C"/>
    <w:rsid w:val="002B41E5"/>
    <w:rsid w:val="002B56D5"/>
    <w:rsid w:val="002B5F33"/>
    <w:rsid w:val="002B5F5C"/>
    <w:rsid w:val="002B6885"/>
    <w:rsid w:val="002B6BA1"/>
    <w:rsid w:val="002B7E9F"/>
    <w:rsid w:val="002C072C"/>
    <w:rsid w:val="002C0788"/>
    <w:rsid w:val="002C0C05"/>
    <w:rsid w:val="002C118E"/>
    <w:rsid w:val="002C12C3"/>
    <w:rsid w:val="002C1D7E"/>
    <w:rsid w:val="002C21B6"/>
    <w:rsid w:val="002C21E2"/>
    <w:rsid w:val="002C2374"/>
    <w:rsid w:val="002C326E"/>
    <w:rsid w:val="002C32FF"/>
    <w:rsid w:val="002C3931"/>
    <w:rsid w:val="002C39A5"/>
    <w:rsid w:val="002C483C"/>
    <w:rsid w:val="002C4A09"/>
    <w:rsid w:val="002C4CC1"/>
    <w:rsid w:val="002C51B9"/>
    <w:rsid w:val="002C7B60"/>
    <w:rsid w:val="002D0B54"/>
    <w:rsid w:val="002D0DB7"/>
    <w:rsid w:val="002D1238"/>
    <w:rsid w:val="002D15A1"/>
    <w:rsid w:val="002D2FDF"/>
    <w:rsid w:val="002D3473"/>
    <w:rsid w:val="002D51EB"/>
    <w:rsid w:val="002D56C1"/>
    <w:rsid w:val="002D5E89"/>
    <w:rsid w:val="002D64A7"/>
    <w:rsid w:val="002D6DF9"/>
    <w:rsid w:val="002E12A4"/>
    <w:rsid w:val="002E16E0"/>
    <w:rsid w:val="002E2101"/>
    <w:rsid w:val="002E22C9"/>
    <w:rsid w:val="002E2652"/>
    <w:rsid w:val="002E2C56"/>
    <w:rsid w:val="002E3901"/>
    <w:rsid w:val="002E4470"/>
    <w:rsid w:val="002E4CE4"/>
    <w:rsid w:val="002E4E84"/>
    <w:rsid w:val="002E50CA"/>
    <w:rsid w:val="002E5337"/>
    <w:rsid w:val="002E579E"/>
    <w:rsid w:val="002F121C"/>
    <w:rsid w:val="002F1B23"/>
    <w:rsid w:val="002F1C46"/>
    <w:rsid w:val="002F22F4"/>
    <w:rsid w:val="002F238C"/>
    <w:rsid w:val="002F30C9"/>
    <w:rsid w:val="002F3119"/>
    <w:rsid w:val="002F3222"/>
    <w:rsid w:val="002F4CAB"/>
    <w:rsid w:val="002F513A"/>
    <w:rsid w:val="002F6D48"/>
    <w:rsid w:val="002F7600"/>
    <w:rsid w:val="002F7CA9"/>
    <w:rsid w:val="00300EAB"/>
    <w:rsid w:val="00300FB1"/>
    <w:rsid w:val="00301650"/>
    <w:rsid w:val="003028D3"/>
    <w:rsid w:val="00303BBA"/>
    <w:rsid w:val="00303DBA"/>
    <w:rsid w:val="003046CE"/>
    <w:rsid w:val="0030494F"/>
    <w:rsid w:val="00304D81"/>
    <w:rsid w:val="003057EC"/>
    <w:rsid w:val="00306006"/>
    <w:rsid w:val="003062C3"/>
    <w:rsid w:val="00306F70"/>
    <w:rsid w:val="0030717F"/>
    <w:rsid w:val="003100B2"/>
    <w:rsid w:val="003102C7"/>
    <w:rsid w:val="003116E8"/>
    <w:rsid w:val="00312857"/>
    <w:rsid w:val="00312AE6"/>
    <w:rsid w:val="003132D0"/>
    <w:rsid w:val="003133CE"/>
    <w:rsid w:val="0031340F"/>
    <w:rsid w:val="003134D5"/>
    <w:rsid w:val="00313524"/>
    <w:rsid w:val="00313D4B"/>
    <w:rsid w:val="003140B7"/>
    <w:rsid w:val="00314336"/>
    <w:rsid w:val="00314F9C"/>
    <w:rsid w:val="00316279"/>
    <w:rsid w:val="003165A1"/>
    <w:rsid w:val="00316633"/>
    <w:rsid w:val="0031704F"/>
    <w:rsid w:val="0031722E"/>
    <w:rsid w:val="003173A2"/>
    <w:rsid w:val="00317647"/>
    <w:rsid w:val="003206E8"/>
    <w:rsid w:val="00321E4F"/>
    <w:rsid w:val="00322505"/>
    <w:rsid w:val="00323010"/>
    <w:rsid w:val="003231DD"/>
    <w:rsid w:val="00323346"/>
    <w:rsid w:val="0032372A"/>
    <w:rsid w:val="00323E0F"/>
    <w:rsid w:val="00325238"/>
    <w:rsid w:val="003257D2"/>
    <w:rsid w:val="00325864"/>
    <w:rsid w:val="003323F3"/>
    <w:rsid w:val="00332B65"/>
    <w:rsid w:val="0033308A"/>
    <w:rsid w:val="0033397F"/>
    <w:rsid w:val="00333991"/>
    <w:rsid w:val="00334702"/>
    <w:rsid w:val="00335044"/>
    <w:rsid w:val="0033572B"/>
    <w:rsid w:val="00335EBE"/>
    <w:rsid w:val="003365B5"/>
    <w:rsid w:val="00336A06"/>
    <w:rsid w:val="00337A85"/>
    <w:rsid w:val="003406A7"/>
    <w:rsid w:val="00341044"/>
    <w:rsid w:val="003412AC"/>
    <w:rsid w:val="00341B14"/>
    <w:rsid w:val="00342124"/>
    <w:rsid w:val="00342421"/>
    <w:rsid w:val="003425B8"/>
    <w:rsid w:val="003431B6"/>
    <w:rsid w:val="003434FB"/>
    <w:rsid w:val="003448A6"/>
    <w:rsid w:val="00344C48"/>
    <w:rsid w:val="00345A47"/>
    <w:rsid w:val="0034686E"/>
    <w:rsid w:val="00346EA8"/>
    <w:rsid w:val="00347DB9"/>
    <w:rsid w:val="003503C8"/>
    <w:rsid w:val="003513E4"/>
    <w:rsid w:val="0035153F"/>
    <w:rsid w:val="0035323D"/>
    <w:rsid w:val="003532A9"/>
    <w:rsid w:val="00353632"/>
    <w:rsid w:val="0035376C"/>
    <w:rsid w:val="00353DD3"/>
    <w:rsid w:val="00353E02"/>
    <w:rsid w:val="00354803"/>
    <w:rsid w:val="00354CEC"/>
    <w:rsid w:val="0035565B"/>
    <w:rsid w:val="00355C39"/>
    <w:rsid w:val="00356307"/>
    <w:rsid w:val="003563A2"/>
    <w:rsid w:val="00357E09"/>
    <w:rsid w:val="003609AC"/>
    <w:rsid w:val="00360B27"/>
    <w:rsid w:val="003612DB"/>
    <w:rsid w:val="003627F3"/>
    <w:rsid w:val="003632D6"/>
    <w:rsid w:val="0036334C"/>
    <w:rsid w:val="0036426F"/>
    <w:rsid w:val="0036499E"/>
    <w:rsid w:val="00364D34"/>
    <w:rsid w:val="00365428"/>
    <w:rsid w:val="00365818"/>
    <w:rsid w:val="00365833"/>
    <w:rsid w:val="00365E4B"/>
    <w:rsid w:val="00365F79"/>
    <w:rsid w:val="00366F8A"/>
    <w:rsid w:val="00367692"/>
    <w:rsid w:val="00367D21"/>
    <w:rsid w:val="0037017B"/>
    <w:rsid w:val="00370961"/>
    <w:rsid w:val="00371793"/>
    <w:rsid w:val="0037238D"/>
    <w:rsid w:val="0037296A"/>
    <w:rsid w:val="00373BF8"/>
    <w:rsid w:val="00375473"/>
    <w:rsid w:val="0037621D"/>
    <w:rsid w:val="0037626C"/>
    <w:rsid w:val="00376B94"/>
    <w:rsid w:val="00377245"/>
    <w:rsid w:val="00380E6A"/>
    <w:rsid w:val="00380F67"/>
    <w:rsid w:val="00381001"/>
    <w:rsid w:val="00381337"/>
    <w:rsid w:val="0038165B"/>
    <w:rsid w:val="00381878"/>
    <w:rsid w:val="00385FE3"/>
    <w:rsid w:val="00386B42"/>
    <w:rsid w:val="0038758C"/>
    <w:rsid w:val="00387885"/>
    <w:rsid w:val="00387E81"/>
    <w:rsid w:val="0039008A"/>
    <w:rsid w:val="00390BAE"/>
    <w:rsid w:val="00391263"/>
    <w:rsid w:val="003913B5"/>
    <w:rsid w:val="00391A83"/>
    <w:rsid w:val="00391C24"/>
    <w:rsid w:val="00391EE0"/>
    <w:rsid w:val="00391F62"/>
    <w:rsid w:val="00392A80"/>
    <w:rsid w:val="00393149"/>
    <w:rsid w:val="00393361"/>
    <w:rsid w:val="00393CF8"/>
    <w:rsid w:val="00393E50"/>
    <w:rsid w:val="0039413C"/>
    <w:rsid w:val="00395036"/>
    <w:rsid w:val="00395351"/>
    <w:rsid w:val="003957FC"/>
    <w:rsid w:val="00395AA9"/>
    <w:rsid w:val="003961D6"/>
    <w:rsid w:val="003967E8"/>
    <w:rsid w:val="00396C66"/>
    <w:rsid w:val="0039717A"/>
    <w:rsid w:val="003973AB"/>
    <w:rsid w:val="00397CAF"/>
    <w:rsid w:val="003A0637"/>
    <w:rsid w:val="003A06C3"/>
    <w:rsid w:val="003A12A8"/>
    <w:rsid w:val="003A13EF"/>
    <w:rsid w:val="003A1493"/>
    <w:rsid w:val="003A1664"/>
    <w:rsid w:val="003A18FF"/>
    <w:rsid w:val="003A1FB6"/>
    <w:rsid w:val="003A2382"/>
    <w:rsid w:val="003A33F5"/>
    <w:rsid w:val="003A37F5"/>
    <w:rsid w:val="003A3F61"/>
    <w:rsid w:val="003A405E"/>
    <w:rsid w:val="003A47A7"/>
    <w:rsid w:val="003A485B"/>
    <w:rsid w:val="003A4C0F"/>
    <w:rsid w:val="003A5181"/>
    <w:rsid w:val="003A5C60"/>
    <w:rsid w:val="003A5CAC"/>
    <w:rsid w:val="003A611C"/>
    <w:rsid w:val="003A620A"/>
    <w:rsid w:val="003A6FCE"/>
    <w:rsid w:val="003A7A93"/>
    <w:rsid w:val="003A7EF3"/>
    <w:rsid w:val="003B04D5"/>
    <w:rsid w:val="003B04E6"/>
    <w:rsid w:val="003B09B7"/>
    <w:rsid w:val="003B0EFA"/>
    <w:rsid w:val="003B0F4A"/>
    <w:rsid w:val="003B19DA"/>
    <w:rsid w:val="003B3CBD"/>
    <w:rsid w:val="003B4679"/>
    <w:rsid w:val="003B4B49"/>
    <w:rsid w:val="003B533B"/>
    <w:rsid w:val="003B6106"/>
    <w:rsid w:val="003B7228"/>
    <w:rsid w:val="003C0839"/>
    <w:rsid w:val="003C0B88"/>
    <w:rsid w:val="003C1D78"/>
    <w:rsid w:val="003C2482"/>
    <w:rsid w:val="003C2A41"/>
    <w:rsid w:val="003C2F37"/>
    <w:rsid w:val="003C36F5"/>
    <w:rsid w:val="003C3D54"/>
    <w:rsid w:val="003C4A86"/>
    <w:rsid w:val="003C5156"/>
    <w:rsid w:val="003C5235"/>
    <w:rsid w:val="003C61D9"/>
    <w:rsid w:val="003C62CF"/>
    <w:rsid w:val="003C71B6"/>
    <w:rsid w:val="003C72AF"/>
    <w:rsid w:val="003C7382"/>
    <w:rsid w:val="003C73C7"/>
    <w:rsid w:val="003C7531"/>
    <w:rsid w:val="003D16B7"/>
    <w:rsid w:val="003D2603"/>
    <w:rsid w:val="003D28B4"/>
    <w:rsid w:val="003D2982"/>
    <w:rsid w:val="003D33C9"/>
    <w:rsid w:val="003D36FF"/>
    <w:rsid w:val="003D3C63"/>
    <w:rsid w:val="003D3CB9"/>
    <w:rsid w:val="003D410E"/>
    <w:rsid w:val="003D5189"/>
    <w:rsid w:val="003D58CB"/>
    <w:rsid w:val="003D59D5"/>
    <w:rsid w:val="003D6B86"/>
    <w:rsid w:val="003D6C7F"/>
    <w:rsid w:val="003D6DF5"/>
    <w:rsid w:val="003D7781"/>
    <w:rsid w:val="003D7C89"/>
    <w:rsid w:val="003D7DF0"/>
    <w:rsid w:val="003D7FE9"/>
    <w:rsid w:val="003E063A"/>
    <w:rsid w:val="003E251F"/>
    <w:rsid w:val="003E377A"/>
    <w:rsid w:val="003E3D6D"/>
    <w:rsid w:val="003E420D"/>
    <w:rsid w:val="003E465B"/>
    <w:rsid w:val="003E7ED6"/>
    <w:rsid w:val="003F00FC"/>
    <w:rsid w:val="003F257D"/>
    <w:rsid w:val="003F2AA7"/>
    <w:rsid w:val="003F36DA"/>
    <w:rsid w:val="003F3B16"/>
    <w:rsid w:val="003F40A0"/>
    <w:rsid w:val="003F684D"/>
    <w:rsid w:val="003F6E77"/>
    <w:rsid w:val="003F6F8C"/>
    <w:rsid w:val="003F71C2"/>
    <w:rsid w:val="003F744E"/>
    <w:rsid w:val="003F7A78"/>
    <w:rsid w:val="004000B3"/>
    <w:rsid w:val="004005E6"/>
    <w:rsid w:val="00400BD1"/>
    <w:rsid w:val="00400EA7"/>
    <w:rsid w:val="004010BD"/>
    <w:rsid w:val="00401ABB"/>
    <w:rsid w:val="00401B3C"/>
    <w:rsid w:val="00401E11"/>
    <w:rsid w:val="004032DC"/>
    <w:rsid w:val="00404189"/>
    <w:rsid w:val="00404264"/>
    <w:rsid w:val="004049FA"/>
    <w:rsid w:val="00405D06"/>
    <w:rsid w:val="004064F9"/>
    <w:rsid w:val="00406B6E"/>
    <w:rsid w:val="00407123"/>
    <w:rsid w:val="00407A34"/>
    <w:rsid w:val="0041030C"/>
    <w:rsid w:val="00410678"/>
    <w:rsid w:val="00410F76"/>
    <w:rsid w:val="004115A1"/>
    <w:rsid w:val="00411EED"/>
    <w:rsid w:val="0041216B"/>
    <w:rsid w:val="004126DC"/>
    <w:rsid w:val="00412741"/>
    <w:rsid w:val="004133B0"/>
    <w:rsid w:val="0041393A"/>
    <w:rsid w:val="00414217"/>
    <w:rsid w:val="004149D0"/>
    <w:rsid w:val="004163FA"/>
    <w:rsid w:val="00416E47"/>
    <w:rsid w:val="00417464"/>
    <w:rsid w:val="00417580"/>
    <w:rsid w:val="00421711"/>
    <w:rsid w:val="004217F5"/>
    <w:rsid w:val="00421857"/>
    <w:rsid w:val="00422115"/>
    <w:rsid w:val="00422768"/>
    <w:rsid w:val="00422C22"/>
    <w:rsid w:val="00422E35"/>
    <w:rsid w:val="00422E8F"/>
    <w:rsid w:val="0042301A"/>
    <w:rsid w:val="00423338"/>
    <w:rsid w:val="00424EFF"/>
    <w:rsid w:val="00425254"/>
    <w:rsid w:val="00430D2C"/>
    <w:rsid w:val="0043162F"/>
    <w:rsid w:val="0043174C"/>
    <w:rsid w:val="00431FB0"/>
    <w:rsid w:val="00431FBA"/>
    <w:rsid w:val="00432517"/>
    <w:rsid w:val="004337BF"/>
    <w:rsid w:val="00433926"/>
    <w:rsid w:val="00434645"/>
    <w:rsid w:val="00434838"/>
    <w:rsid w:val="00434AD4"/>
    <w:rsid w:val="00435612"/>
    <w:rsid w:val="00435B2C"/>
    <w:rsid w:val="00435CEE"/>
    <w:rsid w:val="004370AE"/>
    <w:rsid w:val="0043729A"/>
    <w:rsid w:val="00437AF1"/>
    <w:rsid w:val="00438135"/>
    <w:rsid w:val="00440539"/>
    <w:rsid w:val="00440B0F"/>
    <w:rsid w:val="004410CC"/>
    <w:rsid w:val="004422C8"/>
    <w:rsid w:val="00442869"/>
    <w:rsid w:val="00442E1C"/>
    <w:rsid w:val="004430A3"/>
    <w:rsid w:val="00443884"/>
    <w:rsid w:val="004445EF"/>
    <w:rsid w:val="00444880"/>
    <w:rsid w:val="0044492E"/>
    <w:rsid w:val="004452BE"/>
    <w:rsid w:val="00446E98"/>
    <w:rsid w:val="004479C4"/>
    <w:rsid w:val="0044F826"/>
    <w:rsid w:val="00451473"/>
    <w:rsid w:val="0045245A"/>
    <w:rsid w:val="00453E3C"/>
    <w:rsid w:val="0045456B"/>
    <w:rsid w:val="004553D0"/>
    <w:rsid w:val="00456246"/>
    <w:rsid w:val="00456302"/>
    <w:rsid w:val="00456C6C"/>
    <w:rsid w:val="00456E7C"/>
    <w:rsid w:val="00456FFD"/>
    <w:rsid w:val="0045797E"/>
    <w:rsid w:val="00457A5C"/>
    <w:rsid w:val="00457B8C"/>
    <w:rsid w:val="00460C5F"/>
    <w:rsid w:val="004614D5"/>
    <w:rsid w:val="0046159C"/>
    <w:rsid w:val="00461D6D"/>
    <w:rsid w:val="00462155"/>
    <w:rsid w:val="00462B3C"/>
    <w:rsid w:val="00463275"/>
    <w:rsid w:val="004633A4"/>
    <w:rsid w:val="00463867"/>
    <w:rsid w:val="004641EB"/>
    <w:rsid w:val="004643AC"/>
    <w:rsid w:val="00464F14"/>
    <w:rsid w:val="004650C7"/>
    <w:rsid w:val="004655CF"/>
    <w:rsid w:val="004657B6"/>
    <w:rsid w:val="00466132"/>
    <w:rsid w:val="00466133"/>
    <w:rsid w:val="0046762E"/>
    <w:rsid w:val="00467674"/>
    <w:rsid w:val="004676D5"/>
    <w:rsid w:val="00467B07"/>
    <w:rsid w:val="00467D91"/>
    <w:rsid w:val="0047022B"/>
    <w:rsid w:val="0047030F"/>
    <w:rsid w:val="00470590"/>
    <w:rsid w:val="004706FD"/>
    <w:rsid w:val="00470C4C"/>
    <w:rsid w:val="00470E75"/>
    <w:rsid w:val="004719D4"/>
    <w:rsid w:val="00472940"/>
    <w:rsid w:val="00472F4C"/>
    <w:rsid w:val="00473015"/>
    <w:rsid w:val="004742D9"/>
    <w:rsid w:val="004745FD"/>
    <w:rsid w:val="00474805"/>
    <w:rsid w:val="00475775"/>
    <w:rsid w:val="0047623C"/>
    <w:rsid w:val="00476524"/>
    <w:rsid w:val="00476D8F"/>
    <w:rsid w:val="00476E30"/>
    <w:rsid w:val="00476E6B"/>
    <w:rsid w:val="0047752A"/>
    <w:rsid w:val="00477C39"/>
    <w:rsid w:val="004805CD"/>
    <w:rsid w:val="004810D5"/>
    <w:rsid w:val="0048111B"/>
    <w:rsid w:val="00481287"/>
    <w:rsid w:val="00481532"/>
    <w:rsid w:val="00481886"/>
    <w:rsid w:val="0048325F"/>
    <w:rsid w:val="00483323"/>
    <w:rsid w:val="00483AFF"/>
    <w:rsid w:val="0048408B"/>
    <w:rsid w:val="00484A89"/>
    <w:rsid w:val="004852A8"/>
    <w:rsid w:val="004857B9"/>
    <w:rsid w:val="0048641D"/>
    <w:rsid w:val="004866D3"/>
    <w:rsid w:val="00486E20"/>
    <w:rsid w:val="00487E86"/>
    <w:rsid w:val="004902D4"/>
    <w:rsid w:val="004902DC"/>
    <w:rsid w:val="00490450"/>
    <w:rsid w:val="00490BD1"/>
    <w:rsid w:val="00492426"/>
    <w:rsid w:val="00492EB9"/>
    <w:rsid w:val="0049320A"/>
    <w:rsid w:val="00493DA9"/>
    <w:rsid w:val="004942B2"/>
    <w:rsid w:val="00494549"/>
    <w:rsid w:val="0049559D"/>
    <w:rsid w:val="00495EFC"/>
    <w:rsid w:val="00496374"/>
    <w:rsid w:val="00497AC5"/>
    <w:rsid w:val="004A000F"/>
    <w:rsid w:val="004A07C9"/>
    <w:rsid w:val="004A0F39"/>
    <w:rsid w:val="004A0F9E"/>
    <w:rsid w:val="004A12F0"/>
    <w:rsid w:val="004A13FB"/>
    <w:rsid w:val="004A2879"/>
    <w:rsid w:val="004A2CC9"/>
    <w:rsid w:val="004A2D04"/>
    <w:rsid w:val="004A349C"/>
    <w:rsid w:val="004A55FE"/>
    <w:rsid w:val="004A577C"/>
    <w:rsid w:val="004A5A0C"/>
    <w:rsid w:val="004A5C01"/>
    <w:rsid w:val="004A6604"/>
    <w:rsid w:val="004A6D3D"/>
    <w:rsid w:val="004A74E4"/>
    <w:rsid w:val="004A752E"/>
    <w:rsid w:val="004B0362"/>
    <w:rsid w:val="004B073C"/>
    <w:rsid w:val="004B0C69"/>
    <w:rsid w:val="004B1257"/>
    <w:rsid w:val="004B1391"/>
    <w:rsid w:val="004B1E84"/>
    <w:rsid w:val="004B1EA3"/>
    <w:rsid w:val="004B1ED8"/>
    <w:rsid w:val="004B2E59"/>
    <w:rsid w:val="004B400D"/>
    <w:rsid w:val="004B418E"/>
    <w:rsid w:val="004B58C6"/>
    <w:rsid w:val="004C0082"/>
    <w:rsid w:val="004C186F"/>
    <w:rsid w:val="004C26DD"/>
    <w:rsid w:val="004C2DE1"/>
    <w:rsid w:val="004C3C9A"/>
    <w:rsid w:val="004C468E"/>
    <w:rsid w:val="004C52C3"/>
    <w:rsid w:val="004C53D0"/>
    <w:rsid w:val="004C598E"/>
    <w:rsid w:val="004C5D7C"/>
    <w:rsid w:val="004C5E93"/>
    <w:rsid w:val="004C7738"/>
    <w:rsid w:val="004C7AB0"/>
    <w:rsid w:val="004C7CFE"/>
    <w:rsid w:val="004D078A"/>
    <w:rsid w:val="004D09DD"/>
    <w:rsid w:val="004D0C5A"/>
    <w:rsid w:val="004D1169"/>
    <w:rsid w:val="004D3B87"/>
    <w:rsid w:val="004D46B1"/>
    <w:rsid w:val="004D565C"/>
    <w:rsid w:val="004D6669"/>
    <w:rsid w:val="004D6CDA"/>
    <w:rsid w:val="004D70DE"/>
    <w:rsid w:val="004D724D"/>
    <w:rsid w:val="004D72C7"/>
    <w:rsid w:val="004D7371"/>
    <w:rsid w:val="004E02AB"/>
    <w:rsid w:val="004E0351"/>
    <w:rsid w:val="004E050D"/>
    <w:rsid w:val="004E08B0"/>
    <w:rsid w:val="004E0E6C"/>
    <w:rsid w:val="004E126B"/>
    <w:rsid w:val="004E16FC"/>
    <w:rsid w:val="004E1C82"/>
    <w:rsid w:val="004E36D2"/>
    <w:rsid w:val="004E46C7"/>
    <w:rsid w:val="004E473F"/>
    <w:rsid w:val="004E561B"/>
    <w:rsid w:val="004E5822"/>
    <w:rsid w:val="004E5CD7"/>
    <w:rsid w:val="004E6056"/>
    <w:rsid w:val="004E6F02"/>
    <w:rsid w:val="004E70BF"/>
    <w:rsid w:val="004E7184"/>
    <w:rsid w:val="004F0101"/>
    <w:rsid w:val="004F0724"/>
    <w:rsid w:val="004F084B"/>
    <w:rsid w:val="004F0A84"/>
    <w:rsid w:val="004F12ED"/>
    <w:rsid w:val="004F213F"/>
    <w:rsid w:val="004F2693"/>
    <w:rsid w:val="004F29F3"/>
    <w:rsid w:val="004F2F10"/>
    <w:rsid w:val="004F367A"/>
    <w:rsid w:val="004F3D87"/>
    <w:rsid w:val="004F3EB9"/>
    <w:rsid w:val="004F457D"/>
    <w:rsid w:val="004F486F"/>
    <w:rsid w:val="004F4BA8"/>
    <w:rsid w:val="004F6384"/>
    <w:rsid w:val="004F6E64"/>
    <w:rsid w:val="00501971"/>
    <w:rsid w:val="005023CD"/>
    <w:rsid w:val="00502B03"/>
    <w:rsid w:val="00503411"/>
    <w:rsid w:val="00503C6F"/>
    <w:rsid w:val="005046B5"/>
    <w:rsid w:val="0050500C"/>
    <w:rsid w:val="005050A1"/>
    <w:rsid w:val="005054A0"/>
    <w:rsid w:val="00505A0B"/>
    <w:rsid w:val="00506077"/>
    <w:rsid w:val="005062E5"/>
    <w:rsid w:val="005068A7"/>
    <w:rsid w:val="00506DEA"/>
    <w:rsid w:val="00507F52"/>
    <w:rsid w:val="005100E1"/>
    <w:rsid w:val="0051013C"/>
    <w:rsid w:val="0051051F"/>
    <w:rsid w:val="005109A3"/>
    <w:rsid w:val="00510A9F"/>
    <w:rsid w:val="005124F1"/>
    <w:rsid w:val="00512685"/>
    <w:rsid w:val="00513425"/>
    <w:rsid w:val="00513965"/>
    <w:rsid w:val="00514C64"/>
    <w:rsid w:val="00515298"/>
    <w:rsid w:val="005154A9"/>
    <w:rsid w:val="005157F9"/>
    <w:rsid w:val="00517512"/>
    <w:rsid w:val="00517597"/>
    <w:rsid w:val="0052029B"/>
    <w:rsid w:val="005202C2"/>
    <w:rsid w:val="005209C5"/>
    <w:rsid w:val="00521001"/>
    <w:rsid w:val="005210BF"/>
    <w:rsid w:val="005232C6"/>
    <w:rsid w:val="00523D89"/>
    <w:rsid w:val="005240B5"/>
    <w:rsid w:val="00524625"/>
    <w:rsid w:val="0052483B"/>
    <w:rsid w:val="005251EB"/>
    <w:rsid w:val="005252E3"/>
    <w:rsid w:val="00525AA0"/>
    <w:rsid w:val="00526434"/>
    <w:rsid w:val="005265C1"/>
    <w:rsid w:val="00526962"/>
    <w:rsid w:val="00526B29"/>
    <w:rsid w:val="0052739A"/>
    <w:rsid w:val="005276F6"/>
    <w:rsid w:val="00530EC0"/>
    <w:rsid w:val="00531527"/>
    <w:rsid w:val="005327E9"/>
    <w:rsid w:val="00533B46"/>
    <w:rsid w:val="00534192"/>
    <w:rsid w:val="00534730"/>
    <w:rsid w:val="00534BDA"/>
    <w:rsid w:val="005358FF"/>
    <w:rsid w:val="00535C6D"/>
    <w:rsid w:val="00536236"/>
    <w:rsid w:val="005363C7"/>
    <w:rsid w:val="00536FED"/>
    <w:rsid w:val="0053709D"/>
    <w:rsid w:val="005376A3"/>
    <w:rsid w:val="005376DA"/>
    <w:rsid w:val="0053778D"/>
    <w:rsid w:val="00537A2C"/>
    <w:rsid w:val="005401D3"/>
    <w:rsid w:val="00540F2D"/>
    <w:rsid w:val="00540FD2"/>
    <w:rsid w:val="0054141A"/>
    <w:rsid w:val="005424BD"/>
    <w:rsid w:val="00542892"/>
    <w:rsid w:val="00542938"/>
    <w:rsid w:val="005433C6"/>
    <w:rsid w:val="00543703"/>
    <w:rsid w:val="00544A51"/>
    <w:rsid w:val="00544DE3"/>
    <w:rsid w:val="00545531"/>
    <w:rsid w:val="00545CAA"/>
    <w:rsid w:val="00546056"/>
    <w:rsid w:val="00550E56"/>
    <w:rsid w:val="00551F16"/>
    <w:rsid w:val="005520A6"/>
    <w:rsid w:val="00552D1C"/>
    <w:rsid w:val="00553420"/>
    <w:rsid w:val="00553443"/>
    <w:rsid w:val="00554476"/>
    <w:rsid w:val="005545DC"/>
    <w:rsid w:val="00555838"/>
    <w:rsid w:val="005559EE"/>
    <w:rsid w:val="00555B76"/>
    <w:rsid w:val="00556F1C"/>
    <w:rsid w:val="00557802"/>
    <w:rsid w:val="00557D1B"/>
    <w:rsid w:val="005608D4"/>
    <w:rsid w:val="0056138D"/>
    <w:rsid w:val="00561C27"/>
    <w:rsid w:val="005623C2"/>
    <w:rsid w:val="0056269B"/>
    <w:rsid w:val="00562A1D"/>
    <w:rsid w:val="00562D85"/>
    <w:rsid w:val="0056366E"/>
    <w:rsid w:val="00563A76"/>
    <w:rsid w:val="00564334"/>
    <w:rsid w:val="005647A3"/>
    <w:rsid w:val="00566590"/>
    <w:rsid w:val="005674CB"/>
    <w:rsid w:val="00570741"/>
    <w:rsid w:val="00572141"/>
    <w:rsid w:val="00572452"/>
    <w:rsid w:val="00573576"/>
    <w:rsid w:val="00574171"/>
    <w:rsid w:val="005748BC"/>
    <w:rsid w:val="005752DD"/>
    <w:rsid w:val="00575958"/>
    <w:rsid w:val="00576106"/>
    <w:rsid w:val="00576635"/>
    <w:rsid w:val="00577291"/>
    <w:rsid w:val="0057F965"/>
    <w:rsid w:val="00580DB7"/>
    <w:rsid w:val="0058165F"/>
    <w:rsid w:val="005818C5"/>
    <w:rsid w:val="00581DBF"/>
    <w:rsid w:val="00583598"/>
    <w:rsid w:val="00583B54"/>
    <w:rsid w:val="00586C24"/>
    <w:rsid w:val="00586EE5"/>
    <w:rsid w:val="00587945"/>
    <w:rsid w:val="005907C9"/>
    <w:rsid w:val="005929E2"/>
    <w:rsid w:val="00592AD3"/>
    <w:rsid w:val="00592E49"/>
    <w:rsid w:val="00592E83"/>
    <w:rsid w:val="00593346"/>
    <w:rsid w:val="00593528"/>
    <w:rsid w:val="00593B22"/>
    <w:rsid w:val="00593D52"/>
    <w:rsid w:val="00593E6E"/>
    <w:rsid w:val="0059441B"/>
    <w:rsid w:val="00595478"/>
    <w:rsid w:val="00596706"/>
    <w:rsid w:val="0059683D"/>
    <w:rsid w:val="00596A2A"/>
    <w:rsid w:val="00596F68"/>
    <w:rsid w:val="00597127"/>
    <w:rsid w:val="005A0F99"/>
    <w:rsid w:val="005A24DE"/>
    <w:rsid w:val="005A25E9"/>
    <w:rsid w:val="005A278C"/>
    <w:rsid w:val="005A3061"/>
    <w:rsid w:val="005A3373"/>
    <w:rsid w:val="005A3D94"/>
    <w:rsid w:val="005A3FDD"/>
    <w:rsid w:val="005A4215"/>
    <w:rsid w:val="005A44F9"/>
    <w:rsid w:val="005A483F"/>
    <w:rsid w:val="005A5158"/>
    <w:rsid w:val="005A6D8F"/>
    <w:rsid w:val="005A760E"/>
    <w:rsid w:val="005A79E5"/>
    <w:rsid w:val="005A7C69"/>
    <w:rsid w:val="005B0EA6"/>
    <w:rsid w:val="005B1B01"/>
    <w:rsid w:val="005B1E38"/>
    <w:rsid w:val="005B2233"/>
    <w:rsid w:val="005B2D8A"/>
    <w:rsid w:val="005B4AAB"/>
    <w:rsid w:val="005B552B"/>
    <w:rsid w:val="005B56A6"/>
    <w:rsid w:val="005B57A4"/>
    <w:rsid w:val="005B6550"/>
    <w:rsid w:val="005B7375"/>
    <w:rsid w:val="005B73EE"/>
    <w:rsid w:val="005B7E1B"/>
    <w:rsid w:val="005C146E"/>
    <w:rsid w:val="005C1C9E"/>
    <w:rsid w:val="005C277F"/>
    <w:rsid w:val="005C2789"/>
    <w:rsid w:val="005C33EA"/>
    <w:rsid w:val="005C38AB"/>
    <w:rsid w:val="005C3FA4"/>
    <w:rsid w:val="005C52F5"/>
    <w:rsid w:val="005C552F"/>
    <w:rsid w:val="005C5941"/>
    <w:rsid w:val="005C60BB"/>
    <w:rsid w:val="005C7079"/>
    <w:rsid w:val="005C780D"/>
    <w:rsid w:val="005D05CD"/>
    <w:rsid w:val="005D0B61"/>
    <w:rsid w:val="005D0B74"/>
    <w:rsid w:val="005D0E3F"/>
    <w:rsid w:val="005D197A"/>
    <w:rsid w:val="005D317B"/>
    <w:rsid w:val="005D3AE8"/>
    <w:rsid w:val="005D45F8"/>
    <w:rsid w:val="005D4782"/>
    <w:rsid w:val="005D481C"/>
    <w:rsid w:val="005D5C5D"/>
    <w:rsid w:val="005D6773"/>
    <w:rsid w:val="005D6AED"/>
    <w:rsid w:val="005D6D00"/>
    <w:rsid w:val="005D729E"/>
    <w:rsid w:val="005D7C2F"/>
    <w:rsid w:val="005E0118"/>
    <w:rsid w:val="005E0DB4"/>
    <w:rsid w:val="005E2380"/>
    <w:rsid w:val="005E4089"/>
    <w:rsid w:val="005E476F"/>
    <w:rsid w:val="005E5254"/>
    <w:rsid w:val="005E6892"/>
    <w:rsid w:val="005E6DCD"/>
    <w:rsid w:val="005E7330"/>
    <w:rsid w:val="005E7EA3"/>
    <w:rsid w:val="005F079C"/>
    <w:rsid w:val="005F1346"/>
    <w:rsid w:val="005F17D8"/>
    <w:rsid w:val="005F267C"/>
    <w:rsid w:val="005F27F4"/>
    <w:rsid w:val="005F3A63"/>
    <w:rsid w:val="005F404F"/>
    <w:rsid w:val="005F4084"/>
    <w:rsid w:val="005F48DC"/>
    <w:rsid w:val="005F57D2"/>
    <w:rsid w:val="005F5A8F"/>
    <w:rsid w:val="005F670E"/>
    <w:rsid w:val="005F69C6"/>
    <w:rsid w:val="005F6EBE"/>
    <w:rsid w:val="005F7779"/>
    <w:rsid w:val="005F77AC"/>
    <w:rsid w:val="005F7F23"/>
    <w:rsid w:val="006003C7"/>
    <w:rsid w:val="00600B24"/>
    <w:rsid w:val="006011CC"/>
    <w:rsid w:val="006018B6"/>
    <w:rsid w:val="00601C5C"/>
    <w:rsid w:val="00601CC3"/>
    <w:rsid w:val="006020DE"/>
    <w:rsid w:val="00602643"/>
    <w:rsid w:val="0060279E"/>
    <w:rsid w:val="006036BB"/>
    <w:rsid w:val="0060501C"/>
    <w:rsid w:val="00605278"/>
    <w:rsid w:val="006073D3"/>
    <w:rsid w:val="00607FE2"/>
    <w:rsid w:val="006102B6"/>
    <w:rsid w:val="006104D0"/>
    <w:rsid w:val="00610623"/>
    <w:rsid w:val="00611F2E"/>
    <w:rsid w:val="006129BD"/>
    <w:rsid w:val="00614A8D"/>
    <w:rsid w:val="00615140"/>
    <w:rsid w:val="00615D3A"/>
    <w:rsid w:val="00616B78"/>
    <w:rsid w:val="00616D9F"/>
    <w:rsid w:val="00617A19"/>
    <w:rsid w:val="006201F9"/>
    <w:rsid w:val="0062123F"/>
    <w:rsid w:val="00621784"/>
    <w:rsid w:val="00622336"/>
    <w:rsid w:val="006228FD"/>
    <w:rsid w:val="00625012"/>
    <w:rsid w:val="0062640A"/>
    <w:rsid w:val="0062699B"/>
    <w:rsid w:val="00626E31"/>
    <w:rsid w:val="0062736C"/>
    <w:rsid w:val="006276FF"/>
    <w:rsid w:val="00627B32"/>
    <w:rsid w:val="00627BD0"/>
    <w:rsid w:val="00631987"/>
    <w:rsid w:val="00631D32"/>
    <w:rsid w:val="00632193"/>
    <w:rsid w:val="00632396"/>
    <w:rsid w:val="006326AA"/>
    <w:rsid w:val="006329DC"/>
    <w:rsid w:val="00632DE1"/>
    <w:rsid w:val="00632F09"/>
    <w:rsid w:val="00634104"/>
    <w:rsid w:val="00634180"/>
    <w:rsid w:val="006346D4"/>
    <w:rsid w:val="00634A50"/>
    <w:rsid w:val="00634A61"/>
    <w:rsid w:val="006352E6"/>
    <w:rsid w:val="00635D23"/>
    <w:rsid w:val="006360B2"/>
    <w:rsid w:val="00637B62"/>
    <w:rsid w:val="00637DD8"/>
    <w:rsid w:val="006408B7"/>
    <w:rsid w:val="006408D0"/>
    <w:rsid w:val="00640FB0"/>
    <w:rsid w:val="00641794"/>
    <w:rsid w:val="0064181A"/>
    <w:rsid w:val="0064236F"/>
    <w:rsid w:val="00643D32"/>
    <w:rsid w:val="006445AD"/>
    <w:rsid w:val="00645E4F"/>
    <w:rsid w:val="00645FFE"/>
    <w:rsid w:val="0064619E"/>
    <w:rsid w:val="00646D0C"/>
    <w:rsid w:val="00646FEB"/>
    <w:rsid w:val="006504A8"/>
    <w:rsid w:val="00650A06"/>
    <w:rsid w:val="006510E0"/>
    <w:rsid w:val="00651226"/>
    <w:rsid w:val="00651C77"/>
    <w:rsid w:val="00652010"/>
    <w:rsid w:val="00652C9E"/>
    <w:rsid w:val="00652ECB"/>
    <w:rsid w:val="006540D3"/>
    <w:rsid w:val="006541DA"/>
    <w:rsid w:val="0065483A"/>
    <w:rsid w:val="00655532"/>
    <w:rsid w:val="006573FF"/>
    <w:rsid w:val="006575BF"/>
    <w:rsid w:val="006604D1"/>
    <w:rsid w:val="00660CED"/>
    <w:rsid w:val="00661EFD"/>
    <w:rsid w:val="006621A3"/>
    <w:rsid w:val="0066241D"/>
    <w:rsid w:val="006629FD"/>
    <w:rsid w:val="006630DA"/>
    <w:rsid w:val="006637D8"/>
    <w:rsid w:val="00663939"/>
    <w:rsid w:val="00663B37"/>
    <w:rsid w:val="00663D8E"/>
    <w:rsid w:val="006649A1"/>
    <w:rsid w:val="00665252"/>
    <w:rsid w:val="0066529C"/>
    <w:rsid w:val="0066687C"/>
    <w:rsid w:val="00666EF6"/>
    <w:rsid w:val="0066702F"/>
    <w:rsid w:val="006672D4"/>
    <w:rsid w:val="0066745C"/>
    <w:rsid w:val="00667C0E"/>
    <w:rsid w:val="00667F74"/>
    <w:rsid w:val="00670454"/>
    <w:rsid w:val="00670AA7"/>
    <w:rsid w:val="00670C1B"/>
    <w:rsid w:val="00670C53"/>
    <w:rsid w:val="006712A4"/>
    <w:rsid w:val="00672E30"/>
    <w:rsid w:val="006731A9"/>
    <w:rsid w:val="006732F3"/>
    <w:rsid w:val="00673385"/>
    <w:rsid w:val="0067339F"/>
    <w:rsid w:val="00673841"/>
    <w:rsid w:val="00674246"/>
    <w:rsid w:val="006750C0"/>
    <w:rsid w:val="006755C5"/>
    <w:rsid w:val="00675F27"/>
    <w:rsid w:val="006760A6"/>
    <w:rsid w:val="0067612D"/>
    <w:rsid w:val="00680DFD"/>
    <w:rsid w:val="00680FCF"/>
    <w:rsid w:val="00681020"/>
    <w:rsid w:val="006820C2"/>
    <w:rsid w:val="00683BCC"/>
    <w:rsid w:val="0068423D"/>
    <w:rsid w:val="00685331"/>
    <w:rsid w:val="00685665"/>
    <w:rsid w:val="00685AB6"/>
    <w:rsid w:val="00686EE9"/>
    <w:rsid w:val="006905E8"/>
    <w:rsid w:val="00690693"/>
    <w:rsid w:val="00690F0A"/>
    <w:rsid w:val="006915CD"/>
    <w:rsid w:val="00692631"/>
    <w:rsid w:val="006932D1"/>
    <w:rsid w:val="00693912"/>
    <w:rsid w:val="00693AB3"/>
    <w:rsid w:val="00693DE9"/>
    <w:rsid w:val="00694873"/>
    <w:rsid w:val="006951EA"/>
    <w:rsid w:val="00695AC9"/>
    <w:rsid w:val="00696896"/>
    <w:rsid w:val="00696C0D"/>
    <w:rsid w:val="0069775F"/>
    <w:rsid w:val="00697C37"/>
    <w:rsid w:val="006A0AB7"/>
    <w:rsid w:val="006A3038"/>
    <w:rsid w:val="006A32DF"/>
    <w:rsid w:val="006A363D"/>
    <w:rsid w:val="006A3949"/>
    <w:rsid w:val="006A3973"/>
    <w:rsid w:val="006A3CF3"/>
    <w:rsid w:val="006A52F0"/>
    <w:rsid w:val="006A57AB"/>
    <w:rsid w:val="006A5C9C"/>
    <w:rsid w:val="006A62B8"/>
    <w:rsid w:val="006A6782"/>
    <w:rsid w:val="006A680D"/>
    <w:rsid w:val="006A71C6"/>
    <w:rsid w:val="006A7983"/>
    <w:rsid w:val="006A7DA3"/>
    <w:rsid w:val="006A7DB7"/>
    <w:rsid w:val="006B133D"/>
    <w:rsid w:val="006B14E3"/>
    <w:rsid w:val="006B1693"/>
    <w:rsid w:val="006B2423"/>
    <w:rsid w:val="006B2711"/>
    <w:rsid w:val="006B2D19"/>
    <w:rsid w:val="006B2D88"/>
    <w:rsid w:val="006B379A"/>
    <w:rsid w:val="006B3C4E"/>
    <w:rsid w:val="006B44B8"/>
    <w:rsid w:val="006B45FA"/>
    <w:rsid w:val="006B46FA"/>
    <w:rsid w:val="006B54F8"/>
    <w:rsid w:val="006B55CD"/>
    <w:rsid w:val="006B5BE5"/>
    <w:rsid w:val="006B7424"/>
    <w:rsid w:val="006B7715"/>
    <w:rsid w:val="006B7DF6"/>
    <w:rsid w:val="006C08F7"/>
    <w:rsid w:val="006C10D4"/>
    <w:rsid w:val="006C1258"/>
    <w:rsid w:val="006C2101"/>
    <w:rsid w:val="006C2CB4"/>
    <w:rsid w:val="006C3AA5"/>
    <w:rsid w:val="006C4FE4"/>
    <w:rsid w:val="006C53A4"/>
    <w:rsid w:val="006C5714"/>
    <w:rsid w:val="006C59BC"/>
    <w:rsid w:val="006C66C5"/>
    <w:rsid w:val="006C682E"/>
    <w:rsid w:val="006C7176"/>
    <w:rsid w:val="006C7185"/>
    <w:rsid w:val="006C7865"/>
    <w:rsid w:val="006C79EC"/>
    <w:rsid w:val="006C7AA5"/>
    <w:rsid w:val="006D128C"/>
    <w:rsid w:val="006D1DD6"/>
    <w:rsid w:val="006D21D7"/>
    <w:rsid w:val="006D222B"/>
    <w:rsid w:val="006D265C"/>
    <w:rsid w:val="006D294A"/>
    <w:rsid w:val="006D47B9"/>
    <w:rsid w:val="006D4AD8"/>
    <w:rsid w:val="006D4DE9"/>
    <w:rsid w:val="006D4E42"/>
    <w:rsid w:val="006D56A7"/>
    <w:rsid w:val="006D69B4"/>
    <w:rsid w:val="006D6DB0"/>
    <w:rsid w:val="006D72AA"/>
    <w:rsid w:val="006E043C"/>
    <w:rsid w:val="006E560E"/>
    <w:rsid w:val="006E5963"/>
    <w:rsid w:val="006E6206"/>
    <w:rsid w:val="006E714B"/>
    <w:rsid w:val="006E7605"/>
    <w:rsid w:val="006E7CB9"/>
    <w:rsid w:val="006F066D"/>
    <w:rsid w:val="006F0AE3"/>
    <w:rsid w:val="006F0AEB"/>
    <w:rsid w:val="006F0DD7"/>
    <w:rsid w:val="006F13BD"/>
    <w:rsid w:val="006F1AAD"/>
    <w:rsid w:val="006F1CCE"/>
    <w:rsid w:val="006F3721"/>
    <w:rsid w:val="006F3FE0"/>
    <w:rsid w:val="006F44C9"/>
    <w:rsid w:val="006F6707"/>
    <w:rsid w:val="006F69A9"/>
    <w:rsid w:val="006F71A8"/>
    <w:rsid w:val="006F721C"/>
    <w:rsid w:val="00700C5D"/>
    <w:rsid w:val="0070118A"/>
    <w:rsid w:val="00701A9B"/>
    <w:rsid w:val="00702F62"/>
    <w:rsid w:val="00703D0C"/>
    <w:rsid w:val="0070523F"/>
    <w:rsid w:val="0070551D"/>
    <w:rsid w:val="00705851"/>
    <w:rsid w:val="00705A58"/>
    <w:rsid w:val="00705D91"/>
    <w:rsid w:val="007077D4"/>
    <w:rsid w:val="00707B28"/>
    <w:rsid w:val="00710207"/>
    <w:rsid w:val="00710957"/>
    <w:rsid w:val="00711030"/>
    <w:rsid w:val="00711203"/>
    <w:rsid w:val="00711924"/>
    <w:rsid w:val="007129D6"/>
    <w:rsid w:val="00712F6B"/>
    <w:rsid w:val="007142B7"/>
    <w:rsid w:val="00714715"/>
    <w:rsid w:val="007148DB"/>
    <w:rsid w:val="00714BF3"/>
    <w:rsid w:val="0071541F"/>
    <w:rsid w:val="00715FA6"/>
    <w:rsid w:val="00716839"/>
    <w:rsid w:val="00716E7E"/>
    <w:rsid w:val="007170E7"/>
    <w:rsid w:val="00717175"/>
    <w:rsid w:val="00717206"/>
    <w:rsid w:val="007174EF"/>
    <w:rsid w:val="0071783C"/>
    <w:rsid w:val="00721003"/>
    <w:rsid w:val="00721C2E"/>
    <w:rsid w:val="00721CE6"/>
    <w:rsid w:val="0072336A"/>
    <w:rsid w:val="007235E9"/>
    <w:rsid w:val="007248D2"/>
    <w:rsid w:val="00724F2B"/>
    <w:rsid w:val="007251FB"/>
    <w:rsid w:val="00725840"/>
    <w:rsid w:val="00725EFB"/>
    <w:rsid w:val="00726536"/>
    <w:rsid w:val="00726B05"/>
    <w:rsid w:val="00727680"/>
    <w:rsid w:val="00727747"/>
    <w:rsid w:val="00727998"/>
    <w:rsid w:val="00730ECE"/>
    <w:rsid w:val="007328FD"/>
    <w:rsid w:val="00732FC6"/>
    <w:rsid w:val="00734107"/>
    <w:rsid w:val="0073438E"/>
    <w:rsid w:val="00734867"/>
    <w:rsid w:val="00734A7D"/>
    <w:rsid w:val="00734A9D"/>
    <w:rsid w:val="0073511F"/>
    <w:rsid w:val="007351B1"/>
    <w:rsid w:val="0073532B"/>
    <w:rsid w:val="00735497"/>
    <w:rsid w:val="0073586F"/>
    <w:rsid w:val="00736A96"/>
    <w:rsid w:val="00736E52"/>
    <w:rsid w:val="007375A5"/>
    <w:rsid w:val="00737A67"/>
    <w:rsid w:val="007406CF"/>
    <w:rsid w:val="00740D5B"/>
    <w:rsid w:val="00741758"/>
    <w:rsid w:val="007427D0"/>
    <w:rsid w:val="00743B19"/>
    <w:rsid w:val="00743BDB"/>
    <w:rsid w:val="00743FEF"/>
    <w:rsid w:val="007446CB"/>
    <w:rsid w:val="0074492C"/>
    <w:rsid w:val="00744E4C"/>
    <w:rsid w:val="00745676"/>
    <w:rsid w:val="0074643B"/>
    <w:rsid w:val="0074753D"/>
    <w:rsid w:val="007476B8"/>
    <w:rsid w:val="00747EA0"/>
    <w:rsid w:val="0074B82F"/>
    <w:rsid w:val="007500A0"/>
    <w:rsid w:val="00750198"/>
    <w:rsid w:val="007501CD"/>
    <w:rsid w:val="007503A6"/>
    <w:rsid w:val="007504E4"/>
    <w:rsid w:val="007511D3"/>
    <w:rsid w:val="00751230"/>
    <w:rsid w:val="00751387"/>
    <w:rsid w:val="0075151A"/>
    <w:rsid w:val="007519D2"/>
    <w:rsid w:val="0075282C"/>
    <w:rsid w:val="00752A00"/>
    <w:rsid w:val="00752A37"/>
    <w:rsid w:val="00753213"/>
    <w:rsid w:val="0075527A"/>
    <w:rsid w:val="00755F59"/>
    <w:rsid w:val="00756B5C"/>
    <w:rsid w:val="00756D1E"/>
    <w:rsid w:val="00756D86"/>
    <w:rsid w:val="00760F09"/>
    <w:rsid w:val="00761E20"/>
    <w:rsid w:val="00762551"/>
    <w:rsid w:val="00762824"/>
    <w:rsid w:val="007628BF"/>
    <w:rsid w:val="00763AB1"/>
    <w:rsid w:val="00763DF2"/>
    <w:rsid w:val="0076423F"/>
    <w:rsid w:val="007644C6"/>
    <w:rsid w:val="00764F39"/>
    <w:rsid w:val="00765213"/>
    <w:rsid w:val="007654FF"/>
    <w:rsid w:val="00765B66"/>
    <w:rsid w:val="00765BAD"/>
    <w:rsid w:val="00765DCE"/>
    <w:rsid w:val="00766BA0"/>
    <w:rsid w:val="00770201"/>
    <w:rsid w:val="0077023D"/>
    <w:rsid w:val="00770D6F"/>
    <w:rsid w:val="00770E24"/>
    <w:rsid w:val="007714AC"/>
    <w:rsid w:val="0077200E"/>
    <w:rsid w:val="00772A8F"/>
    <w:rsid w:val="00772EB8"/>
    <w:rsid w:val="007736EA"/>
    <w:rsid w:val="0077379E"/>
    <w:rsid w:val="0077386C"/>
    <w:rsid w:val="00773956"/>
    <w:rsid w:val="00774AD1"/>
    <w:rsid w:val="00774FDC"/>
    <w:rsid w:val="007755EF"/>
    <w:rsid w:val="007760F2"/>
    <w:rsid w:val="00776107"/>
    <w:rsid w:val="00776830"/>
    <w:rsid w:val="00776F0A"/>
    <w:rsid w:val="00776FD6"/>
    <w:rsid w:val="007772F5"/>
    <w:rsid w:val="007775FF"/>
    <w:rsid w:val="00780764"/>
    <w:rsid w:val="00781452"/>
    <w:rsid w:val="00781743"/>
    <w:rsid w:val="0078203C"/>
    <w:rsid w:val="007820B8"/>
    <w:rsid w:val="00782E19"/>
    <w:rsid w:val="00783056"/>
    <w:rsid w:val="0078386C"/>
    <w:rsid w:val="0078391F"/>
    <w:rsid w:val="00783E39"/>
    <w:rsid w:val="00785783"/>
    <w:rsid w:val="0078584E"/>
    <w:rsid w:val="00786C15"/>
    <w:rsid w:val="00787176"/>
    <w:rsid w:val="00787523"/>
    <w:rsid w:val="00787943"/>
    <w:rsid w:val="00787B22"/>
    <w:rsid w:val="00787B80"/>
    <w:rsid w:val="0079070A"/>
    <w:rsid w:val="0079084D"/>
    <w:rsid w:val="007912D2"/>
    <w:rsid w:val="007916EC"/>
    <w:rsid w:val="00791D66"/>
    <w:rsid w:val="007920D1"/>
    <w:rsid w:val="007926DF"/>
    <w:rsid w:val="0079361E"/>
    <w:rsid w:val="00794956"/>
    <w:rsid w:val="00795330"/>
    <w:rsid w:val="00795B8A"/>
    <w:rsid w:val="00795BC1"/>
    <w:rsid w:val="00796F82"/>
    <w:rsid w:val="00797870"/>
    <w:rsid w:val="00797968"/>
    <w:rsid w:val="00797FA8"/>
    <w:rsid w:val="007A04FD"/>
    <w:rsid w:val="007A170A"/>
    <w:rsid w:val="007A3CD3"/>
    <w:rsid w:val="007A5203"/>
    <w:rsid w:val="007A58B7"/>
    <w:rsid w:val="007A5BE5"/>
    <w:rsid w:val="007A6A49"/>
    <w:rsid w:val="007A769B"/>
    <w:rsid w:val="007A7E4B"/>
    <w:rsid w:val="007B0E67"/>
    <w:rsid w:val="007B148C"/>
    <w:rsid w:val="007B156B"/>
    <w:rsid w:val="007B32C6"/>
    <w:rsid w:val="007B6CEB"/>
    <w:rsid w:val="007B7B7F"/>
    <w:rsid w:val="007B7C24"/>
    <w:rsid w:val="007C005F"/>
    <w:rsid w:val="007C06DB"/>
    <w:rsid w:val="007C1087"/>
    <w:rsid w:val="007C2318"/>
    <w:rsid w:val="007C232D"/>
    <w:rsid w:val="007C27CC"/>
    <w:rsid w:val="007C35D9"/>
    <w:rsid w:val="007C3C9E"/>
    <w:rsid w:val="007C3DB5"/>
    <w:rsid w:val="007C491E"/>
    <w:rsid w:val="007C4C55"/>
    <w:rsid w:val="007C51DE"/>
    <w:rsid w:val="007C57AE"/>
    <w:rsid w:val="007C5C4A"/>
    <w:rsid w:val="007C6054"/>
    <w:rsid w:val="007C6583"/>
    <w:rsid w:val="007C6687"/>
    <w:rsid w:val="007C6858"/>
    <w:rsid w:val="007C718D"/>
    <w:rsid w:val="007C7E7F"/>
    <w:rsid w:val="007D08EA"/>
    <w:rsid w:val="007D1C99"/>
    <w:rsid w:val="007D2578"/>
    <w:rsid w:val="007D28BA"/>
    <w:rsid w:val="007D29D6"/>
    <w:rsid w:val="007D3DE1"/>
    <w:rsid w:val="007D443A"/>
    <w:rsid w:val="007D4812"/>
    <w:rsid w:val="007D50E1"/>
    <w:rsid w:val="007D5D77"/>
    <w:rsid w:val="007D5DE7"/>
    <w:rsid w:val="007D6043"/>
    <w:rsid w:val="007D6FD8"/>
    <w:rsid w:val="007D792B"/>
    <w:rsid w:val="007D7E29"/>
    <w:rsid w:val="007E04D7"/>
    <w:rsid w:val="007E09C4"/>
    <w:rsid w:val="007E10DA"/>
    <w:rsid w:val="007E1B2F"/>
    <w:rsid w:val="007E3391"/>
    <w:rsid w:val="007E4BEF"/>
    <w:rsid w:val="007E5151"/>
    <w:rsid w:val="007E56C4"/>
    <w:rsid w:val="007E5B7A"/>
    <w:rsid w:val="007E5D89"/>
    <w:rsid w:val="007E62C7"/>
    <w:rsid w:val="007E7BCF"/>
    <w:rsid w:val="007F0E07"/>
    <w:rsid w:val="007F1291"/>
    <w:rsid w:val="007F30AC"/>
    <w:rsid w:val="007F4237"/>
    <w:rsid w:val="007F42CC"/>
    <w:rsid w:val="007F4749"/>
    <w:rsid w:val="007F4CEB"/>
    <w:rsid w:val="007F55EB"/>
    <w:rsid w:val="007F65EE"/>
    <w:rsid w:val="007F6E59"/>
    <w:rsid w:val="007F77CB"/>
    <w:rsid w:val="0080004F"/>
    <w:rsid w:val="008008DC"/>
    <w:rsid w:val="00800F9C"/>
    <w:rsid w:val="00801129"/>
    <w:rsid w:val="00801A77"/>
    <w:rsid w:val="00801BE0"/>
    <w:rsid w:val="0080200B"/>
    <w:rsid w:val="00802292"/>
    <w:rsid w:val="00802BF3"/>
    <w:rsid w:val="00803007"/>
    <w:rsid w:val="008030DC"/>
    <w:rsid w:val="00803B93"/>
    <w:rsid w:val="00803CA1"/>
    <w:rsid w:val="008043BD"/>
    <w:rsid w:val="00804741"/>
    <w:rsid w:val="00804893"/>
    <w:rsid w:val="00804CBE"/>
    <w:rsid w:val="00805408"/>
    <w:rsid w:val="008059D2"/>
    <w:rsid w:val="00805A7D"/>
    <w:rsid w:val="00805BA0"/>
    <w:rsid w:val="008062F2"/>
    <w:rsid w:val="00806A6A"/>
    <w:rsid w:val="00807DD7"/>
    <w:rsid w:val="00810AD0"/>
    <w:rsid w:val="008114C4"/>
    <w:rsid w:val="00812B14"/>
    <w:rsid w:val="00814246"/>
    <w:rsid w:val="00814A86"/>
    <w:rsid w:val="00816BB8"/>
    <w:rsid w:val="00817043"/>
    <w:rsid w:val="00817DDD"/>
    <w:rsid w:val="008200A9"/>
    <w:rsid w:val="00820168"/>
    <w:rsid w:val="00820177"/>
    <w:rsid w:val="00820436"/>
    <w:rsid w:val="0082052E"/>
    <w:rsid w:val="00820791"/>
    <w:rsid w:val="00822ACD"/>
    <w:rsid w:val="00822FEA"/>
    <w:rsid w:val="00823C24"/>
    <w:rsid w:val="00824946"/>
    <w:rsid w:val="008252AF"/>
    <w:rsid w:val="008256CC"/>
    <w:rsid w:val="00825EF3"/>
    <w:rsid w:val="00825F32"/>
    <w:rsid w:val="00826299"/>
    <w:rsid w:val="0082651A"/>
    <w:rsid w:val="00826854"/>
    <w:rsid w:val="00826B2F"/>
    <w:rsid w:val="00826B71"/>
    <w:rsid w:val="00826C9C"/>
    <w:rsid w:val="00826E2A"/>
    <w:rsid w:val="00826E53"/>
    <w:rsid w:val="00827011"/>
    <w:rsid w:val="0082734B"/>
    <w:rsid w:val="00827914"/>
    <w:rsid w:val="00827D2C"/>
    <w:rsid w:val="008306C9"/>
    <w:rsid w:val="00830A42"/>
    <w:rsid w:val="0083148F"/>
    <w:rsid w:val="00831C1F"/>
    <w:rsid w:val="00831E49"/>
    <w:rsid w:val="00832342"/>
    <w:rsid w:val="008324EB"/>
    <w:rsid w:val="00832FBB"/>
    <w:rsid w:val="00833053"/>
    <w:rsid w:val="00834152"/>
    <w:rsid w:val="008348C2"/>
    <w:rsid w:val="00834FDD"/>
    <w:rsid w:val="00836B74"/>
    <w:rsid w:val="008376B4"/>
    <w:rsid w:val="00837A3D"/>
    <w:rsid w:val="00837C56"/>
    <w:rsid w:val="008407FF"/>
    <w:rsid w:val="00840F36"/>
    <w:rsid w:val="0084119B"/>
    <w:rsid w:val="00841B72"/>
    <w:rsid w:val="0084203F"/>
    <w:rsid w:val="008428AC"/>
    <w:rsid w:val="00842CF0"/>
    <w:rsid w:val="0084354B"/>
    <w:rsid w:val="00843604"/>
    <w:rsid w:val="0084419E"/>
    <w:rsid w:val="008447CB"/>
    <w:rsid w:val="00845DD9"/>
    <w:rsid w:val="00850B6D"/>
    <w:rsid w:val="00854BC6"/>
    <w:rsid w:val="008554CC"/>
    <w:rsid w:val="008557FE"/>
    <w:rsid w:val="00856A6F"/>
    <w:rsid w:val="00856EF0"/>
    <w:rsid w:val="00857A2D"/>
    <w:rsid w:val="00857C48"/>
    <w:rsid w:val="008610E8"/>
    <w:rsid w:val="00861C15"/>
    <w:rsid w:val="008622E2"/>
    <w:rsid w:val="008627CE"/>
    <w:rsid w:val="008628DD"/>
    <w:rsid w:val="00862C38"/>
    <w:rsid w:val="00862DA4"/>
    <w:rsid w:val="00863734"/>
    <w:rsid w:val="00863E15"/>
    <w:rsid w:val="0086427C"/>
    <w:rsid w:val="00864FBD"/>
    <w:rsid w:val="00864FD2"/>
    <w:rsid w:val="00865B70"/>
    <w:rsid w:val="008663E2"/>
    <w:rsid w:val="00866A1A"/>
    <w:rsid w:val="00866DED"/>
    <w:rsid w:val="00867561"/>
    <w:rsid w:val="00867ADB"/>
    <w:rsid w:val="00870D13"/>
    <w:rsid w:val="00871148"/>
    <w:rsid w:val="008717D9"/>
    <w:rsid w:val="00871947"/>
    <w:rsid w:val="00872551"/>
    <w:rsid w:val="00872879"/>
    <w:rsid w:val="0087309A"/>
    <w:rsid w:val="0087354B"/>
    <w:rsid w:val="00873A2C"/>
    <w:rsid w:val="008743E1"/>
    <w:rsid w:val="00874DC4"/>
    <w:rsid w:val="008750E5"/>
    <w:rsid w:val="00875A7D"/>
    <w:rsid w:val="00875D48"/>
    <w:rsid w:val="00876F92"/>
    <w:rsid w:val="008778C6"/>
    <w:rsid w:val="00877EAD"/>
    <w:rsid w:val="00877F5B"/>
    <w:rsid w:val="0088004E"/>
    <w:rsid w:val="0088079D"/>
    <w:rsid w:val="008807D2"/>
    <w:rsid w:val="0088098A"/>
    <w:rsid w:val="00880E49"/>
    <w:rsid w:val="00880FC6"/>
    <w:rsid w:val="008814E9"/>
    <w:rsid w:val="00882024"/>
    <w:rsid w:val="00882B03"/>
    <w:rsid w:val="00883245"/>
    <w:rsid w:val="008834C6"/>
    <w:rsid w:val="00883B15"/>
    <w:rsid w:val="00883D1C"/>
    <w:rsid w:val="00883EE7"/>
    <w:rsid w:val="00883FB3"/>
    <w:rsid w:val="00884294"/>
    <w:rsid w:val="0088581E"/>
    <w:rsid w:val="008866BD"/>
    <w:rsid w:val="008869DB"/>
    <w:rsid w:val="00886AED"/>
    <w:rsid w:val="00886E6B"/>
    <w:rsid w:val="00887912"/>
    <w:rsid w:val="00887F43"/>
    <w:rsid w:val="0089000B"/>
    <w:rsid w:val="00891EA0"/>
    <w:rsid w:val="00892B5F"/>
    <w:rsid w:val="00892EA8"/>
    <w:rsid w:val="0089332D"/>
    <w:rsid w:val="00893E1A"/>
    <w:rsid w:val="00893FEE"/>
    <w:rsid w:val="008945EB"/>
    <w:rsid w:val="0089533C"/>
    <w:rsid w:val="008964E2"/>
    <w:rsid w:val="00896847"/>
    <w:rsid w:val="008979B9"/>
    <w:rsid w:val="0089BC44"/>
    <w:rsid w:val="008A0873"/>
    <w:rsid w:val="008A0EA7"/>
    <w:rsid w:val="008A160C"/>
    <w:rsid w:val="008A1ADA"/>
    <w:rsid w:val="008A1D79"/>
    <w:rsid w:val="008A2105"/>
    <w:rsid w:val="008A3346"/>
    <w:rsid w:val="008A3695"/>
    <w:rsid w:val="008A4087"/>
    <w:rsid w:val="008A4D10"/>
    <w:rsid w:val="008A5680"/>
    <w:rsid w:val="008A6075"/>
    <w:rsid w:val="008A6759"/>
    <w:rsid w:val="008A7098"/>
    <w:rsid w:val="008B0812"/>
    <w:rsid w:val="008B0D7C"/>
    <w:rsid w:val="008B0DF5"/>
    <w:rsid w:val="008B18CE"/>
    <w:rsid w:val="008B1E11"/>
    <w:rsid w:val="008B207E"/>
    <w:rsid w:val="008B2D95"/>
    <w:rsid w:val="008B31E2"/>
    <w:rsid w:val="008B38B5"/>
    <w:rsid w:val="008B3A70"/>
    <w:rsid w:val="008B3D85"/>
    <w:rsid w:val="008B51AD"/>
    <w:rsid w:val="008B5923"/>
    <w:rsid w:val="008B59EF"/>
    <w:rsid w:val="008B5BE5"/>
    <w:rsid w:val="008B60FB"/>
    <w:rsid w:val="008B646A"/>
    <w:rsid w:val="008B6607"/>
    <w:rsid w:val="008B6850"/>
    <w:rsid w:val="008B6A1D"/>
    <w:rsid w:val="008B6F91"/>
    <w:rsid w:val="008B7658"/>
    <w:rsid w:val="008B7832"/>
    <w:rsid w:val="008C0713"/>
    <w:rsid w:val="008C1491"/>
    <w:rsid w:val="008C15B4"/>
    <w:rsid w:val="008C2593"/>
    <w:rsid w:val="008C2D00"/>
    <w:rsid w:val="008C2FC2"/>
    <w:rsid w:val="008C4491"/>
    <w:rsid w:val="008C4FA8"/>
    <w:rsid w:val="008C5367"/>
    <w:rsid w:val="008C5471"/>
    <w:rsid w:val="008C57FB"/>
    <w:rsid w:val="008D0551"/>
    <w:rsid w:val="008D12F7"/>
    <w:rsid w:val="008D141F"/>
    <w:rsid w:val="008D16DE"/>
    <w:rsid w:val="008D1FB7"/>
    <w:rsid w:val="008D1FCB"/>
    <w:rsid w:val="008D3F66"/>
    <w:rsid w:val="008D400F"/>
    <w:rsid w:val="008D4C41"/>
    <w:rsid w:val="008D59B8"/>
    <w:rsid w:val="008D655D"/>
    <w:rsid w:val="008D777E"/>
    <w:rsid w:val="008D78E5"/>
    <w:rsid w:val="008E0236"/>
    <w:rsid w:val="008E07F8"/>
    <w:rsid w:val="008E1463"/>
    <w:rsid w:val="008E15C7"/>
    <w:rsid w:val="008E314D"/>
    <w:rsid w:val="008E3C68"/>
    <w:rsid w:val="008E3CFD"/>
    <w:rsid w:val="008E4292"/>
    <w:rsid w:val="008E43DB"/>
    <w:rsid w:val="008E446E"/>
    <w:rsid w:val="008E45A0"/>
    <w:rsid w:val="008E4C8B"/>
    <w:rsid w:val="008E54AB"/>
    <w:rsid w:val="008E5595"/>
    <w:rsid w:val="008E5620"/>
    <w:rsid w:val="008E5B29"/>
    <w:rsid w:val="008E5BAE"/>
    <w:rsid w:val="008E66F2"/>
    <w:rsid w:val="008E6BCB"/>
    <w:rsid w:val="008E7A9D"/>
    <w:rsid w:val="008F03E8"/>
    <w:rsid w:val="008F0692"/>
    <w:rsid w:val="008F1A60"/>
    <w:rsid w:val="008F1BE9"/>
    <w:rsid w:val="008F29C9"/>
    <w:rsid w:val="008F2B03"/>
    <w:rsid w:val="008F31B5"/>
    <w:rsid w:val="008F4966"/>
    <w:rsid w:val="008F4D76"/>
    <w:rsid w:val="008F4E33"/>
    <w:rsid w:val="008F5209"/>
    <w:rsid w:val="008F5F1D"/>
    <w:rsid w:val="008F78A5"/>
    <w:rsid w:val="008F79EB"/>
    <w:rsid w:val="008F7D88"/>
    <w:rsid w:val="0090013C"/>
    <w:rsid w:val="0090031D"/>
    <w:rsid w:val="009003EF"/>
    <w:rsid w:val="009008B5"/>
    <w:rsid w:val="0090148B"/>
    <w:rsid w:val="009041DE"/>
    <w:rsid w:val="0090549A"/>
    <w:rsid w:val="00905E88"/>
    <w:rsid w:val="00906324"/>
    <w:rsid w:val="009063D5"/>
    <w:rsid w:val="00907391"/>
    <w:rsid w:val="00910D3E"/>
    <w:rsid w:val="00913612"/>
    <w:rsid w:val="00913D62"/>
    <w:rsid w:val="00913E68"/>
    <w:rsid w:val="0091450B"/>
    <w:rsid w:val="00914867"/>
    <w:rsid w:val="00914DE9"/>
    <w:rsid w:val="00915A55"/>
    <w:rsid w:val="00915A5A"/>
    <w:rsid w:val="0091618E"/>
    <w:rsid w:val="0091626B"/>
    <w:rsid w:val="00916ECC"/>
    <w:rsid w:val="00920099"/>
    <w:rsid w:val="00920197"/>
    <w:rsid w:val="00920BE7"/>
    <w:rsid w:val="00921173"/>
    <w:rsid w:val="00922461"/>
    <w:rsid w:val="00922C53"/>
    <w:rsid w:val="00923D25"/>
    <w:rsid w:val="009244E4"/>
    <w:rsid w:val="00924B30"/>
    <w:rsid w:val="00924CE0"/>
    <w:rsid w:val="00924EB3"/>
    <w:rsid w:val="00924F17"/>
    <w:rsid w:val="00924F5C"/>
    <w:rsid w:val="00925B8A"/>
    <w:rsid w:val="00925D85"/>
    <w:rsid w:val="009263E6"/>
    <w:rsid w:val="00926570"/>
    <w:rsid w:val="00926AE7"/>
    <w:rsid w:val="00927749"/>
    <w:rsid w:val="009278D7"/>
    <w:rsid w:val="009279C2"/>
    <w:rsid w:val="00927C7E"/>
    <w:rsid w:val="00927FFA"/>
    <w:rsid w:val="0093044A"/>
    <w:rsid w:val="00930452"/>
    <w:rsid w:val="009304AC"/>
    <w:rsid w:val="00930CDE"/>
    <w:rsid w:val="00931670"/>
    <w:rsid w:val="00931B45"/>
    <w:rsid w:val="00932075"/>
    <w:rsid w:val="00932BF8"/>
    <w:rsid w:val="0093301C"/>
    <w:rsid w:val="0093321F"/>
    <w:rsid w:val="0093325A"/>
    <w:rsid w:val="00933D3D"/>
    <w:rsid w:val="009348DB"/>
    <w:rsid w:val="00934F2F"/>
    <w:rsid w:val="0093517E"/>
    <w:rsid w:val="0093661D"/>
    <w:rsid w:val="009368B7"/>
    <w:rsid w:val="00936C17"/>
    <w:rsid w:val="00936E90"/>
    <w:rsid w:val="00937734"/>
    <w:rsid w:val="00937E4C"/>
    <w:rsid w:val="00937EBB"/>
    <w:rsid w:val="0094104D"/>
    <w:rsid w:val="0094214D"/>
    <w:rsid w:val="009429C7"/>
    <w:rsid w:val="009437A4"/>
    <w:rsid w:val="00944284"/>
    <w:rsid w:val="0094472D"/>
    <w:rsid w:val="00944BBE"/>
    <w:rsid w:val="0094584C"/>
    <w:rsid w:val="009459DD"/>
    <w:rsid w:val="00946097"/>
    <w:rsid w:val="009470CF"/>
    <w:rsid w:val="009473B5"/>
    <w:rsid w:val="00947710"/>
    <w:rsid w:val="00947C1D"/>
    <w:rsid w:val="00947D71"/>
    <w:rsid w:val="00950345"/>
    <w:rsid w:val="009512C6"/>
    <w:rsid w:val="00951CA0"/>
    <w:rsid w:val="00951DB5"/>
    <w:rsid w:val="00952E30"/>
    <w:rsid w:val="00954832"/>
    <w:rsid w:val="0095492B"/>
    <w:rsid w:val="009556CD"/>
    <w:rsid w:val="00955884"/>
    <w:rsid w:val="00955E45"/>
    <w:rsid w:val="00956F87"/>
    <w:rsid w:val="009601F3"/>
    <w:rsid w:val="00960366"/>
    <w:rsid w:val="0096103C"/>
    <w:rsid w:val="0096181A"/>
    <w:rsid w:val="00961D4D"/>
    <w:rsid w:val="00962502"/>
    <w:rsid w:val="009625F8"/>
    <w:rsid w:val="009633DC"/>
    <w:rsid w:val="0096459E"/>
    <w:rsid w:val="00965799"/>
    <w:rsid w:val="00965822"/>
    <w:rsid w:val="00966453"/>
    <w:rsid w:val="00966A49"/>
    <w:rsid w:val="00966B70"/>
    <w:rsid w:val="009670C0"/>
    <w:rsid w:val="00967282"/>
    <w:rsid w:val="00967600"/>
    <w:rsid w:val="00967DA6"/>
    <w:rsid w:val="009701EC"/>
    <w:rsid w:val="009703C5"/>
    <w:rsid w:val="009706C6"/>
    <w:rsid w:val="00970C90"/>
    <w:rsid w:val="00970C98"/>
    <w:rsid w:val="00970CF9"/>
    <w:rsid w:val="00970DB9"/>
    <w:rsid w:val="00972063"/>
    <w:rsid w:val="00972149"/>
    <w:rsid w:val="00972A42"/>
    <w:rsid w:val="00972D4A"/>
    <w:rsid w:val="0097466C"/>
    <w:rsid w:val="0097478D"/>
    <w:rsid w:val="00974BC3"/>
    <w:rsid w:val="00975DAC"/>
    <w:rsid w:val="009769F2"/>
    <w:rsid w:val="00977D92"/>
    <w:rsid w:val="00977DDE"/>
    <w:rsid w:val="009804E6"/>
    <w:rsid w:val="00980702"/>
    <w:rsid w:val="00981E83"/>
    <w:rsid w:val="009824A6"/>
    <w:rsid w:val="00982972"/>
    <w:rsid w:val="00983FC5"/>
    <w:rsid w:val="0098491D"/>
    <w:rsid w:val="0098550D"/>
    <w:rsid w:val="00985E21"/>
    <w:rsid w:val="00986AC3"/>
    <w:rsid w:val="00987152"/>
    <w:rsid w:val="00987247"/>
    <w:rsid w:val="009907C0"/>
    <w:rsid w:val="00990B75"/>
    <w:rsid w:val="00991537"/>
    <w:rsid w:val="009915C2"/>
    <w:rsid w:val="00991609"/>
    <w:rsid w:val="00991AB6"/>
    <w:rsid w:val="00991C0F"/>
    <w:rsid w:val="009926F3"/>
    <w:rsid w:val="00992C76"/>
    <w:rsid w:val="0099381E"/>
    <w:rsid w:val="009938DC"/>
    <w:rsid w:val="00994A47"/>
    <w:rsid w:val="0099570E"/>
    <w:rsid w:val="009959D0"/>
    <w:rsid w:val="009A02C1"/>
    <w:rsid w:val="009A0A16"/>
    <w:rsid w:val="009A0DED"/>
    <w:rsid w:val="009A11CC"/>
    <w:rsid w:val="009A27C0"/>
    <w:rsid w:val="009A281F"/>
    <w:rsid w:val="009A2CD1"/>
    <w:rsid w:val="009A33F4"/>
    <w:rsid w:val="009A3D76"/>
    <w:rsid w:val="009A4BA0"/>
    <w:rsid w:val="009A5316"/>
    <w:rsid w:val="009A5B49"/>
    <w:rsid w:val="009A6502"/>
    <w:rsid w:val="009A6DA1"/>
    <w:rsid w:val="009B1078"/>
    <w:rsid w:val="009B23F1"/>
    <w:rsid w:val="009B3139"/>
    <w:rsid w:val="009B3700"/>
    <w:rsid w:val="009B40A0"/>
    <w:rsid w:val="009B4AF2"/>
    <w:rsid w:val="009B4F63"/>
    <w:rsid w:val="009B6C0C"/>
    <w:rsid w:val="009B74A4"/>
    <w:rsid w:val="009B770D"/>
    <w:rsid w:val="009B7DBE"/>
    <w:rsid w:val="009C0EA6"/>
    <w:rsid w:val="009C2093"/>
    <w:rsid w:val="009C215F"/>
    <w:rsid w:val="009C3487"/>
    <w:rsid w:val="009C4247"/>
    <w:rsid w:val="009C4577"/>
    <w:rsid w:val="009C4C64"/>
    <w:rsid w:val="009C4F86"/>
    <w:rsid w:val="009C516B"/>
    <w:rsid w:val="009C516D"/>
    <w:rsid w:val="009C58D0"/>
    <w:rsid w:val="009C6E2E"/>
    <w:rsid w:val="009D0044"/>
    <w:rsid w:val="009D046A"/>
    <w:rsid w:val="009D1915"/>
    <w:rsid w:val="009D369F"/>
    <w:rsid w:val="009D36FE"/>
    <w:rsid w:val="009D4CCD"/>
    <w:rsid w:val="009D51F8"/>
    <w:rsid w:val="009D5315"/>
    <w:rsid w:val="009D58A6"/>
    <w:rsid w:val="009D5E99"/>
    <w:rsid w:val="009D6561"/>
    <w:rsid w:val="009D6E7E"/>
    <w:rsid w:val="009D73D2"/>
    <w:rsid w:val="009D75FA"/>
    <w:rsid w:val="009E03D0"/>
    <w:rsid w:val="009E0613"/>
    <w:rsid w:val="009E1AC6"/>
    <w:rsid w:val="009E4108"/>
    <w:rsid w:val="009E460F"/>
    <w:rsid w:val="009E5806"/>
    <w:rsid w:val="009E683A"/>
    <w:rsid w:val="009E6E55"/>
    <w:rsid w:val="009E7769"/>
    <w:rsid w:val="009F02F3"/>
    <w:rsid w:val="009F0581"/>
    <w:rsid w:val="009F0814"/>
    <w:rsid w:val="009F08B0"/>
    <w:rsid w:val="009F36C8"/>
    <w:rsid w:val="009F5093"/>
    <w:rsid w:val="009F53E6"/>
    <w:rsid w:val="009F5860"/>
    <w:rsid w:val="009F5933"/>
    <w:rsid w:val="009F5B04"/>
    <w:rsid w:val="009F62C3"/>
    <w:rsid w:val="009F6708"/>
    <w:rsid w:val="009F6F09"/>
    <w:rsid w:val="009F7DFC"/>
    <w:rsid w:val="00A006C6"/>
    <w:rsid w:val="00A00F7B"/>
    <w:rsid w:val="00A01952"/>
    <w:rsid w:val="00A01D43"/>
    <w:rsid w:val="00A02018"/>
    <w:rsid w:val="00A021A0"/>
    <w:rsid w:val="00A02579"/>
    <w:rsid w:val="00A02779"/>
    <w:rsid w:val="00A02BDB"/>
    <w:rsid w:val="00A03932"/>
    <w:rsid w:val="00A04B3B"/>
    <w:rsid w:val="00A055CB"/>
    <w:rsid w:val="00A05683"/>
    <w:rsid w:val="00A056D0"/>
    <w:rsid w:val="00A060BB"/>
    <w:rsid w:val="00A063C2"/>
    <w:rsid w:val="00A064DA"/>
    <w:rsid w:val="00A0740D"/>
    <w:rsid w:val="00A079DE"/>
    <w:rsid w:val="00A07CB3"/>
    <w:rsid w:val="00A07F36"/>
    <w:rsid w:val="00A14E69"/>
    <w:rsid w:val="00A15856"/>
    <w:rsid w:val="00A16739"/>
    <w:rsid w:val="00A17516"/>
    <w:rsid w:val="00A177D8"/>
    <w:rsid w:val="00A17DF8"/>
    <w:rsid w:val="00A20447"/>
    <w:rsid w:val="00A20F1A"/>
    <w:rsid w:val="00A21156"/>
    <w:rsid w:val="00A21413"/>
    <w:rsid w:val="00A22B9A"/>
    <w:rsid w:val="00A22C00"/>
    <w:rsid w:val="00A22FBA"/>
    <w:rsid w:val="00A2316D"/>
    <w:rsid w:val="00A23350"/>
    <w:rsid w:val="00A235B0"/>
    <w:rsid w:val="00A23630"/>
    <w:rsid w:val="00A24ABC"/>
    <w:rsid w:val="00A2599C"/>
    <w:rsid w:val="00A26080"/>
    <w:rsid w:val="00A2659B"/>
    <w:rsid w:val="00A27376"/>
    <w:rsid w:val="00A27434"/>
    <w:rsid w:val="00A276EB"/>
    <w:rsid w:val="00A30203"/>
    <w:rsid w:val="00A3096C"/>
    <w:rsid w:val="00A32050"/>
    <w:rsid w:val="00A328A8"/>
    <w:rsid w:val="00A328EC"/>
    <w:rsid w:val="00A32F51"/>
    <w:rsid w:val="00A3363C"/>
    <w:rsid w:val="00A336C5"/>
    <w:rsid w:val="00A33A73"/>
    <w:rsid w:val="00A341D7"/>
    <w:rsid w:val="00A35213"/>
    <w:rsid w:val="00A36262"/>
    <w:rsid w:val="00A363FE"/>
    <w:rsid w:val="00A36534"/>
    <w:rsid w:val="00A36C56"/>
    <w:rsid w:val="00A36FA6"/>
    <w:rsid w:val="00A37150"/>
    <w:rsid w:val="00A37FD9"/>
    <w:rsid w:val="00A4018D"/>
    <w:rsid w:val="00A40984"/>
    <w:rsid w:val="00A40ADE"/>
    <w:rsid w:val="00A40F25"/>
    <w:rsid w:val="00A41592"/>
    <w:rsid w:val="00A4235F"/>
    <w:rsid w:val="00A42645"/>
    <w:rsid w:val="00A430A3"/>
    <w:rsid w:val="00A43484"/>
    <w:rsid w:val="00A43636"/>
    <w:rsid w:val="00A44B85"/>
    <w:rsid w:val="00A4512E"/>
    <w:rsid w:val="00A46623"/>
    <w:rsid w:val="00A46E58"/>
    <w:rsid w:val="00A46FB0"/>
    <w:rsid w:val="00A47004"/>
    <w:rsid w:val="00A47532"/>
    <w:rsid w:val="00A476B1"/>
    <w:rsid w:val="00A47B86"/>
    <w:rsid w:val="00A5035E"/>
    <w:rsid w:val="00A50A54"/>
    <w:rsid w:val="00A51AF8"/>
    <w:rsid w:val="00A52887"/>
    <w:rsid w:val="00A52ADE"/>
    <w:rsid w:val="00A52C7C"/>
    <w:rsid w:val="00A53EA3"/>
    <w:rsid w:val="00A54765"/>
    <w:rsid w:val="00A54A37"/>
    <w:rsid w:val="00A55551"/>
    <w:rsid w:val="00A5595E"/>
    <w:rsid w:val="00A55AEA"/>
    <w:rsid w:val="00A5713E"/>
    <w:rsid w:val="00A5735D"/>
    <w:rsid w:val="00A57487"/>
    <w:rsid w:val="00A602D0"/>
    <w:rsid w:val="00A603FE"/>
    <w:rsid w:val="00A60418"/>
    <w:rsid w:val="00A60BF0"/>
    <w:rsid w:val="00A625E2"/>
    <w:rsid w:val="00A62F67"/>
    <w:rsid w:val="00A639D1"/>
    <w:rsid w:val="00A65814"/>
    <w:rsid w:val="00A65A41"/>
    <w:rsid w:val="00A66646"/>
    <w:rsid w:val="00A66834"/>
    <w:rsid w:val="00A66B29"/>
    <w:rsid w:val="00A70292"/>
    <w:rsid w:val="00A707AA"/>
    <w:rsid w:val="00A71486"/>
    <w:rsid w:val="00A720E1"/>
    <w:rsid w:val="00A72D74"/>
    <w:rsid w:val="00A72F1B"/>
    <w:rsid w:val="00A73139"/>
    <w:rsid w:val="00A73656"/>
    <w:rsid w:val="00A73DDD"/>
    <w:rsid w:val="00A74BF2"/>
    <w:rsid w:val="00A74F37"/>
    <w:rsid w:val="00A761B0"/>
    <w:rsid w:val="00A762B1"/>
    <w:rsid w:val="00A76487"/>
    <w:rsid w:val="00A778BE"/>
    <w:rsid w:val="00A77CF2"/>
    <w:rsid w:val="00A801AE"/>
    <w:rsid w:val="00A802BA"/>
    <w:rsid w:val="00A80D0B"/>
    <w:rsid w:val="00A80ED9"/>
    <w:rsid w:val="00A81342"/>
    <w:rsid w:val="00A82547"/>
    <w:rsid w:val="00A825FA"/>
    <w:rsid w:val="00A82AE2"/>
    <w:rsid w:val="00A838C4"/>
    <w:rsid w:val="00A84DDA"/>
    <w:rsid w:val="00A8565A"/>
    <w:rsid w:val="00A85D64"/>
    <w:rsid w:val="00A86815"/>
    <w:rsid w:val="00A86E17"/>
    <w:rsid w:val="00A902B5"/>
    <w:rsid w:val="00A90750"/>
    <w:rsid w:val="00A908D5"/>
    <w:rsid w:val="00A924EF"/>
    <w:rsid w:val="00A92CEB"/>
    <w:rsid w:val="00A92F53"/>
    <w:rsid w:val="00A93309"/>
    <w:rsid w:val="00A9398F"/>
    <w:rsid w:val="00A95578"/>
    <w:rsid w:val="00A95CE6"/>
    <w:rsid w:val="00A96624"/>
    <w:rsid w:val="00A968F1"/>
    <w:rsid w:val="00A96971"/>
    <w:rsid w:val="00A96A25"/>
    <w:rsid w:val="00A96C70"/>
    <w:rsid w:val="00A97080"/>
    <w:rsid w:val="00A97416"/>
    <w:rsid w:val="00AA10E3"/>
    <w:rsid w:val="00AA1DF9"/>
    <w:rsid w:val="00AA2599"/>
    <w:rsid w:val="00AA3BA8"/>
    <w:rsid w:val="00AA3D5E"/>
    <w:rsid w:val="00AA4178"/>
    <w:rsid w:val="00AA426F"/>
    <w:rsid w:val="00AA4431"/>
    <w:rsid w:val="00AA59E6"/>
    <w:rsid w:val="00AA5D7C"/>
    <w:rsid w:val="00AA603E"/>
    <w:rsid w:val="00AA6403"/>
    <w:rsid w:val="00AA7604"/>
    <w:rsid w:val="00AA7CA8"/>
    <w:rsid w:val="00AB0752"/>
    <w:rsid w:val="00AB0CED"/>
    <w:rsid w:val="00AB14ED"/>
    <w:rsid w:val="00AB1DCD"/>
    <w:rsid w:val="00AB1E12"/>
    <w:rsid w:val="00AB22DB"/>
    <w:rsid w:val="00AB2E67"/>
    <w:rsid w:val="00AB31AE"/>
    <w:rsid w:val="00AB36E6"/>
    <w:rsid w:val="00AB3C55"/>
    <w:rsid w:val="00AB3C6E"/>
    <w:rsid w:val="00AB41F7"/>
    <w:rsid w:val="00AB46C1"/>
    <w:rsid w:val="00AB4BB6"/>
    <w:rsid w:val="00AB4E8D"/>
    <w:rsid w:val="00AB5274"/>
    <w:rsid w:val="00AB5B89"/>
    <w:rsid w:val="00AB60FA"/>
    <w:rsid w:val="00AB6F03"/>
    <w:rsid w:val="00AB7131"/>
    <w:rsid w:val="00AB7765"/>
    <w:rsid w:val="00AB7B03"/>
    <w:rsid w:val="00AB7C34"/>
    <w:rsid w:val="00AC10A8"/>
    <w:rsid w:val="00AC31DF"/>
    <w:rsid w:val="00AC4C69"/>
    <w:rsid w:val="00AC6158"/>
    <w:rsid w:val="00AD012E"/>
    <w:rsid w:val="00AD087B"/>
    <w:rsid w:val="00AD09E8"/>
    <w:rsid w:val="00AD1BC8"/>
    <w:rsid w:val="00AD1BCE"/>
    <w:rsid w:val="00AD20D2"/>
    <w:rsid w:val="00AD21D5"/>
    <w:rsid w:val="00AD3115"/>
    <w:rsid w:val="00AD36FE"/>
    <w:rsid w:val="00AD3990"/>
    <w:rsid w:val="00AD3F15"/>
    <w:rsid w:val="00AD5E1A"/>
    <w:rsid w:val="00AD5F24"/>
    <w:rsid w:val="00AD69D7"/>
    <w:rsid w:val="00AE0F9E"/>
    <w:rsid w:val="00AE1EE2"/>
    <w:rsid w:val="00AE287C"/>
    <w:rsid w:val="00AE3C62"/>
    <w:rsid w:val="00AE444B"/>
    <w:rsid w:val="00AE4736"/>
    <w:rsid w:val="00AE4C69"/>
    <w:rsid w:val="00AE4D0F"/>
    <w:rsid w:val="00AE54FC"/>
    <w:rsid w:val="00AE5A3D"/>
    <w:rsid w:val="00AE5FB6"/>
    <w:rsid w:val="00AE60E1"/>
    <w:rsid w:val="00AE6274"/>
    <w:rsid w:val="00AE6412"/>
    <w:rsid w:val="00AE65CD"/>
    <w:rsid w:val="00AF01CF"/>
    <w:rsid w:val="00AF07C3"/>
    <w:rsid w:val="00AF28B9"/>
    <w:rsid w:val="00AF34F0"/>
    <w:rsid w:val="00AF38E7"/>
    <w:rsid w:val="00AF40CC"/>
    <w:rsid w:val="00AF4328"/>
    <w:rsid w:val="00AF49BE"/>
    <w:rsid w:val="00AF519F"/>
    <w:rsid w:val="00AF5772"/>
    <w:rsid w:val="00AF704C"/>
    <w:rsid w:val="00AF73DF"/>
    <w:rsid w:val="00AF7595"/>
    <w:rsid w:val="00B0095F"/>
    <w:rsid w:val="00B00977"/>
    <w:rsid w:val="00B0166F"/>
    <w:rsid w:val="00B01E35"/>
    <w:rsid w:val="00B022AD"/>
    <w:rsid w:val="00B02F73"/>
    <w:rsid w:val="00B03310"/>
    <w:rsid w:val="00B042D1"/>
    <w:rsid w:val="00B04587"/>
    <w:rsid w:val="00B04A56"/>
    <w:rsid w:val="00B04B37"/>
    <w:rsid w:val="00B04D4F"/>
    <w:rsid w:val="00B04E82"/>
    <w:rsid w:val="00B059A8"/>
    <w:rsid w:val="00B0648F"/>
    <w:rsid w:val="00B06DF8"/>
    <w:rsid w:val="00B07D12"/>
    <w:rsid w:val="00B10EDD"/>
    <w:rsid w:val="00B12027"/>
    <w:rsid w:val="00B12308"/>
    <w:rsid w:val="00B129B2"/>
    <w:rsid w:val="00B130D3"/>
    <w:rsid w:val="00B13A03"/>
    <w:rsid w:val="00B13AAB"/>
    <w:rsid w:val="00B13CCE"/>
    <w:rsid w:val="00B13E70"/>
    <w:rsid w:val="00B141DD"/>
    <w:rsid w:val="00B145C7"/>
    <w:rsid w:val="00B155F6"/>
    <w:rsid w:val="00B1561E"/>
    <w:rsid w:val="00B15B02"/>
    <w:rsid w:val="00B17E61"/>
    <w:rsid w:val="00B20455"/>
    <w:rsid w:val="00B2194B"/>
    <w:rsid w:val="00B21A76"/>
    <w:rsid w:val="00B2237C"/>
    <w:rsid w:val="00B22708"/>
    <w:rsid w:val="00B22B15"/>
    <w:rsid w:val="00B2338C"/>
    <w:rsid w:val="00B237D0"/>
    <w:rsid w:val="00B24CAE"/>
    <w:rsid w:val="00B251E8"/>
    <w:rsid w:val="00B25230"/>
    <w:rsid w:val="00B25ADD"/>
    <w:rsid w:val="00B2614E"/>
    <w:rsid w:val="00B26496"/>
    <w:rsid w:val="00B26498"/>
    <w:rsid w:val="00B26992"/>
    <w:rsid w:val="00B26D0B"/>
    <w:rsid w:val="00B27033"/>
    <w:rsid w:val="00B27A9F"/>
    <w:rsid w:val="00B27CC3"/>
    <w:rsid w:val="00B32044"/>
    <w:rsid w:val="00B322F3"/>
    <w:rsid w:val="00B3244F"/>
    <w:rsid w:val="00B33673"/>
    <w:rsid w:val="00B33879"/>
    <w:rsid w:val="00B33FCE"/>
    <w:rsid w:val="00B349D6"/>
    <w:rsid w:val="00B349F5"/>
    <w:rsid w:val="00B3515D"/>
    <w:rsid w:val="00B35205"/>
    <w:rsid w:val="00B35E9B"/>
    <w:rsid w:val="00B35FDC"/>
    <w:rsid w:val="00B36C62"/>
    <w:rsid w:val="00B36FA1"/>
    <w:rsid w:val="00B37492"/>
    <w:rsid w:val="00B375DE"/>
    <w:rsid w:val="00B407F7"/>
    <w:rsid w:val="00B40962"/>
    <w:rsid w:val="00B40F42"/>
    <w:rsid w:val="00B43F99"/>
    <w:rsid w:val="00B445D3"/>
    <w:rsid w:val="00B44682"/>
    <w:rsid w:val="00B44773"/>
    <w:rsid w:val="00B44811"/>
    <w:rsid w:val="00B449DB"/>
    <w:rsid w:val="00B45BCB"/>
    <w:rsid w:val="00B468BA"/>
    <w:rsid w:val="00B468DD"/>
    <w:rsid w:val="00B46E5C"/>
    <w:rsid w:val="00B475E5"/>
    <w:rsid w:val="00B47D94"/>
    <w:rsid w:val="00B50E0F"/>
    <w:rsid w:val="00B50E62"/>
    <w:rsid w:val="00B51D00"/>
    <w:rsid w:val="00B53127"/>
    <w:rsid w:val="00B53658"/>
    <w:rsid w:val="00B53947"/>
    <w:rsid w:val="00B53CAB"/>
    <w:rsid w:val="00B544BE"/>
    <w:rsid w:val="00B55853"/>
    <w:rsid w:val="00B56309"/>
    <w:rsid w:val="00B56783"/>
    <w:rsid w:val="00B5714F"/>
    <w:rsid w:val="00B576D7"/>
    <w:rsid w:val="00B577A3"/>
    <w:rsid w:val="00B60A6B"/>
    <w:rsid w:val="00B60B52"/>
    <w:rsid w:val="00B60F71"/>
    <w:rsid w:val="00B60FC5"/>
    <w:rsid w:val="00B6117C"/>
    <w:rsid w:val="00B614EA"/>
    <w:rsid w:val="00B61578"/>
    <w:rsid w:val="00B61D4A"/>
    <w:rsid w:val="00B61F1B"/>
    <w:rsid w:val="00B622CA"/>
    <w:rsid w:val="00B623D6"/>
    <w:rsid w:val="00B6247F"/>
    <w:rsid w:val="00B635E4"/>
    <w:rsid w:val="00B643BA"/>
    <w:rsid w:val="00B64480"/>
    <w:rsid w:val="00B64B21"/>
    <w:rsid w:val="00B64E40"/>
    <w:rsid w:val="00B65230"/>
    <w:rsid w:val="00B652FF"/>
    <w:rsid w:val="00B659F2"/>
    <w:rsid w:val="00B65C5F"/>
    <w:rsid w:val="00B66F64"/>
    <w:rsid w:val="00B67003"/>
    <w:rsid w:val="00B67FE3"/>
    <w:rsid w:val="00B70372"/>
    <w:rsid w:val="00B71740"/>
    <w:rsid w:val="00B736D8"/>
    <w:rsid w:val="00B739F6"/>
    <w:rsid w:val="00B74143"/>
    <w:rsid w:val="00B741CB"/>
    <w:rsid w:val="00B7421C"/>
    <w:rsid w:val="00B75256"/>
    <w:rsid w:val="00B754D1"/>
    <w:rsid w:val="00B75629"/>
    <w:rsid w:val="00B75FE9"/>
    <w:rsid w:val="00B7607D"/>
    <w:rsid w:val="00B764F1"/>
    <w:rsid w:val="00B8009E"/>
    <w:rsid w:val="00B80169"/>
    <w:rsid w:val="00B80C1B"/>
    <w:rsid w:val="00B8157C"/>
    <w:rsid w:val="00B82713"/>
    <w:rsid w:val="00B83712"/>
    <w:rsid w:val="00B84842"/>
    <w:rsid w:val="00B85196"/>
    <w:rsid w:val="00B8685D"/>
    <w:rsid w:val="00B87400"/>
    <w:rsid w:val="00B8749B"/>
    <w:rsid w:val="00B90A72"/>
    <w:rsid w:val="00B9101D"/>
    <w:rsid w:val="00B9270D"/>
    <w:rsid w:val="00B92C7A"/>
    <w:rsid w:val="00B936C1"/>
    <w:rsid w:val="00B93870"/>
    <w:rsid w:val="00B9426F"/>
    <w:rsid w:val="00B9558F"/>
    <w:rsid w:val="00B95856"/>
    <w:rsid w:val="00B95B01"/>
    <w:rsid w:val="00B965B4"/>
    <w:rsid w:val="00B9673C"/>
    <w:rsid w:val="00B96788"/>
    <w:rsid w:val="00B9697B"/>
    <w:rsid w:val="00B972DE"/>
    <w:rsid w:val="00B974D4"/>
    <w:rsid w:val="00BA1340"/>
    <w:rsid w:val="00BA2055"/>
    <w:rsid w:val="00BA24B0"/>
    <w:rsid w:val="00BA2AE9"/>
    <w:rsid w:val="00BA397F"/>
    <w:rsid w:val="00BA3E41"/>
    <w:rsid w:val="00BA3EA3"/>
    <w:rsid w:val="00BA484D"/>
    <w:rsid w:val="00BA7384"/>
    <w:rsid w:val="00BA73EF"/>
    <w:rsid w:val="00BB03A6"/>
    <w:rsid w:val="00BB09A9"/>
    <w:rsid w:val="00BB0C55"/>
    <w:rsid w:val="00BB0DC2"/>
    <w:rsid w:val="00BB2102"/>
    <w:rsid w:val="00BB2111"/>
    <w:rsid w:val="00BB23BC"/>
    <w:rsid w:val="00BB323C"/>
    <w:rsid w:val="00BB33FF"/>
    <w:rsid w:val="00BB4A88"/>
    <w:rsid w:val="00BB4B4B"/>
    <w:rsid w:val="00BB5FE3"/>
    <w:rsid w:val="00BB6902"/>
    <w:rsid w:val="00BB71ED"/>
    <w:rsid w:val="00BB74E6"/>
    <w:rsid w:val="00BC0ED5"/>
    <w:rsid w:val="00BC15AD"/>
    <w:rsid w:val="00BC1AFF"/>
    <w:rsid w:val="00BC5242"/>
    <w:rsid w:val="00BC5CC2"/>
    <w:rsid w:val="00BC5E99"/>
    <w:rsid w:val="00BC662A"/>
    <w:rsid w:val="00BC68FE"/>
    <w:rsid w:val="00BC6DFE"/>
    <w:rsid w:val="00BC7302"/>
    <w:rsid w:val="00BC7853"/>
    <w:rsid w:val="00BC7D52"/>
    <w:rsid w:val="00BD0003"/>
    <w:rsid w:val="00BD07B9"/>
    <w:rsid w:val="00BD0DF8"/>
    <w:rsid w:val="00BD1696"/>
    <w:rsid w:val="00BD16A5"/>
    <w:rsid w:val="00BD16F5"/>
    <w:rsid w:val="00BD171E"/>
    <w:rsid w:val="00BD21C6"/>
    <w:rsid w:val="00BD362D"/>
    <w:rsid w:val="00BD4463"/>
    <w:rsid w:val="00BD49AB"/>
    <w:rsid w:val="00BD4A5E"/>
    <w:rsid w:val="00BD643A"/>
    <w:rsid w:val="00BD6482"/>
    <w:rsid w:val="00BD6744"/>
    <w:rsid w:val="00BD7540"/>
    <w:rsid w:val="00BD7CB1"/>
    <w:rsid w:val="00BE08EE"/>
    <w:rsid w:val="00BE09B1"/>
    <w:rsid w:val="00BE0B82"/>
    <w:rsid w:val="00BE192B"/>
    <w:rsid w:val="00BE24E1"/>
    <w:rsid w:val="00BE2919"/>
    <w:rsid w:val="00BE2ED4"/>
    <w:rsid w:val="00BE3009"/>
    <w:rsid w:val="00BE3FAD"/>
    <w:rsid w:val="00BE439F"/>
    <w:rsid w:val="00BE43EF"/>
    <w:rsid w:val="00BE4A67"/>
    <w:rsid w:val="00BE547D"/>
    <w:rsid w:val="00BE581F"/>
    <w:rsid w:val="00BE5966"/>
    <w:rsid w:val="00BE5C9A"/>
    <w:rsid w:val="00BE6100"/>
    <w:rsid w:val="00BE6E54"/>
    <w:rsid w:val="00BE73A4"/>
    <w:rsid w:val="00BE7625"/>
    <w:rsid w:val="00BF1FDD"/>
    <w:rsid w:val="00BF27FC"/>
    <w:rsid w:val="00BF3CEF"/>
    <w:rsid w:val="00BF4271"/>
    <w:rsid w:val="00BF4AED"/>
    <w:rsid w:val="00BF5EEB"/>
    <w:rsid w:val="00BF65C6"/>
    <w:rsid w:val="00BF678C"/>
    <w:rsid w:val="00BF6B06"/>
    <w:rsid w:val="00BF718E"/>
    <w:rsid w:val="00BF7511"/>
    <w:rsid w:val="00BF7596"/>
    <w:rsid w:val="00C00731"/>
    <w:rsid w:val="00C0090A"/>
    <w:rsid w:val="00C02B39"/>
    <w:rsid w:val="00C02ED2"/>
    <w:rsid w:val="00C03281"/>
    <w:rsid w:val="00C03485"/>
    <w:rsid w:val="00C03889"/>
    <w:rsid w:val="00C038D8"/>
    <w:rsid w:val="00C041FB"/>
    <w:rsid w:val="00C04330"/>
    <w:rsid w:val="00C043D9"/>
    <w:rsid w:val="00C046FD"/>
    <w:rsid w:val="00C05154"/>
    <w:rsid w:val="00C05E82"/>
    <w:rsid w:val="00C06884"/>
    <w:rsid w:val="00C06919"/>
    <w:rsid w:val="00C06B19"/>
    <w:rsid w:val="00C078EA"/>
    <w:rsid w:val="00C10764"/>
    <w:rsid w:val="00C10ABF"/>
    <w:rsid w:val="00C10B45"/>
    <w:rsid w:val="00C11B66"/>
    <w:rsid w:val="00C11F0D"/>
    <w:rsid w:val="00C12437"/>
    <w:rsid w:val="00C12CDF"/>
    <w:rsid w:val="00C13208"/>
    <w:rsid w:val="00C134D9"/>
    <w:rsid w:val="00C13A06"/>
    <w:rsid w:val="00C13C4C"/>
    <w:rsid w:val="00C14211"/>
    <w:rsid w:val="00C1466E"/>
    <w:rsid w:val="00C149EE"/>
    <w:rsid w:val="00C14E2C"/>
    <w:rsid w:val="00C17DD7"/>
    <w:rsid w:val="00C20D21"/>
    <w:rsid w:val="00C2160E"/>
    <w:rsid w:val="00C21DB3"/>
    <w:rsid w:val="00C22E85"/>
    <w:rsid w:val="00C235C8"/>
    <w:rsid w:val="00C23B65"/>
    <w:rsid w:val="00C241C5"/>
    <w:rsid w:val="00C243D3"/>
    <w:rsid w:val="00C24783"/>
    <w:rsid w:val="00C24E11"/>
    <w:rsid w:val="00C2611D"/>
    <w:rsid w:val="00C26B6A"/>
    <w:rsid w:val="00C271A7"/>
    <w:rsid w:val="00C27581"/>
    <w:rsid w:val="00C278A0"/>
    <w:rsid w:val="00C278E9"/>
    <w:rsid w:val="00C30375"/>
    <w:rsid w:val="00C30D40"/>
    <w:rsid w:val="00C30F09"/>
    <w:rsid w:val="00C3140F"/>
    <w:rsid w:val="00C31933"/>
    <w:rsid w:val="00C31EF8"/>
    <w:rsid w:val="00C32AA7"/>
    <w:rsid w:val="00C34FA0"/>
    <w:rsid w:val="00C35633"/>
    <w:rsid w:val="00C36019"/>
    <w:rsid w:val="00C4021B"/>
    <w:rsid w:val="00C41354"/>
    <w:rsid w:val="00C42DE0"/>
    <w:rsid w:val="00C42F15"/>
    <w:rsid w:val="00C43A19"/>
    <w:rsid w:val="00C4419D"/>
    <w:rsid w:val="00C44217"/>
    <w:rsid w:val="00C471F2"/>
    <w:rsid w:val="00C50FC3"/>
    <w:rsid w:val="00C5184C"/>
    <w:rsid w:val="00C51A09"/>
    <w:rsid w:val="00C524BE"/>
    <w:rsid w:val="00C52D3A"/>
    <w:rsid w:val="00C52D7F"/>
    <w:rsid w:val="00C52E7E"/>
    <w:rsid w:val="00C52F3D"/>
    <w:rsid w:val="00C532A3"/>
    <w:rsid w:val="00C53566"/>
    <w:rsid w:val="00C53B2A"/>
    <w:rsid w:val="00C54290"/>
    <w:rsid w:val="00C54805"/>
    <w:rsid w:val="00C548B9"/>
    <w:rsid w:val="00C554B5"/>
    <w:rsid w:val="00C559B1"/>
    <w:rsid w:val="00C56F8B"/>
    <w:rsid w:val="00C56FE1"/>
    <w:rsid w:val="00C5719C"/>
    <w:rsid w:val="00C6093D"/>
    <w:rsid w:val="00C628AF"/>
    <w:rsid w:val="00C63328"/>
    <w:rsid w:val="00C6373F"/>
    <w:rsid w:val="00C64129"/>
    <w:rsid w:val="00C646D4"/>
    <w:rsid w:val="00C64E0B"/>
    <w:rsid w:val="00C65242"/>
    <w:rsid w:val="00C65B46"/>
    <w:rsid w:val="00C65BAC"/>
    <w:rsid w:val="00C65DD8"/>
    <w:rsid w:val="00C66518"/>
    <w:rsid w:val="00C6766C"/>
    <w:rsid w:val="00C7019B"/>
    <w:rsid w:val="00C70572"/>
    <w:rsid w:val="00C71DD6"/>
    <w:rsid w:val="00C72169"/>
    <w:rsid w:val="00C72E72"/>
    <w:rsid w:val="00C72F71"/>
    <w:rsid w:val="00C732FA"/>
    <w:rsid w:val="00C738D5"/>
    <w:rsid w:val="00C73CFE"/>
    <w:rsid w:val="00C746F5"/>
    <w:rsid w:val="00C748EB"/>
    <w:rsid w:val="00C751CC"/>
    <w:rsid w:val="00C754F4"/>
    <w:rsid w:val="00C75ACF"/>
    <w:rsid w:val="00C76A28"/>
    <w:rsid w:val="00C76BBE"/>
    <w:rsid w:val="00C77DBE"/>
    <w:rsid w:val="00C77FD3"/>
    <w:rsid w:val="00C8007A"/>
    <w:rsid w:val="00C80826"/>
    <w:rsid w:val="00C812C7"/>
    <w:rsid w:val="00C81A9A"/>
    <w:rsid w:val="00C81CFC"/>
    <w:rsid w:val="00C82372"/>
    <w:rsid w:val="00C8570C"/>
    <w:rsid w:val="00C85F6A"/>
    <w:rsid w:val="00C85F9A"/>
    <w:rsid w:val="00C8688C"/>
    <w:rsid w:val="00C87733"/>
    <w:rsid w:val="00C87E5A"/>
    <w:rsid w:val="00C90281"/>
    <w:rsid w:val="00C90457"/>
    <w:rsid w:val="00C90B4A"/>
    <w:rsid w:val="00C917C0"/>
    <w:rsid w:val="00C919CF"/>
    <w:rsid w:val="00C91D34"/>
    <w:rsid w:val="00C93B23"/>
    <w:rsid w:val="00C93C55"/>
    <w:rsid w:val="00C94414"/>
    <w:rsid w:val="00C949A5"/>
    <w:rsid w:val="00C94BCF"/>
    <w:rsid w:val="00C9510D"/>
    <w:rsid w:val="00C951D7"/>
    <w:rsid w:val="00C952E7"/>
    <w:rsid w:val="00C96715"/>
    <w:rsid w:val="00C96BFC"/>
    <w:rsid w:val="00C97375"/>
    <w:rsid w:val="00C977B9"/>
    <w:rsid w:val="00C97A50"/>
    <w:rsid w:val="00CA0018"/>
    <w:rsid w:val="00CA1164"/>
    <w:rsid w:val="00CA15AD"/>
    <w:rsid w:val="00CA1D4C"/>
    <w:rsid w:val="00CA20FB"/>
    <w:rsid w:val="00CA2E17"/>
    <w:rsid w:val="00CA48BE"/>
    <w:rsid w:val="00CA59F5"/>
    <w:rsid w:val="00CA5D09"/>
    <w:rsid w:val="00CB045E"/>
    <w:rsid w:val="00CB0ECB"/>
    <w:rsid w:val="00CB2D47"/>
    <w:rsid w:val="00CB4B5A"/>
    <w:rsid w:val="00CB4DD2"/>
    <w:rsid w:val="00CB6112"/>
    <w:rsid w:val="00CB65D1"/>
    <w:rsid w:val="00CB66FD"/>
    <w:rsid w:val="00CB6F2B"/>
    <w:rsid w:val="00CB739B"/>
    <w:rsid w:val="00CB7876"/>
    <w:rsid w:val="00CC01CC"/>
    <w:rsid w:val="00CC053F"/>
    <w:rsid w:val="00CC0A9D"/>
    <w:rsid w:val="00CC138E"/>
    <w:rsid w:val="00CC1A24"/>
    <w:rsid w:val="00CC2B8B"/>
    <w:rsid w:val="00CC2F12"/>
    <w:rsid w:val="00CC373E"/>
    <w:rsid w:val="00CC38AE"/>
    <w:rsid w:val="00CC446C"/>
    <w:rsid w:val="00CC5CD8"/>
    <w:rsid w:val="00CC6D9D"/>
    <w:rsid w:val="00CC6E8F"/>
    <w:rsid w:val="00CD0442"/>
    <w:rsid w:val="00CD0991"/>
    <w:rsid w:val="00CD10FC"/>
    <w:rsid w:val="00CD15AE"/>
    <w:rsid w:val="00CD1833"/>
    <w:rsid w:val="00CD1B22"/>
    <w:rsid w:val="00CD2058"/>
    <w:rsid w:val="00CD2371"/>
    <w:rsid w:val="00CD2543"/>
    <w:rsid w:val="00CD27E8"/>
    <w:rsid w:val="00CD2A2A"/>
    <w:rsid w:val="00CD31AF"/>
    <w:rsid w:val="00CD3D70"/>
    <w:rsid w:val="00CD3EE3"/>
    <w:rsid w:val="00CD4682"/>
    <w:rsid w:val="00CD4B13"/>
    <w:rsid w:val="00CD5DDC"/>
    <w:rsid w:val="00CD610C"/>
    <w:rsid w:val="00CD6AB9"/>
    <w:rsid w:val="00CD6D4A"/>
    <w:rsid w:val="00CD739E"/>
    <w:rsid w:val="00CD74E0"/>
    <w:rsid w:val="00CE085A"/>
    <w:rsid w:val="00CE0F7E"/>
    <w:rsid w:val="00CE103D"/>
    <w:rsid w:val="00CE124D"/>
    <w:rsid w:val="00CE165E"/>
    <w:rsid w:val="00CE23AC"/>
    <w:rsid w:val="00CE2736"/>
    <w:rsid w:val="00CE32B9"/>
    <w:rsid w:val="00CE4A16"/>
    <w:rsid w:val="00CE4B4A"/>
    <w:rsid w:val="00CE4C69"/>
    <w:rsid w:val="00CE54DE"/>
    <w:rsid w:val="00CE553C"/>
    <w:rsid w:val="00CE5FF6"/>
    <w:rsid w:val="00CE616C"/>
    <w:rsid w:val="00CE6315"/>
    <w:rsid w:val="00CE68C8"/>
    <w:rsid w:val="00CE68DB"/>
    <w:rsid w:val="00CE6BF1"/>
    <w:rsid w:val="00CE6C17"/>
    <w:rsid w:val="00CE71F0"/>
    <w:rsid w:val="00CE7911"/>
    <w:rsid w:val="00CF0845"/>
    <w:rsid w:val="00CF1883"/>
    <w:rsid w:val="00CF19F2"/>
    <w:rsid w:val="00CF307C"/>
    <w:rsid w:val="00CF4358"/>
    <w:rsid w:val="00CF4BDB"/>
    <w:rsid w:val="00CF565A"/>
    <w:rsid w:val="00CF6E71"/>
    <w:rsid w:val="00CF7229"/>
    <w:rsid w:val="00CF729A"/>
    <w:rsid w:val="00D0043A"/>
    <w:rsid w:val="00D008D2"/>
    <w:rsid w:val="00D00CE7"/>
    <w:rsid w:val="00D02243"/>
    <w:rsid w:val="00D02A1F"/>
    <w:rsid w:val="00D03401"/>
    <w:rsid w:val="00D047E1"/>
    <w:rsid w:val="00D050DC"/>
    <w:rsid w:val="00D05AC9"/>
    <w:rsid w:val="00D05E2B"/>
    <w:rsid w:val="00D05F36"/>
    <w:rsid w:val="00D06500"/>
    <w:rsid w:val="00D06D4C"/>
    <w:rsid w:val="00D06D5C"/>
    <w:rsid w:val="00D07841"/>
    <w:rsid w:val="00D07935"/>
    <w:rsid w:val="00D07FCC"/>
    <w:rsid w:val="00D102D6"/>
    <w:rsid w:val="00D10435"/>
    <w:rsid w:val="00D10B1C"/>
    <w:rsid w:val="00D116CE"/>
    <w:rsid w:val="00D11803"/>
    <w:rsid w:val="00D11AC7"/>
    <w:rsid w:val="00D11FB6"/>
    <w:rsid w:val="00D1270F"/>
    <w:rsid w:val="00D129CA"/>
    <w:rsid w:val="00D14621"/>
    <w:rsid w:val="00D146D6"/>
    <w:rsid w:val="00D15345"/>
    <w:rsid w:val="00D153E4"/>
    <w:rsid w:val="00D16503"/>
    <w:rsid w:val="00D1757B"/>
    <w:rsid w:val="00D175BA"/>
    <w:rsid w:val="00D20072"/>
    <w:rsid w:val="00D20F78"/>
    <w:rsid w:val="00D21168"/>
    <w:rsid w:val="00D21349"/>
    <w:rsid w:val="00D2189E"/>
    <w:rsid w:val="00D2219B"/>
    <w:rsid w:val="00D22410"/>
    <w:rsid w:val="00D224C6"/>
    <w:rsid w:val="00D224DA"/>
    <w:rsid w:val="00D22765"/>
    <w:rsid w:val="00D23020"/>
    <w:rsid w:val="00D239EF"/>
    <w:rsid w:val="00D239F9"/>
    <w:rsid w:val="00D244CA"/>
    <w:rsid w:val="00D25D61"/>
    <w:rsid w:val="00D25F7D"/>
    <w:rsid w:val="00D26395"/>
    <w:rsid w:val="00D26F5E"/>
    <w:rsid w:val="00D27E23"/>
    <w:rsid w:val="00D30BE1"/>
    <w:rsid w:val="00D33540"/>
    <w:rsid w:val="00D33B10"/>
    <w:rsid w:val="00D33F81"/>
    <w:rsid w:val="00D34015"/>
    <w:rsid w:val="00D36BDD"/>
    <w:rsid w:val="00D3732D"/>
    <w:rsid w:val="00D37785"/>
    <w:rsid w:val="00D4092A"/>
    <w:rsid w:val="00D4152C"/>
    <w:rsid w:val="00D41BA0"/>
    <w:rsid w:val="00D426A9"/>
    <w:rsid w:val="00D43387"/>
    <w:rsid w:val="00D44882"/>
    <w:rsid w:val="00D44E09"/>
    <w:rsid w:val="00D450CF"/>
    <w:rsid w:val="00D479BB"/>
    <w:rsid w:val="00D515DB"/>
    <w:rsid w:val="00D51CE2"/>
    <w:rsid w:val="00D51F3F"/>
    <w:rsid w:val="00D53D26"/>
    <w:rsid w:val="00D541F2"/>
    <w:rsid w:val="00D5491A"/>
    <w:rsid w:val="00D559A4"/>
    <w:rsid w:val="00D55BC3"/>
    <w:rsid w:val="00D560F5"/>
    <w:rsid w:val="00D56549"/>
    <w:rsid w:val="00D56C61"/>
    <w:rsid w:val="00D57B25"/>
    <w:rsid w:val="00D603C3"/>
    <w:rsid w:val="00D60471"/>
    <w:rsid w:val="00D606AE"/>
    <w:rsid w:val="00D6088B"/>
    <w:rsid w:val="00D60A52"/>
    <w:rsid w:val="00D60DD8"/>
    <w:rsid w:val="00D61BD8"/>
    <w:rsid w:val="00D61ED5"/>
    <w:rsid w:val="00D62D04"/>
    <w:rsid w:val="00D63AF8"/>
    <w:rsid w:val="00D63BDA"/>
    <w:rsid w:val="00D6409F"/>
    <w:rsid w:val="00D64A8F"/>
    <w:rsid w:val="00D64BA4"/>
    <w:rsid w:val="00D65647"/>
    <w:rsid w:val="00D66130"/>
    <w:rsid w:val="00D66952"/>
    <w:rsid w:val="00D66EDC"/>
    <w:rsid w:val="00D67422"/>
    <w:rsid w:val="00D67444"/>
    <w:rsid w:val="00D6745E"/>
    <w:rsid w:val="00D675B3"/>
    <w:rsid w:val="00D67CBB"/>
    <w:rsid w:val="00D67D69"/>
    <w:rsid w:val="00D70639"/>
    <w:rsid w:val="00D71215"/>
    <w:rsid w:val="00D71C3C"/>
    <w:rsid w:val="00D72641"/>
    <w:rsid w:val="00D7400D"/>
    <w:rsid w:val="00D7577F"/>
    <w:rsid w:val="00D75823"/>
    <w:rsid w:val="00D75974"/>
    <w:rsid w:val="00D77D7C"/>
    <w:rsid w:val="00D80897"/>
    <w:rsid w:val="00D80C3C"/>
    <w:rsid w:val="00D81297"/>
    <w:rsid w:val="00D813EC"/>
    <w:rsid w:val="00D81B5D"/>
    <w:rsid w:val="00D81C91"/>
    <w:rsid w:val="00D8204E"/>
    <w:rsid w:val="00D82266"/>
    <w:rsid w:val="00D8285A"/>
    <w:rsid w:val="00D828C1"/>
    <w:rsid w:val="00D82B1E"/>
    <w:rsid w:val="00D835F3"/>
    <w:rsid w:val="00D83A4D"/>
    <w:rsid w:val="00D83BE9"/>
    <w:rsid w:val="00D83FFE"/>
    <w:rsid w:val="00D841A8"/>
    <w:rsid w:val="00D84597"/>
    <w:rsid w:val="00D84E27"/>
    <w:rsid w:val="00D85886"/>
    <w:rsid w:val="00D866EC"/>
    <w:rsid w:val="00D86D6A"/>
    <w:rsid w:val="00D87993"/>
    <w:rsid w:val="00D9000B"/>
    <w:rsid w:val="00D902DB"/>
    <w:rsid w:val="00D90DA6"/>
    <w:rsid w:val="00D9110C"/>
    <w:rsid w:val="00D91D1A"/>
    <w:rsid w:val="00D92795"/>
    <w:rsid w:val="00D92B57"/>
    <w:rsid w:val="00D932AF"/>
    <w:rsid w:val="00D9335C"/>
    <w:rsid w:val="00D93853"/>
    <w:rsid w:val="00D93AAA"/>
    <w:rsid w:val="00D93BF6"/>
    <w:rsid w:val="00D94408"/>
    <w:rsid w:val="00D94DAA"/>
    <w:rsid w:val="00D94E9C"/>
    <w:rsid w:val="00D95527"/>
    <w:rsid w:val="00D958C4"/>
    <w:rsid w:val="00D95E1B"/>
    <w:rsid w:val="00D96381"/>
    <w:rsid w:val="00D96D9E"/>
    <w:rsid w:val="00D96E89"/>
    <w:rsid w:val="00DA0062"/>
    <w:rsid w:val="00DA0786"/>
    <w:rsid w:val="00DA3F8B"/>
    <w:rsid w:val="00DA42FD"/>
    <w:rsid w:val="00DA59B9"/>
    <w:rsid w:val="00DA5EDE"/>
    <w:rsid w:val="00DA6774"/>
    <w:rsid w:val="00DA7148"/>
    <w:rsid w:val="00DA74DD"/>
    <w:rsid w:val="00DB137A"/>
    <w:rsid w:val="00DB1768"/>
    <w:rsid w:val="00DB23D8"/>
    <w:rsid w:val="00DB2A17"/>
    <w:rsid w:val="00DB2BEA"/>
    <w:rsid w:val="00DB34EC"/>
    <w:rsid w:val="00DB379C"/>
    <w:rsid w:val="00DB3D91"/>
    <w:rsid w:val="00DB3EBA"/>
    <w:rsid w:val="00DB4E67"/>
    <w:rsid w:val="00DB5117"/>
    <w:rsid w:val="00DB62FF"/>
    <w:rsid w:val="00DB6D76"/>
    <w:rsid w:val="00DB720F"/>
    <w:rsid w:val="00DB7AE1"/>
    <w:rsid w:val="00DB7D84"/>
    <w:rsid w:val="00DC081A"/>
    <w:rsid w:val="00DC094C"/>
    <w:rsid w:val="00DC0C1F"/>
    <w:rsid w:val="00DC0DDA"/>
    <w:rsid w:val="00DC1302"/>
    <w:rsid w:val="00DC14BD"/>
    <w:rsid w:val="00DC14BF"/>
    <w:rsid w:val="00DC1A0F"/>
    <w:rsid w:val="00DC23C5"/>
    <w:rsid w:val="00DC2DC8"/>
    <w:rsid w:val="00DC3520"/>
    <w:rsid w:val="00DC3576"/>
    <w:rsid w:val="00DC41B2"/>
    <w:rsid w:val="00DC4A60"/>
    <w:rsid w:val="00DC4B86"/>
    <w:rsid w:val="00DC4EF7"/>
    <w:rsid w:val="00DC5B81"/>
    <w:rsid w:val="00DC6878"/>
    <w:rsid w:val="00DC6A8C"/>
    <w:rsid w:val="00DC73D7"/>
    <w:rsid w:val="00DD0A27"/>
    <w:rsid w:val="00DD0CA2"/>
    <w:rsid w:val="00DD123A"/>
    <w:rsid w:val="00DD1DBC"/>
    <w:rsid w:val="00DD1FEC"/>
    <w:rsid w:val="00DD2212"/>
    <w:rsid w:val="00DD2225"/>
    <w:rsid w:val="00DD51CB"/>
    <w:rsid w:val="00DD6D68"/>
    <w:rsid w:val="00DD75B6"/>
    <w:rsid w:val="00DD78CB"/>
    <w:rsid w:val="00DE083F"/>
    <w:rsid w:val="00DE1DFB"/>
    <w:rsid w:val="00DE2AA4"/>
    <w:rsid w:val="00DE2C17"/>
    <w:rsid w:val="00DE45AB"/>
    <w:rsid w:val="00DE53E5"/>
    <w:rsid w:val="00DE6ABE"/>
    <w:rsid w:val="00DE6BAB"/>
    <w:rsid w:val="00DE7283"/>
    <w:rsid w:val="00DE7827"/>
    <w:rsid w:val="00DE7B88"/>
    <w:rsid w:val="00DE7C63"/>
    <w:rsid w:val="00DEF8E5"/>
    <w:rsid w:val="00DF07D2"/>
    <w:rsid w:val="00DF2A60"/>
    <w:rsid w:val="00DF2C82"/>
    <w:rsid w:val="00DF3CCE"/>
    <w:rsid w:val="00DF3E6F"/>
    <w:rsid w:val="00DF5166"/>
    <w:rsid w:val="00DF59D9"/>
    <w:rsid w:val="00DF5CA2"/>
    <w:rsid w:val="00DF6027"/>
    <w:rsid w:val="00DF7A5C"/>
    <w:rsid w:val="00DF7BAF"/>
    <w:rsid w:val="00E00664"/>
    <w:rsid w:val="00E010EE"/>
    <w:rsid w:val="00E02337"/>
    <w:rsid w:val="00E029FC"/>
    <w:rsid w:val="00E034D8"/>
    <w:rsid w:val="00E03625"/>
    <w:rsid w:val="00E0372F"/>
    <w:rsid w:val="00E03819"/>
    <w:rsid w:val="00E0478E"/>
    <w:rsid w:val="00E05963"/>
    <w:rsid w:val="00E05D2A"/>
    <w:rsid w:val="00E06343"/>
    <w:rsid w:val="00E06363"/>
    <w:rsid w:val="00E06BAE"/>
    <w:rsid w:val="00E06CAC"/>
    <w:rsid w:val="00E070D6"/>
    <w:rsid w:val="00E072E2"/>
    <w:rsid w:val="00E07351"/>
    <w:rsid w:val="00E1005C"/>
    <w:rsid w:val="00E1109B"/>
    <w:rsid w:val="00E124B8"/>
    <w:rsid w:val="00E12539"/>
    <w:rsid w:val="00E12D71"/>
    <w:rsid w:val="00E13C5D"/>
    <w:rsid w:val="00E13E36"/>
    <w:rsid w:val="00E14189"/>
    <w:rsid w:val="00E146E4"/>
    <w:rsid w:val="00E1478D"/>
    <w:rsid w:val="00E1600B"/>
    <w:rsid w:val="00E16F27"/>
    <w:rsid w:val="00E20A29"/>
    <w:rsid w:val="00E20CDB"/>
    <w:rsid w:val="00E21A07"/>
    <w:rsid w:val="00E21B07"/>
    <w:rsid w:val="00E221DF"/>
    <w:rsid w:val="00E222D4"/>
    <w:rsid w:val="00E23317"/>
    <w:rsid w:val="00E23F7F"/>
    <w:rsid w:val="00E24418"/>
    <w:rsid w:val="00E248BE"/>
    <w:rsid w:val="00E24C9F"/>
    <w:rsid w:val="00E253B4"/>
    <w:rsid w:val="00E253DF"/>
    <w:rsid w:val="00E26348"/>
    <w:rsid w:val="00E26ADB"/>
    <w:rsid w:val="00E2734F"/>
    <w:rsid w:val="00E27745"/>
    <w:rsid w:val="00E27878"/>
    <w:rsid w:val="00E27B65"/>
    <w:rsid w:val="00E307A5"/>
    <w:rsid w:val="00E31304"/>
    <w:rsid w:val="00E3183C"/>
    <w:rsid w:val="00E337C1"/>
    <w:rsid w:val="00E34B04"/>
    <w:rsid w:val="00E34BF5"/>
    <w:rsid w:val="00E35032"/>
    <w:rsid w:val="00E354BB"/>
    <w:rsid w:val="00E35DCE"/>
    <w:rsid w:val="00E360CD"/>
    <w:rsid w:val="00E36CE9"/>
    <w:rsid w:val="00E3721F"/>
    <w:rsid w:val="00E37F16"/>
    <w:rsid w:val="00E37F89"/>
    <w:rsid w:val="00E401D2"/>
    <w:rsid w:val="00E40C11"/>
    <w:rsid w:val="00E40D2D"/>
    <w:rsid w:val="00E413B6"/>
    <w:rsid w:val="00E42A54"/>
    <w:rsid w:val="00E445D6"/>
    <w:rsid w:val="00E44CFC"/>
    <w:rsid w:val="00E455DE"/>
    <w:rsid w:val="00E465FA"/>
    <w:rsid w:val="00E46B03"/>
    <w:rsid w:val="00E474B0"/>
    <w:rsid w:val="00E5064E"/>
    <w:rsid w:val="00E50810"/>
    <w:rsid w:val="00E5192F"/>
    <w:rsid w:val="00E52863"/>
    <w:rsid w:val="00E52DDC"/>
    <w:rsid w:val="00E535E7"/>
    <w:rsid w:val="00E5428F"/>
    <w:rsid w:val="00E54F24"/>
    <w:rsid w:val="00E56244"/>
    <w:rsid w:val="00E57214"/>
    <w:rsid w:val="00E57939"/>
    <w:rsid w:val="00E579EE"/>
    <w:rsid w:val="00E57F07"/>
    <w:rsid w:val="00E60A5B"/>
    <w:rsid w:val="00E6204F"/>
    <w:rsid w:val="00E6207D"/>
    <w:rsid w:val="00E6280C"/>
    <w:rsid w:val="00E62DF1"/>
    <w:rsid w:val="00E62E2F"/>
    <w:rsid w:val="00E644AC"/>
    <w:rsid w:val="00E64F66"/>
    <w:rsid w:val="00E65435"/>
    <w:rsid w:val="00E66834"/>
    <w:rsid w:val="00E66A4C"/>
    <w:rsid w:val="00E66A91"/>
    <w:rsid w:val="00E66F3C"/>
    <w:rsid w:val="00E6ACA0"/>
    <w:rsid w:val="00E700CC"/>
    <w:rsid w:val="00E70D07"/>
    <w:rsid w:val="00E71500"/>
    <w:rsid w:val="00E7152B"/>
    <w:rsid w:val="00E7251D"/>
    <w:rsid w:val="00E7273A"/>
    <w:rsid w:val="00E72BC3"/>
    <w:rsid w:val="00E72EF5"/>
    <w:rsid w:val="00E73C61"/>
    <w:rsid w:val="00E74B21"/>
    <w:rsid w:val="00E767EA"/>
    <w:rsid w:val="00E76E82"/>
    <w:rsid w:val="00E7713C"/>
    <w:rsid w:val="00E7768D"/>
    <w:rsid w:val="00E804B9"/>
    <w:rsid w:val="00E808A8"/>
    <w:rsid w:val="00E80DB0"/>
    <w:rsid w:val="00E81511"/>
    <w:rsid w:val="00E815DA"/>
    <w:rsid w:val="00E8237E"/>
    <w:rsid w:val="00E82C2D"/>
    <w:rsid w:val="00E839B4"/>
    <w:rsid w:val="00E84793"/>
    <w:rsid w:val="00E8479C"/>
    <w:rsid w:val="00E84CC7"/>
    <w:rsid w:val="00E84F41"/>
    <w:rsid w:val="00E85006"/>
    <w:rsid w:val="00E85526"/>
    <w:rsid w:val="00E85B4C"/>
    <w:rsid w:val="00E862CA"/>
    <w:rsid w:val="00E8686B"/>
    <w:rsid w:val="00E871BB"/>
    <w:rsid w:val="00E87356"/>
    <w:rsid w:val="00E87B6D"/>
    <w:rsid w:val="00E900C9"/>
    <w:rsid w:val="00E9038D"/>
    <w:rsid w:val="00E90B80"/>
    <w:rsid w:val="00E91B7F"/>
    <w:rsid w:val="00E91F76"/>
    <w:rsid w:val="00E92B45"/>
    <w:rsid w:val="00E935AD"/>
    <w:rsid w:val="00E93AFB"/>
    <w:rsid w:val="00E940CC"/>
    <w:rsid w:val="00E95034"/>
    <w:rsid w:val="00E95A3A"/>
    <w:rsid w:val="00E9667F"/>
    <w:rsid w:val="00E9767F"/>
    <w:rsid w:val="00E97D7C"/>
    <w:rsid w:val="00EA1177"/>
    <w:rsid w:val="00EA2C28"/>
    <w:rsid w:val="00EA2C49"/>
    <w:rsid w:val="00EA3064"/>
    <w:rsid w:val="00EA30BC"/>
    <w:rsid w:val="00EA3280"/>
    <w:rsid w:val="00EA3FC7"/>
    <w:rsid w:val="00EA4EE1"/>
    <w:rsid w:val="00EA5FB1"/>
    <w:rsid w:val="00EA6B46"/>
    <w:rsid w:val="00EA6C95"/>
    <w:rsid w:val="00EA7CF6"/>
    <w:rsid w:val="00EB071E"/>
    <w:rsid w:val="00EB2A1B"/>
    <w:rsid w:val="00EB2C74"/>
    <w:rsid w:val="00EB2EEC"/>
    <w:rsid w:val="00EB4128"/>
    <w:rsid w:val="00EB4AA1"/>
    <w:rsid w:val="00EB5CE0"/>
    <w:rsid w:val="00EB696C"/>
    <w:rsid w:val="00EB6994"/>
    <w:rsid w:val="00EB79DF"/>
    <w:rsid w:val="00EC1B83"/>
    <w:rsid w:val="00EC2333"/>
    <w:rsid w:val="00EC2B7A"/>
    <w:rsid w:val="00EC2D84"/>
    <w:rsid w:val="00EC32C8"/>
    <w:rsid w:val="00EC4990"/>
    <w:rsid w:val="00EC4D5E"/>
    <w:rsid w:val="00EC557F"/>
    <w:rsid w:val="00EC5E04"/>
    <w:rsid w:val="00EC6B24"/>
    <w:rsid w:val="00EC6E49"/>
    <w:rsid w:val="00EC7615"/>
    <w:rsid w:val="00EC78B8"/>
    <w:rsid w:val="00EC7B36"/>
    <w:rsid w:val="00ED00DE"/>
    <w:rsid w:val="00ED0A8E"/>
    <w:rsid w:val="00ED0C0A"/>
    <w:rsid w:val="00ED101B"/>
    <w:rsid w:val="00ED1089"/>
    <w:rsid w:val="00ED1348"/>
    <w:rsid w:val="00ED1D47"/>
    <w:rsid w:val="00ED1DD3"/>
    <w:rsid w:val="00ED293F"/>
    <w:rsid w:val="00ED2AD6"/>
    <w:rsid w:val="00ED322D"/>
    <w:rsid w:val="00ED3545"/>
    <w:rsid w:val="00ED37E3"/>
    <w:rsid w:val="00ED4C03"/>
    <w:rsid w:val="00ED5023"/>
    <w:rsid w:val="00ED53EF"/>
    <w:rsid w:val="00ED5640"/>
    <w:rsid w:val="00ED5A12"/>
    <w:rsid w:val="00ED5CC8"/>
    <w:rsid w:val="00ED6351"/>
    <w:rsid w:val="00ED7AEC"/>
    <w:rsid w:val="00EE0C85"/>
    <w:rsid w:val="00EE1001"/>
    <w:rsid w:val="00EE2328"/>
    <w:rsid w:val="00EE2B3B"/>
    <w:rsid w:val="00EE374C"/>
    <w:rsid w:val="00EE4DD9"/>
    <w:rsid w:val="00EE51BE"/>
    <w:rsid w:val="00EE5385"/>
    <w:rsid w:val="00EE5F35"/>
    <w:rsid w:val="00EE5F70"/>
    <w:rsid w:val="00EE6085"/>
    <w:rsid w:val="00EE65F4"/>
    <w:rsid w:val="00EE6892"/>
    <w:rsid w:val="00EE6FC9"/>
    <w:rsid w:val="00EE7183"/>
    <w:rsid w:val="00EE7758"/>
    <w:rsid w:val="00EF1D5C"/>
    <w:rsid w:val="00EF2572"/>
    <w:rsid w:val="00EF2882"/>
    <w:rsid w:val="00EF28BA"/>
    <w:rsid w:val="00EF3079"/>
    <w:rsid w:val="00EF3C60"/>
    <w:rsid w:val="00EF3FE5"/>
    <w:rsid w:val="00EF4532"/>
    <w:rsid w:val="00EF4A81"/>
    <w:rsid w:val="00EF4DD3"/>
    <w:rsid w:val="00EF5EB5"/>
    <w:rsid w:val="00EF6D38"/>
    <w:rsid w:val="00EF6E64"/>
    <w:rsid w:val="00EF74F6"/>
    <w:rsid w:val="00EF7822"/>
    <w:rsid w:val="00EF7990"/>
    <w:rsid w:val="00F005F8"/>
    <w:rsid w:val="00F0103C"/>
    <w:rsid w:val="00F01987"/>
    <w:rsid w:val="00F01EEC"/>
    <w:rsid w:val="00F03B24"/>
    <w:rsid w:val="00F0405F"/>
    <w:rsid w:val="00F0494A"/>
    <w:rsid w:val="00F0695B"/>
    <w:rsid w:val="00F06BB9"/>
    <w:rsid w:val="00F07D31"/>
    <w:rsid w:val="00F07EF6"/>
    <w:rsid w:val="00F10983"/>
    <w:rsid w:val="00F10A8A"/>
    <w:rsid w:val="00F10D3E"/>
    <w:rsid w:val="00F10DCD"/>
    <w:rsid w:val="00F11229"/>
    <w:rsid w:val="00F1126C"/>
    <w:rsid w:val="00F1279D"/>
    <w:rsid w:val="00F12BD0"/>
    <w:rsid w:val="00F13F0A"/>
    <w:rsid w:val="00F152FD"/>
    <w:rsid w:val="00F2040B"/>
    <w:rsid w:val="00F21334"/>
    <w:rsid w:val="00F21FE5"/>
    <w:rsid w:val="00F22457"/>
    <w:rsid w:val="00F22BD2"/>
    <w:rsid w:val="00F23CD7"/>
    <w:rsid w:val="00F24119"/>
    <w:rsid w:val="00F25ECF"/>
    <w:rsid w:val="00F26698"/>
    <w:rsid w:val="00F26B69"/>
    <w:rsid w:val="00F2703B"/>
    <w:rsid w:val="00F27453"/>
    <w:rsid w:val="00F30311"/>
    <w:rsid w:val="00F310A4"/>
    <w:rsid w:val="00F32BD4"/>
    <w:rsid w:val="00F33888"/>
    <w:rsid w:val="00F33E29"/>
    <w:rsid w:val="00F33F26"/>
    <w:rsid w:val="00F34F75"/>
    <w:rsid w:val="00F357FF"/>
    <w:rsid w:val="00F368A8"/>
    <w:rsid w:val="00F40191"/>
    <w:rsid w:val="00F419DE"/>
    <w:rsid w:val="00F41BF0"/>
    <w:rsid w:val="00F42571"/>
    <w:rsid w:val="00F4268E"/>
    <w:rsid w:val="00F43164"/>
    <w:rsid w:val="00F439AE"/>
    <w:rsid w:val="00F43C1E"/>
    <w:rsid w:val="00F4448D"/>
    <w:rsid w:val="00F455C7"/>
    <w:rsid w:val="00F479A9"/>
    <w:rsid w:val="00F47BF7"/>
    <w:rsid w:val="00F47FF1"/>
    <w:rsid w:val="00F50637"/>
    <w:rsid w:val="00F5108F"/>
    <w:rsid w:val="00F51F61"/>
    <w:rsid w:val="00F521BF"/>
    <w:rsid w:val="00F53569"/>
    <w:rsid w:val="00F53ACE"/>
    <w:rsid w:val="00F54F03"/>
    <w:rsid w:val="00F55707"/>
    <w:rsid w:val="00F55B11"/>
    <w:rsid w:val="00F566A5"/>
    <w:rsid w:val="00F56758"/>
    <w:rsid w:val="00F56C1C"/>
    <w:rsid w:val="00F56D0C"/>
    <w:rsid w:val="00F603F7"/>
    <w:rsid w:val="00F60540"/>
    <w:rsid w:val="00F60AB5"/>
    <w:rsid w:val="00F60DD3"/>
    <w:rsid w:val="00F6107D"/>
    <w:rsid w:val="00F616A8"/>
    <w:rsid w:val="00F6181D"/>
    <w:rsid w:val="00F62E59"/>
    <w:rsid w:val="00F632B5"/>
    <w:rsid w:val="00F634CE"/>
    <w:rsid w:val="00F63647"/>
    <w:rsid w:val="00F63AE1"/>
    <w:rsid w:val="00F63C76"/>
    <w:rsid w:val="00F63E8D"/>
    <w:rsid w:val="00F644DE"/>
    <w:rsid w:val="00F64572"/>
    <w:rsid w:val="00F65222"/>
    <w:rsid w:val="00F6564F"/>
    <w:rsid w:val="00F662AB"/>
    <w:rsid w:val="00F66E3C"/>
    <w:rsid w:val="00F677DA"/>
    <w:rsid w:val="00F679EC"/>
    <w:rsid w:val="00F67B2F"/>
    <w:rsid w:val="00F67D3F"/>
    <w:rsid w:val="00F707C8"/>
    <w:rsid w:val="00F71536"/>
    <w:rsid w:val="00F71639"/>
    <w:rsid w:val="00F716C7"/>
    <w:rsid w:val="00F7224F"/>
    <w:rsid w:val="00F72263"/>
    <w:rsid w:val="00F72729"/>
    <w:rsid w:val="00F72F63"/>
    <w:rsid w:val="00F7326D"/>
    <w:rsid w:val="00F73BF7"/>
    <w:rsid w:val="00F74196"/>
    <w:rsid w:val="00F742E6"/>
    <w:rsid w:val="00F74CDB"/>
    <w:rsid w:val="00F750EE"/>
    <w:rsid w:val="00F75660"/>
    <w:rsid w:val="00F756E8"/>
    <w:rsid w:val="00F75A6F"/>
    <w:rsid w:val="00F764E2"/>
    <w:rsid w:val="00F7658F"/>
    <w:rsid w:val="00F767D5"/>
    <w:rsid w:val="00F77035"/>
    <w:rsid w:val="00F77943"/>
    <w:rsid w:val="00F811D9"/>
    <w:rsid w:val="00F81ECF"/>
    <w:rsid w:val="00F8213A"/>
    <w:rsid w:val="00F82DB2"/>
    <w:rsid w:val="00F8413E"/>
    <w:rsid w:val="00F84434"/>
    <w:rsid w:val="00F84AD1"/>
    <w:rsid w:val="00F84B0D"/>
    <w:rsid w:val="00F85671"/>
    <w:rsid w:val="00F85A8B"/>
    <w:rsid w:val="00F85BC8"/>
    <w:rsid w:val="00F8654A"/>
    <w:rsid w:val="00F86696"/>
    <w:rsid w:val="00F868EF"/>
    <w:rsid w:val="00F87588"/>
    <w:rsid w:val="00F87597"/>
    <w:rsid w:val="00F87611"/>
    <w:rsid w:val="00F90C10"/>
    <w:rsid w:val="00F90C9C"/>
    <w:rsid w:val="00F913B0"/>
    <w:rsid w:val="00F9272A"/>
    <w:rsid w:val="00F92C62"/>
    <w:rsid w:val="00F92C75"/>
    <w:rsid w:val="00F930C4"/>
    <w:rsid w:val="00F937D1"/>
    <w:rsid w:val="00F93E7E"/>
    <w:rsid w:val="00F94108"/>
    <w:rsid w:val="00F94521"/>
    <w:rsid w:val="00F9564F"/>
    <w:rsid w:val="00F9578B"/>
    <w:rsid w:val="00F95830"/>
    <w:rsid w:val="00F96ECE"/>
    <w:rsid w:val="00F97268"/>
    <w:rsid w:val="00F97289"/>
    <w:rsid w:val="00FA0783"/>
    <w:rsid w:val="00FA0CB2"/>
    <w:rsid w:val="00FA1139"/>
    <w:rsid w:val="00FA29B4"/>
    <w:rsid w:val="00FA3A9E"/>
    <w:rsid w:val="00FA46BE"/>
    <w:rsid w:val="00FA54A3"/>
    <w:rsid w:val="00FA5916"/>
    <w:rsid w:val="00FA625E"/>
    <w:rsid w:val="00FA6B66"/>
    <w:rsid w:val="00FA6E00"/>
    <w:rsid w:val="00FA6E63"/>
    <w:rsid w:val="00FA724F"/>
    <w:rsid w:val="00FA7471"/>
    <w:rsid w:val="00FA769D"/>
    <w:rsid w:val="00FA7825"/>
    <w:rsid w:val="00FB0F07"/>
    <w:rsid w:val="00FB11DC"/>
    <w:rsid w:val="00FB120C"/>
    <w:rsid w:val="00FB1543"/>
    <w:rsid w:val="00FB15DA"/>
    <w:rsid w:val="00FB1634"/>
    <w:rsid w:val="00FB2212"/>
    <w:rsid w:val="00FB2D73"/>
    <w:rsid w:val="00FB2E58"/>
    <w:rsid w:val="00FB43A1"/>
    <w:rsid w:val="00FB51F5"/>
    <w:rsid w:val="00FB585F"/>
    <w:rsid w:val="00FB59DA"/>
    <w:rsid w:val="00FB65AC"/>
    <w:rsid w:val="00FB6B57"/>
    <w:rsid w:val="00FB7804"/>
    <w:rsid w:val="00FC0EA7"/>
    <w:rsid w:val="00FC0EE3"/>
    <w:rsid w:val="00FC1650"/>
    <w:rsid w:val="00FC178C"/>
    <w:rsid w:val="00FC1818"/>
    <w:rsid w:val="00FC19A8"/>
    <w:rsid w:val="00FC1AFA"/>
    <w:rsid w:val="00FC1BFD"/>
    <w:rsid w:val="00FC2740"/>
    <w:rsid w:val="00FC2BE7"/>
    <w:rsid w:val="00FC391D"/>
    <w:rsid w:val="00FC3FEA"/>
    <w:rsid w:val="00FC451D"/>
    <w:rsid w:val="00FC5952"/>
    <w:rsid w:val="00FC5EAA"/>
    <w:rsid w:val="00FC6F6B"/>
    <w:rsid w:val="00FC79F5"/>
    <w:rsid w:val="00FC7A87"/>
    <w:rsid w:val="00FD061F"/>
    <w:rsid w:val="00FD06F7"/>
    <w:rsid w:val="00FD0B61"/>
    <w:rsid w:val="00FD0C86"/>
    <w:rsid w:val="00FD22FF"/>
    <w:rsid w:val="00FD3406"/>
    <w:rsid w:val="00FD44EC"/>
    <w:rsid w:val="00FD4CE3"/>
    <w:rsid w:val="00FD52B0"/>
    <w:rsid w:val="00FD5499"/>
    <w:rsid w:val="00FD66B7"/>
    <w:rsid w:val="00FD6C34"/>
    <w:rsid w:val="00FD7386"/>
    <w:rsid w:val="00FD76C3"/>
    <w:rsid w:val="00FE03A2"/>
    <w:rsid w:val="00FE0872"/>
    <w:rsid w:val="00FE0B7D"/>
    <w:rsid w:val="00FE0C25"/>
    <w:rsid w:val="00FE0D2A"/>
    <w:rsid w:val="00FE0E65"/>
    <w:rsid w:val="00FE0F6B"/>
    <w:rsid w:val="00FE172F"/>
    <w:rsid w:val="00FE2AC0"/>
    <w:rsid w:val="00FE4929"/>
    <w:rsid w:val="00FE49FC"/>
    <w:rsid w:val="00FE6C47"/>
    <w:rsid w:val="00FE713B"/>
    <w:rsid w:val="00FF0385"/>
    <w:rsid w:val="00FF177C"/>
    <w:rsid w:val="00FF3542"/>
    <w:rsid w:val="00FF40BB"/>
    <w:rsid w:val="00FF44B4"/>
    <w:rsid w:val="00FF4509"/>
    <w:rsid w:val="00FF46C5"/>
    <w:rsid w:val="00FF4710"/>
    <w:rsid w:val="00FF4922"/>
    <w:rsid w:val="00FF4B12"/>
    <w:rsid w:val="00FF5726"/>
    <w:rsid w:val="00FF6314"/>
    <w:rsid w:val="00FF6B53"/>
    <w:rsid w:val="00FF7C13"/>
    <w:rsid w:val="010135C3"/>
    <w:rsid w:val="0105AA05"/>
    <w:rsid w:val="01139814"/>
    <w:rsid w:val="0163664E"/>
    <w:rsid w:val="0175D36F"/>
    <w:rsid w:val="018D6E78"/>
    <w:rsid w:val="01A59AB6"/>
    <w:rsid w:val="01BF9229"/>
    <w:rsid w:val="01CF5ADF"/>
    <w:rsid w:val="01D27F0A"/>
    <w:rsid w:val="01D500B0"/>
    <w:rsid w:val="01DE44A4"/>
    <w:rsid w:val="01E51F67"/>
    <w:rsid w:val="01EA16D3"/>
    <w:rsid w:val="01F326BB"/>
    <w:rsid w:val="0200D5BD"/>
    <w:rsid w:val="02264B5B"/>
    <w:rsid w:val="023650C7"/>
    <w:rsid w:val="024BF3CA"/>
    <w:rsid w:val="025474FF"/>
    <w:rsid w:val="025A659F"/>
    <w:rsid w:val="0263DB29"/>
    <w:rsid w:val="0271575A"/>
    <w:rsid w:val="02791F00"/>
    <w:rsid w:val="027BD496"/>
    <w:rsid w:val="027D476A"/>
    <w:rsid w:val="02905DD9"/>
    <w:rsid w:val="02BD5B5B"/>
    <w:rsid w:val="02ED7DD5"/>
    <w:rsid w:val="030CBD78"/>
    <w:rsid w:val="0322C311"/>
    <w:rsid w:val="0327E48E"/>
    <w:rsid w:val="03418817"/>
    <w:rsid w:val="0357E90C"/>
    <w:rsid w:val="0366CA8A"/>
    <w:rsid w:val="0368B830"/>
    <w:rsid w:val="0374C18D"/>
    <w:rsid w:val="03B50432"/>
    <w:rsid w:val="03BC8B82"/>
    <w:rsid w:val="03C3BAE6"/>
    <w:rsid w:val="03DAACA1"/>
    <w:rsid w:val="03DB8182"/>
    <w:rsid w:val="03F3481E"/>
    <w:rsid w:val="03FE228B"/>
    <w:rsid w:val="040067C0"/>
    <w:rsid w:val="041027AB"/>
    <w:rsid w:val="0410B48B"/>
    <w:rsid w:val="04210EEE"/>
    <w:rsid w:val="043ED8B2"/>
    <w:rsid w:val="044346DE"/>
    <w:rsid w:val="0444A6B5"/>
    <w:rsid w:val="04526E21"/>
    <w:rsid w:val="045E107C"/>
    <w:rsid w:val="04665971"/>
    <w:rsid w:val="046C2263"/>
    <w:rsid w:val="04C16D3A"/>
    <w:rsid w:val="04D64A11"/>
    <w:rsid w:val="04DE8613"/>
    <w:rsid w:val="05051E0A"/>
    <w:rsid w:val="050BB666"/>
    <w:rsid w:val="050F6A74"/>
    <w:rsid w:val="051F0523"/>
    <w:rsid w:val="0525B2A9"/>
    <w:rsid w:val="052F1720"/>
    <w:rsid w:val="053089F4"/>
    <w:rsid w:val="054CACB6"/>
    <w:rsid w:val="055C14A2"/>
    <w:rsid w:val="056ADC69"/>
    <w:rsid w:val="056F59C5"/>
    <w:rsid w:val="05A10B91"/>
    <w:rsid w:val="05D296C7"/>
    <w:rsid w:val="05EE9463"/>
    <w:rsid w:val="05F6524B"/>
    <w:rsid w:val="05FC522B"/>
    <w:rsid w:val="0609CE5C"/>
    <w:rsid w:val="06273AC9"/>
    <w:rsid w:val="06315FE4"/>
    <w:rsid w:val="0644C2E1"/>
    <w:rsid w:val="067851FA"/>
    <w:rsid w:val="06A0E9EF"/>
    <w:rsid w:val="06B5CD41"/>
    <w:rsid w:val="06C7792D"/>
    <w:rsid w:val="06D80DBA"/>
    <w:rsid w:val="06D8FB2A"/>
    <w:rsid w:val="06EACD79"/>
    <w:rsid w:val="06EC32F3"/>
    <w:rsid w:val="071374DD"/>
    <w:rsid w:val="07223CA4"/>
    <w:rsid w:val="0726F50D"/>
    <w:rsid w:val="07305E70"/>
    <w:rsid w:val="0730FB0B"/>
    <w:rsid w:val="0744B34D"/>
    <w:rsid w:val="074928B8"/>
    <w:rsid w:val="0764290B"/>
    <w:rsid w:val="078C39F2"/>
    <w:rsid w:val="07A39AEC"/>
    <w:rsid w:val="07AEA959"/>
    <w:rsid w:val="07AF350A"/>
    <w:rsid w:val="07C3DAF3"/>
    <w:rsid w:val="07D4BCB6"/>
    <w:rsid w:val="07E8F77D"/>
    <w:rsid w:val="07F59ECD"/>
    <w:rsid w:val="07FBC5EB"/>
    <w:rsid w:val="0802F3C0"/>
    <w:rsid w:val="080A139E"/>
    <w:rsid w:val="081744B2"/>
    <w:rsid w:val="081AED2D"/>
    <w:rsid w:val="081DF8B3"/>
    <w:rsid w:val="0832B3C9"/>
    <w:rsid w:val="085FB14B"/>
    <w:rsid w:val="086A7688"/>
    <w:rsid w:val="08801CAD"/>
    <w:rsid w:val="0889EC46"/>
    <w:rsid w:val="08B2D20E"/>
    <w:rsid w:val="08D46843"/>
    <w:rsid w:val="08ED18F0"/>
    <w:rsid w:val="0908AA20"/>
    <w:rsid w:val="090C9A41"/>
    <w:rsid w:val="09192C61"/>
    <w:rsid w:val="09380BA2"/>
    <w:rsid w:val="09580B44"/>
    <w:rsid w:val="09663719"/>
    <w:rsid w:val="098251C9"/>
    <w:rsid w:val="09A531D5"/>
    <w:rsid w:val="09BD6E75"/>
    <w:rsid w:val="09C02C9D"/>
    <w:rsid w:val="09C4D137"/>
    <w:rsid w:val="09DCF1E2"/>
    <w:rsid w:val="09E424CB"/>
    <w:rsid w:val="09F42E04"/>
    <w:rsid w:val="09F64C15"/>
    <w:rsid w:val="0A78D08C"/>
    <w:rsid w:val="0A7A97BC"/>
    <w:rsid w:val="0A896B99"/>
    <w:rsid w:val="0AAE983B"/>
    <w:rsid w:val="0AC67D67"/>
    <w:rsid w:val="0AC6CF11"/>
    <w:rsid w:val="0AC83B6A"/>
    <w:rsid w:val="0ACB3A5F"/>
    <w:rsid w:val="0ACBAE04"/>
    <w:rsid w:val="0AEA6D34"/>
    <w:rsid w:val="0AEABBB0"/>
    <w:rsid w:val="0B0C1994"/>
    <w:rsid w:val="0B1C2B8B"/>
    <w:rsid w:val="0B53B14C"/>
    <w:rsid w:val="0B55A30F"/>
    <w:rsid w:val="0B5E2E88"/>
    <w:rsid w:val="0B7F3BFA"/>
    <w:rsid w:val="0B8816E5"/>
    <w:rsid w:val="0BB6B6B8"/>
    <w:rsid w:val="0BCA8CD8"/>
    <w:rsid w:val="0C061F50"/>
    <w:rsid w:val="0C2C70C8"/>
    <w:rsid w:val="0C3FF6F3"/>
    <w:rsid w:val="0C552DD9"/>
    <w:rsid w:val="0C6A9790"/>
    <w:rsid w:val="0C73BCE5"/>
    <w:rsid w:val="0C7F7467"/>
    <w:rsid w:val="0C818AE7"/>
    <w:rsid w:val="0C9C126E"/>
    <w:rsid w:val="0C9EA3C5"/>
    <w:rsid w:val="0CA4E238"/>
    <w:rsid w:val="0CBD1608"/>
    <w:rsid w:val="0CC21F98"/>
    <w:rsid w:val="0CC79D1C"/>
    <w:rsid w:val="0CD21A58"/>
    <w:rsid w:val="0CE412A8"/>
    <w:rsid w:val="0CE6D66C"/>
    <w:rsid w:val="0CF168D8"/>
    <w:rsid w:val="0CFAF48D"/>
    <w:rsid w:val="0D136E4C"/>
    <w:rsid w:val="0D16DE76"/>
    <w:rsid w:val="0D35138D"/>
    <w:rsid w:val="0D58980C"/>
    <w:rsid w:val="0D73212F"/>
    <w:rsid w:val="0D76982F"/>
    <w:rsid w:val="0D7E2A50"/>
    <w:rsid w:val="0DABB8CF"/>
    <w:rsid w:val="0DBA7503"/>
    <w:rsid w:val="0DC7C57F"/>
    <w:rsid w:val="0DD551BA"/>
    <w:rsid w:val="0DE9D1C8"/>
    <w:rsid w:val="0E0EEFFB"/>
    <w:rsid w:val="0E0FFE3E"/>
    <w:rsid w:val="0E13B142"/>
    <w:rsid w:val="0E18C625"/>
    <w:rsid w:val="0E326954"/>
    <w:rsid w:val="0E5EC4C6"/>
    <w:rsid w:val="0E62A42F"/>
    <w:rsid w:val="0E83F585"/>
    <w:rsid w:val="0EA8DB21"/>
    <w:rsid w:val="0EBC4B9F"/>
    <w:rsid w:val="0EBDB7F8"/>
    <w:rsid w:val="0ED5C695"/>
    <w:rsid w:val="0ED8BBED"/>
    <w:rsid w:val="0EEA8938"/>
    <w:rsid w:val="0EFBE5A0"/>
    <w:rsid w:val="0F019622"/>
    <w:rsid w:val="0F2839B5"/>
    <w:rsid w:val="0F2E60D3"/>
    <w:rsid w:val="0F32E9C2"/>
    <w:rsid w:val="0F3E89D1"/>
    <w:rsid w:val="0F492DDA"/>
    <w:rsid w:val="0F4EB8D3"/>
    <w:rsid w:val="0F61C957"/>
    <w:rsid w:val="0F6F414D"/>
    <w:rsid w:val="0F79C2C4"/>
    <w:rsid w:val="0F855CE2"/>
    <w:rsid w:val="0F9B5E5F"/>
    <w:rsid w:val="0F9DDD37"/>
    <w:rsid w:val="0FA45153"/>
    <w:rsid w:val="0FAC3346"/>
    <w:rsid w:val="0FC11698"/>
    <w:rsid w:val="0FE6819E"/>
    <w:rsid w:val="1018E50E"/>
    <w:rsid w:val="10570DD3"/>
    <w:rsid w:val="1065338A"/>
    <w:rsid w:val="10676931"/>
    <w:rsid w:val="107F629E"/>
    <w:rsid w:val="109DCB2A"/>
    <w:rsid w:val="10A3E1E0"/>
    <w:rsid w:val="10ADC9A4"/>
    <w:rsid w:val="10AF6AA8"/>
    <w:rsid w:val="10DFFEE5"/>
    <w:rsid w:val="10F513F5"/>
    <w:rsid w:val="1105BCBB"/>
    <w:rsid w:val="1111B284"/>
    <w:rsid w:val="11350533"/>
    <w:rsid w:val="1144B9B4"/>
    <w:rsid w:val="11579E76"/>
    <w:rsid w:val="1165FBF9"/>
    <w:rsid w:val="1176FFEF"/>
    <w:rsid w:val="117CE8AC"/>
    <w:rsid w:val="117D23DD"/>
    <w:rsid w:val="1180972A"/>
    <w:rsid w:val="118B7197"/>
    <w:rsid w:val="119BF0A1"/>
    <w:rsid w:val="11A1028C"/>
    <w:rsid w:val="11AFF191"/>
    <w:rsid w:val="11BD5217"/>
    <w:rsid w:val="11BD7955"/>
    <w:rsid w:val="11C5053D"/>
    <w:rsid w:val="11C959CE"/>
    <w:rsid w:val="11DBAF10"/>
    <w:rsid w:val="11E62C4C"/>
    <w:rsid w:val="11EB247A"/>
    <w:rsid w:val="11FF06AA"/>
    <w:rsid w:val="1209C557"/>
    <w:rsid w:val="120F4A65"/>
    <w:rsid w:val="1218BFEF"/>
    <w:rsid w:val="1233B2A9"/>
    <w:rsid w:val="12384140"/>
    <w:rsid w:val="12414015"/>
    <w:rsid w:val="12415832"/>
    <w:rsid w:val="124A71BB"/>
    <w:rsid w:val="124B53E0"/>
    <w:rsid w:val="12540E83"/>
    <w:rsid w:val="125DB6DE"/>
    <w:rsid w:val="125F17A4"/>
    <w:rsid w:val="1271481F"/>
    <w:rsid w:val="12861C12"/>
    <w:rsid w:val="1293E606"/>
    <w:rsid w:val="12AE6F29"/>
    <w:rsid w:val="12CA9BD8"/>
    <w:rsid w:val="12E2F48F"/>
    <w:rsid w:val="1312D55B"/>
    <w:rsid w:val="132B1671"/>
    <w:rsid w:val="133DF04D"/>
    <w:rsid w:val="1344AA48"/>
    <w:rsid w:val="1344D186"/>
    <w:rsid w:val="136FFE08"/>
    <w:rsid w:val="137F23FB"/>
    <w:rsid w:val="1394733F"/>
    <w:rsid w:val="1396534E"/>
    <w:rsid w:val="139C3CD4"/>
    <w:rsid w:val="13A322A8"/>
    <w:rsid w:val="13DA9D66"/>
    <w:rsid w:val="13E39C3B"/>
    <w:rsid w:val="13E81997"/>
    <w:rsid w:val="1401D1F6"/>
    <w:rsid w:val="14212076"/>
    <w:rsid w:val="14215347"/>
    <w:rsid w:val="142ECF78"/>
    <w:rsid w:val="143CBB6A"/>
    <w:rsid w:val="144B1370"/>
    <w:rsid w:val="14522151"/>
    <w:rsid w:val="145348F7"/>
    <w:rsid w:val="145FDB17"/>
    <w:rsid w:val="146A94C1"/>
    <w:rsid w:val="14812364"/>
    <w:rsid w:val="14AC8128"/>
    <w:rsid w:val="14AE2FA8"/>
    <w:rsid w:val="14D60A7C"/>
    <w:rsid w:val="14D97EAA"/>
    <w:rsid w:val="15335270"/>
    <w:rsid w:val="15572366"/>
    <w:rsid w:val="155E1A4B"/>
    <w:rsid w:val="1563454A"/>
    <w:rsid w:val="1566F249"/>
    <w:rsid w:val="156AF46C"/>
    <w:rsid w:val="157B0BE6"/>
    <w:rsid w:val="1591CAD0"/>
    <w:rsid w:val="15930BD6"/>
    <w:rsid w:val="15A28925"/>
    <w:rsid w:val="15C3D72B"/>
    <w:rsid w:val="15C613C8"/>
    <w:rsid w:val="15FA992E"/>
    <w:rsid w:val="15FF41E5"/>
    <w:rsid w:val="16344342"/>
    <w:rsid w:val="1648E815"/>
    <w:rsid w:val="1661847E"/>
    <w:rsid w:val="166D1E9C"/>
    <w:rsid w:val="168DCD78"/>
    <w:rsid w:val="1696B787"/>
    <w:rsid w:val="16B2158B"/>
    <w:rsid w:val="16C45225"/>
    <w:rsid w:val="16CF78C2"/>
    <w:rsid w:val="16DB33A4"/>
    <w:rsid w:val="16FE0361"/>
    <w:rsid w:val="1701B008"/>
    <w:rsid w:val="1716D348"/>
    <w:rsid w:val="172537F1"/>
    <w:rsid w:val="173D642F"/>
    <w:rsid w:val="175A9F0E"/>
    <w:rsid w:val="1796B190"/>
    <w:rsid w:val="17B14B7A"/>
    <w:rsid w:val="17B7EDB6"/>
    <w:rsid w:val="17F3D4BD"/>
    <w:rsid w:val="1803A074"/>
    <w:rsid w:val="1808EB61"/>
    <w:rsid w:val="180E2B0F"/>
    <w:rsid w:val="180E7600"/>
    <w:rsid w:val="18139E0F"/>
    <w:rsid w:val="181B8A8F"/>
    <w:rsid w:val="183BF0F4"/>
    <w:rsid w:val="1846C2AF"/>
    <w:rsid w:val="1855B29A"/>
    <w:rsid w:val="185BC6C4"/>
    <w:rsid w:val="186D1E41"/>
    <w:rsid w:val="186D5112"/>
    <w:rsid w:val="1873C031"/>
    <w:rsid w:val="18780A6C"/>
    <w:rsid w:val="187AE9E9"/>
    <w:rsid w:val="188104BA"/>
    <w:rsid w:val="1891CF18"/>
    <w:rsid w:val="189C0969"/>
    <w:rsid w:val="18AF9779"/>
    <w:rsid w:val="18B402D6"/>
    <w:rsid w:val="18C17F07"/>
    <w:rsid w:val="18D4E4ED"/>
    <w:rsid w:val="18DE564C"/>
    <w:rsid w:val="1905EC8D"/>
    <w:rsid w:val="1912E4F5"/>
    <w:rsid w:val="19187B16"/>
    <w:rsid w:val="191CE384"/>
    <w:rsid w:val="195396D9"/>
    <w:rsid w:val="1954B3BB"/>
    <w:rsid w:val="19945F89"/>
    <w:rsid w:val="1998AE8B"/>
    <w:rsid w:val="199D85F6"/>
    <w:rsid w:val="19ADEEF6"/>
    <w:rsid w:val="19C5AC0D"/>
    <w:rsid w:val="19D5E0FF"/>
    <w:rsid w:val="19E46A8B"/>
    <w:rsid w:val="19F0A6B9"/>
    <w:rsid w:val="19F7E69C"/>
    <w:rsid w:val="1A052D16"/>
    <w:rsid w:val="1A059F8E"/>
    <w:rsid w:val="1A0E9A1F"/>
    <w:rsid w:val="1A122AE0"/>
    <w:rsid w:val="1A24395E"/>
    <w:rsid w:val="1A2C606F"/>
    <w:rsid w:val="1A356AD7"/>
    <w:rsid w:val="1A4D0618"/>
    <w:rsid w:val="1A5146C8"/>
    <w:rsid w:val="1A54EC28"/>
    <w:rsid w:val="1A55AE09"/>
    <w:rsid w:val="1A75E04D"/>
    <w:rsid w:val="1AA0BD58"/>
    <w:rsid w:val="1AA3D344"/>
    <w:rsid w:val="1AA45051"/>
    <w:rsid w:val="1AB24AA7"/>
    <w:rsid w:val="1AB4D9E4"/>
    <w:rsid w:val="1B0BD788"/>
    <w:rsid w:val="1B19285E"/>
    <w:rsid w:val="1B20FA91"/>
    <w:rsid w:val="1B35A344"/>
    <w:rsid w:val="1B35CA82"/>
    <w:rsid w:val="1B4E1AF9"/>
    <w:rsid w:val="1B51FC6C"/>
    <w:rsid w:val="1B5502D7"/>
    <w:rsid w:val="1B611E42"/>
    <w:rsid w:val="1B775CDA"/>
    <w:rsid w:val="1B7B1631"/>
    <w:rsid w:val="1B7B3C43"/>
    <w:rsid w:val="1BA61531"/>
    <w:rsid w:val="1BD3B4C3"/>
    <w:rsid w:val="1BF0325C"/>
    <w:rsid w:val="1C063753"/>
    <w:rsid w:val="1C268FE0"/>
    <w:rsid w:val="1C499AAB"/>
    <w:rsid w:val="1C49DEF5"/>
    <w:rsid w:val="1C6315A1"/>
    <w:rsid w:val="1CA6A150"/>
    <w:rsid w:val="1CA6C937"/>
    <w:rsid w:val="1CB04667"/>
    <w:rsid w:val="1CC36A94"/>
    <w:rsid w:val="1CC8CDE4"/>
    <w:rsid w:val="1CD1FF8A"/>
    <w:rsid w:val="1CDC7CC6"/>
    <w:rsid w:val="1CEF4B34"/>
    <w:rsid w:val="1D28F006"/>
    <w:rsid w:val="1D2BFA8E"/>
    <w:rsid w:val="1D4E7137"/>
    <w:rsid w:val="1D68E84C"/>
    <w:rsid w:val="1D6DE6F5"/>
    <w:rsid w:val="1D7B2683"/>
    <w:rsid w:val="1D7D8972"/>
    <w:rsid w:val="1D930284"/>
    <w:rsid w:val="1DB90502"/>
    <w:rsid w:val="1DC7BABB"/>
    <w:rsid w:val="1DDB36CC"/>
    <w:rsid w:val="1DDE7AA0"/>
    <w:rsid w:val="1DE00E37"/>
    <w:rsid w:val="1DE5F076"/>
    <w:rsid w:val="1DE62347"/>
    <w:rsid w:val="1DF28296"/>
    <w:rsid w:val="1DF3D3CA"/>
    <w:rsid w:val="1E469EE1"/>
    <w:rsid w:val="1E5175C8"/>
    <w:rsid w:val="1E53309D"/>
    <w:rsid w:val="1E597B8D"/>
    <w:rsid w:val="1E6497CA"/>
    <w:rsid w:val="1E72B1EE"/>
    <w:rsid w:val="1E743472"/>
    <w:rsid w:val="1E7ED8EC"/>
    <w:rsid w:val="1E815694"/>
    <w:rsid w:val="1EAE5416"/>
    <w:rsid w:val="1ED1FE61"/>
    <w:rsid w:val="1EDA3F7D"/>
    <w:rsid w:val="1EDAC47C"/>
    <w:rsid w:val="1EF2F771"/>
    <w:rsid w:val="1EF709AB"/>
    <w:rsid w:val="1EFA7D2E"/>
    <w:rsid w:val="1F0B51B0"/>
    <w:rsid w:val="1F152F7C"/>
    <w:rsid w:val="1F2FC46C"/>
    <w:rsid w:val="1F329C23"/>
    <w:rsid w:val="1F3FDBE6"/>
    <w:rsid w:val="1F5B81EB"/>
    <w:rsid w:val="1F6CA697"/>
    <w:rsid w:val="1F815B93"/>
    <w:rsid w:val="1F9C8763"/>
    <w:rsid w:val="1FA53E37"/>
    <w:rsid w:val="1FB05D83"/>
    <w:rsid w:val="1FC411E5"/>
    <w:rsid w:val="1FCC26A9"/>
    <w:rsid w:val="1FD9339B"/>
    <w:rsid w:val="1FE6AFCC"/>
    <w:rsid w:val="1FFA73DE"/>
    <w:rsid w:val="202B19DB"/>
    <w:rsid w:val="20380194"/>
    <w:rsid w:val="2046BFE0"/>
    <w:rsid w:val="20539507"/>
    <w:rsid w:val="2056D75A"/>
    <w:rsid w:val="2075E9E4"/>
    <w:rsid w:val="20954F36"/>
    <w:rsid w:val="209A7E96"/>
    <w:rsid w:val="20B9CD16"/>
    <w:rsid w:val="20C02705"/>
    <w:rsid w:val="20CBF974"/>
    <w:rsid w:val="20D975A5"/>
    <w:rsid w:val="20F370A8"/>
    <w:rsid w:val="20F78422"/>
    <w:rsid w:val="20FCC12F"/>
    <w:rsid w:val="211583EA"/>
    <w:rsid w:val="2129BEB1"/>
    <w:rsid w:val="213CAC43"/>
    <w:rsid w:val="215D6F36"/>
    <w:rsid w:val="218F2102"/>
    <w:rsid w:val="21BD3749"/>
    <w:rsid w:val="21D44AC2"/>
    <w:rsid w:val="21D58AC5"/>
    <w:rsid w:val="21FB75E5"/>
    <w:rsid w:val="2201FB67"/>
    <w:rsid w:val="221CEA2C"/>
    <w:rsid w:val="2231DC33"/>
    <w:rsid w:val="22379410"/>
    <w:rsid w:val="223B30FA"/>
    <w:rsid w:val="223FE544"/>
    <w:rsid w:val="2256FF11"/>
    <w:rsid w:val="227BAA8D"/>
    <w:rsid w:val="2292AD4D"/>
    <w:rsid w:val="22BFBF76"/>
    <w:rsid w:val="22D46E0A"/>
    <w:rsid w:val="22DFEAEE"/>
    <w:rsid w:val="22EAD65F"/>
    <w:rsid w:val="2319E218"/>
    <w:rsid w:val="231F19DC"/>
    <w:rsid w:val="236CC124"/>
    <w:rsid w:val="237F14C0"/>
    <w:rsid w:val="23821F48"/>
    <w:rsid w:val="23926993"/>
    <w:rsid w:val="23970E2D"/>
    <w:rsid w:val="23A20D25"/>
    <w:rsid w:val="23A4B19C"/>
    <w:rsid w:val="23D1BAB1"/>
    <w:rsid w:val="23EC8482"/>
    <w:rsid w:val="23EED38A"/>
    <w:rsid w:val="24042B33"/>
    <w:rsid w:val="2407F157"/>
    <w:rsid w:val="240929DC"/>
    <w:rsid w:val="242ED529"/>
    <w:rsid w:val="24505672"/>
    <w:rsid w:val="245BBDBF"/>
    <w:rsid w:val="247DC714"/>
    <w:rsid w:val="24B47504"/>
    <w:rsid w:val="24CDB230"/>
    <w:rsid w:val="24D95EA3"/>
    <w:rsid w:val="24DF847F"/>
    <w:rsid w:val="250EFC87"/>
    <w:rsid w:val="2552EBC4"/>
    <w:rsid w:val="25CF5D71"/>
    <w:rsid w:val="25CFF762"/>
    <w:rsid w:val="25DD07ED"/>
    <w:rsid w:val="25E1FC0A"/>
    <w:rsid w:val="25E5572A"/>
    <w:rsid w:val="26162560"/>
    <w:rsid w:val="2631482F"/>
    <w:rsid w:val="2650B6EC"/>
    <w:rsid w:val="265ED37F"/>
    <w:rsid w:val="26698804"/>
    <w:rsid w:val="267A58C1"/>
    <w:rsid w:val="26892088"/>
    <w:rsid w:val="26A44BBB"/>
    <w:rsid w:val="26A7BC95"/>
    <w:rsid w:val="26C1D07F"/>
    <w:rsid w:val="26C6D794"/>
    <w:rsid w:val="26CDE4A6"/>
    <w:rsid w:val="26DB7D7D"/>
    <w:rsid w:val="26E0E5E5"/>
    <w:rsid w:val="26E5DE13"/>
    <w:rsid w:val="26E81825"/>
    <w:rsid w:val="26FDC572"/>
    <w:rsid w:val="27071A39"/>
    <w:rsid w:val="270BA328"/>
    <w:rsid w:val="27159E1C"/>
    <w:rsid w:val="271B390F"/>
    <w:rsid w:val="272AC2F4"/>
    <w:rsid w:val="272D9789"/>
    <w:rsid w:val="274793CC"/>
    <w:rsid w:val="274AB062"/>
    <w:rsid w:val="275FB477"/>
    <w:rsid w:val="27D4BF03"/>
    <w:rsid w:val="27DC41F6"/>
    <w:rsid w:val="27FAA3E0"/>
    <w:rsid w:val="28161600"/>
    <w:rsid w:val="28227DD9"/>
    <w:rsid w:val="2823DE9F"/>
    <w:rsid w:val="2841FF2A"/>
    <w:rsid w:val="28425D56"/>
    <w:rsid w:val="285EE94F"/>
    <w:rsid w:val="287DFB61"/>
    <w:rsid w:val="2898DB96"/>
    <w:rsid w:val="28B429C0"/>
    <w:rsid w:val="290FCD28"/>
    <w:rsid w:val="2913CA8F"/>
    <w:rsid w:val="29251748"/>
    <w:rsid w:val="29363BF4"/>
    <w:rsid w:val="294E6832"/>
    <w:rsid w:val="294E8F70"/>
    <w:rsid w:val="2966619F"/>
    <w:rsid w:val="297B40B0"/>
    <w:rsid w:val="29818CD2"/>
    <w:rsid w:val="298E3422"/>
    <w:rsid w:val="29D31CE9"/>
    <w:rsid w:val="29DB0689"/>
    <w:rsid w:val="29ED5A25"/>
    <w:rsid w:val="2A233136"/>
    <w:rsid w:val="2A398DF3"/>
    <w:rsid w:val="2A444AA1"/>
    <w:rsid w:val="2A54D15A"/>
    <w:rsid w:val="2A54DCED"/>
    <w:rsid w:val="2A5CEEA6"/>
    <w:rsid w:val="2A658AE4"/>
    <w:rsid w:val="2A699901"/>
    <w:rsid w:val="2A6CD65A"/>
    <w:rsid w:val="2AAE5D1F"/>
    <w:rsid w:val="2AB4DE4C"/>
    <w:rsid w:val="2AB6DB4A"/>
    <w:rsid w:val="2AD3C80A"/>
    <w:rsid w:val="2ADE1077"/>
    <w:rsid w:val="2ADE4FF9"/>
    <w:rsid w:val="2AE1CBC4"/>
    <w:rsid w:val="2AE651A4"/>
    <w:rsid w:val="2AF2140B"/>
    <w:rsid w:val="2B26D2BD"/>
    <w:rsid w:val="2B2BBE95"/>
    <w:rsid w:val="2B6BC9AC"/>
    <w:rsid w:val="2B74B256"/>
    <w:rsid w:val="2B84C9D0"/>
    <w:rsid w:val="2B8B6BC0"/>
    <w:rsid w:val="2BA766BC"/>
    <w:rsid w:val="2C04E815"/>
    <w:rsid w:val="2C2388F2"/>
    <w:rsid w:val="2C3B4F8E"/>
    <w:rsid w:val="2C508674"/>
    <w:rsid w:val="2C6622FC"/>
    <w:rsid w:val="2C6B4268"/>
    <w:rsid w:val="2CA7ED52"/>
    <w:rsid w:val="2CB84D20"/>
    <w:rsid w:val="2CD03141"/>
    <w:rsid w:val="2CE48BEC"/>
    <w:rsid w:val="2D0E0C3D"/>
    <w:rsid w:val="2D1242A4"/>
    <w:rsid w:val="2D218BB8"/>
    <w:rsid w:val="2D2F07E9"/>
    <w:rsid w:val="2D41AF19"/>
    <w:rsid w:val="2D5EE8B5"/>
    <w:rsid w:val="2D621A7B"/>
    <w:rsid w:val="2D8B9E36"/>
    <w:rsid w:val="2D8F17FD"/>
    <w:rsid w:val="2DA06F7A"/>
    <w:rsid w:val="2DA25D20"/>
    <w:rsid w:val="2DA3B3BD"/>
    <w:rsid w:val="2DCD6CFC"/>
    <w:rsid w:val="2DF87BD0"/>
    <w:rsid w:val="2E022533"/>
    <w:rsid w:val="2E06F3BD"/>
    <w:rsid w:val="2E0BA98C"/>
    <w:rsid w:val="2E131987"/>
    <w:rsid w:val="2E152672"/>
    <w:rsid w:val="2E164BA1"/>
    <w:rsid w:val="2E3FDC3F"/>
    <w:rsid w:val="2E3FEE4D"/>
    <w:rsid w:val="2E474360"/>
    <w:rsid w:val="2E5A1D61"/>
    <w:rsid w:val="2E7EBE1E"/>
    <w:rsid w:val="2E84A7D3"/>
    <w:rsid w:val="2EAA7B9D"/>
    <w:rsid w:val="2EB181B9"/>
    <w:rsid w:val="2EB496EE"/>
    <w:rsid w:val="2ED0D72F"/>
    <w:rsid w:val="2EEABE42"/>
    <w:rsid w:val="2F0476A1"/>
    <w:rsid w:val="2F0F0ADC"/>
    <w:rsid w:val="2F0FAD23"/>
    <w:rsid w:val="2F237692"/>
    <w:rsid w:val="2F6155EE"/>
    <w:rsid w:val="2F7C3404"/>
    <w:rsid w:val="2F840D4B"/>
    <w:rsid w:val="2F8668FC"/>
    <w:rsid w:val="2F883D61"/>
    <w:rsid w:val="2F920CFA"/>
    <w:rsid w:val="2F922DBD"/>
    <w:rsid w:val="2F92BA9D"/>
    <w:rsid w:val="2FAB2349"/>
    <w:rsid w:val="2FE09C91"/>
    <w:rsid w:val="3024317F"/>
    <w:rsid w:val="3033C174"/>
    <w:rsid w:val="304D5B16"/>
    <w:rsid w:val="3068F47D"/>
    <w:rsid w:val="3075775F"/>
    <w:rsid w:val="307F9E37"/>
    <w:rsid w:val="30894AAF"/>
    <w:rsid w:val="308B7C39"/>
    <w:rsid w:val="30A32F08"/>
    <w:rsid w:val="30A513D5"/>
    <w:rsid w:val="30C58ACA"/>
    <w:rsid w:val="30F192A8"/>
    <w:rsid w:val="3101E690"/>
    <w:rsid w:val="310C8B0A"/>
    <w:rsid w:val="312A088A"/>
    <w:rsid w:val="31372BA7"/>
    <w:rsid w:val="3148D77C"/>
    <w:rsid w:val="315181F9"/>
    <w:rsid w:val="315EC0C1"/>
    <w:rsid w:val="3178FB9E"/>
    <w:rsid w:val="317C4359"/>
    <w:rsid w:val="317DE13D"/>
    <w:rsid w:val="3180E7F3"/>
    <w:rsid w:val="318A7847"/>
    <w:rsid w:val="31B0DACD"/>
    <w:rsid w:val="31D408B6"/>
    <w:rsid w:val="31D85341"/>
    <w:rsid w:val="31F7A1C1"/>
    <w:rsid w:val="31FAF128"/>
    <w:rsid w:val="320AA300"/>
    <w:rsid w:val="320FF53D"/>
    <w:rsid w:val="3218E91A"/>
    <w:rsid w:val="32579CA5"/>
    <w:rsid w:val="3263DC7F"/>
    <w:rsid w:val="327A4FBC"/>
    <w:rsid w:val="32B3DF5E"/>
    <w:rsid w:val="32B61505"/>
    <w:rsid w:val="32B91E6E"/>
    <w:rsid w:val="32CD287E"/>
    <w:rsid w:val="32E94538"/>
    <w:rsid w:val="32EC9AF3"/>
    <w:rsid w:val="32EEE5E1"/>
    <w:rsid w:val="32FD9279"/>
    <w:rsid w:val="33160FE9"/>
    <w:rsid w:val="331642BA"/>
    <w:rsid w:val="334373E3"/>
    <w:rsid w:val="3343FEA1"/>
    <w:rsid w:val="334FFE39"/>
    <w:rsid w:val="33522F41"/>
    <w:rsid w:val="3354FA23"/>
    <w:rsid w:val="337DCDB5"/>
    <w:rsid w:val="33CCB11A"/>
    <w:rsid w:val="33D178A5"/>
    <w:rsid w:val="33D4F364"/>
    <w:rsid w:val="33F5BC30"/>
    <w:rsid w:val="342FF105"/>
    <w:rsid w:val="3468CC89"/>
    <w:rsid w:val="347C6FD8"/>
    <w:rsid w:val="3480C5F6"/>
    <w:rsid w:val="348838EC"/>
    <w:rsid w:val="348ED324"/>
    <w:rsid w:val="349D16C9"/>
    <w:rsid w:val="34A2ED28"/>
    <w:rsid w:val="34A73D39"/>
    <w:rsid w:val="34BAB3C4"/>
    <w:rsid w:val="34D4E2D8"/>
    <w:rsid w:val="34ED3654"/>
    <w:rsid w:val="34EFE6CD"/>
    <w:rsid w:val="34F31893"/>
    <w:rsid w:val="351B61CB"/>
    <w:rsid w:val="351BD167"/>
    <w:rsid w:val="3525DECE"/>
    <w:rsid w:val="35398256"/>
    <w:rsid w:val="353C3D22"/>
    <w:rsid w:val="353DF86B"/>
    <w:rsid w:val="356A0532"/>
    <w:rsid w:val="358A3DF2"/>
    <w:rsid w:val="3590ED92"/>
    <w:rsid w:val="35A84D12"/>
    <w:rsid w:val="35AFCCE5"/>
    <w:rsid w:val="35B2CBDA"/>
    <w:rsid w:val="35C04260"/>
    <w:rsid w:val="35C35E26"/>
    <w:rsid w:val="35C67ABC"/>
    <w:rsid w:val="36105F82"/>
    <w:rsid w:val="36350A96"/>
    <w:rsid w:val="364ACB94"/>
    <w:rsid w:val="367A7C57"/>
    <w:rsid w:val="36A98EBD"/>
    <w:rsid w:val="36E3338F"/>
    <w:rsid w:val="36E36F2C"/>
    <w:rsid w:val="36E96640"/>
    <w:rsid w:val="36F34B09"/>
    <w:rsid w:val="3735B242"/>
    <w:rsid w:val="3737995C"/>
    <w:rsid w:val="375BA2F5"/>
    <w:rsid w:val="3764F8EA"/>
    <w:rsid w:val="376B488D"/>
    <w:rsid w:val="37795D28"/>
    <w:rsid w:val="378CA2BE"/>
    <w:rsid w:val="3792B7CE"/>
    <w:rsid w:val="379D2977"/>
    <w:rsid w:val="37BD6B76"/>
    <w:rsid w:val="37C0EFD3"/>
    <w:rsid w:val="37C9593E"/>
    <w:rsid w:val="37E98B7A"/>
    <w:rsid w:val="37EDBA84"/>
    <w:rsid w:val="37F0389E"/>
    <w:rsid w:val="37F7300E"/>
    <w:rsid w:val="37F8A2E2"/>
    <w:rsid w:val="37FD3669"/>
    <w:rsid w:val="37FE972F"/>
    <w:rsid w:val="3800B9DF"/>
    <w:rsid w:val="3826A816"/>
    <w:rsid w:val="382A54AE"/>
    <w:rsid w:val="38416F03"/>
    <w:rsid w:val="38474649"/>
    <w:rsid w:val="3847BE43"/>
    <w:rsid w:val="3849DD96"/>
    <w:rsid w:val="385372C7"/>
    <w:rsid w:val="3868A9AD"/>
    <w:rsid w:val="3880C3DD"/>
    <w:rsid w:val="38844FB2"/>
    <w:rsid w:val="38856877"/>
    <w:rsid w:val="3892F03B"/>
    <w:rsid w:val="38A09F3D"/>
    <w:rsid w:val="38A5AFBD"/>
    <w:rsid w:val="38B03052"/>
    <w:rsid w:val="38B5B560"/>
    <w:rsid w:val="38BB979F"/>
    <w:rsid w:val="38D1512C"/>
    <w:rsid w:val="39050BEA"/>
    <w:rsid w:val="3907EB17"/>
    <w:rsid w:val="390F2384"/>
    <w:rsid w:val="391155F0"/>
    <w:rsid w:val="39140682"/>
    <w:rsid w:val="39271CF1"/>
    <w:rsid w:val="393CAE78"/>
    <w:rsid w:val="393D9C0B"/>
    <w:rsid w:val="39876651"/>
    <w:rsid w:val="3987ECB6"/>
    <w:rsid w:val="39923721"/>
    <w:rsid w:val="399C277D"/>
    <w:rsid w:val="399F5526"/>
    <w:rsid w:val="39A0CC17"/>
    <w:rsid w:val="39BF01D2"/>
    <w:rsid w:val="39F357A1"/>
    <w:rsid w:val="39F3DCA4"/>
    <w:rsid w:val="39F9DE53"/>
    <w:rsid w:val="3A056B95"/>
    <w:rsid w:val="3A1EC5C8"/>
    <w:rsid w:val="3A2D26AD"/>
    <w:rsid w:val="3A36BF35"/>
    <w:rsid w:val="3A36ECC7"/>
    <w:rsid w:val="3A4D6C6C"/>
    <w:rsid w:val="3A5B3F95"/>
    <w:rsid w:val="3A5F3F5B"/>
    <w:rsid w:val="3A8F7A36"/>
    <w:rsid w:val="3AA2A441"/>
    <w:rsid w:val="3AAE95E5"/>
    <w:rsid w:val="3AD40B83"/>
    <w:rsid w:val="3AE8C797"/>
    <w:rsid w:val="3AFFB5A4"/>
    <w:rsid w:val="3B016EA7"/>
    <w:rsid w:val="3B1DC6C4"/>
    <w:rsid w:val="3B2B2ED0"/>
    <w:rsid w:val="3B45D8B6"/>
    <w:rsid w:val="3B58522D"/>
    <w:rsid w:val="3B629DFB"/>
    <w:rsid w:val="3B62A98E"/>
    <w:rsid w:val="3B64076A"/>
    <w:rsid w:val="3B68E5DC"/>
    <w:rsid w:val="3B7E4F93"/>
    <w:rsid w:val="3B8F9B7D"/>
    <w:rsid w:val="3B98D8B6"/>
    <w:rsid w:val="3BB764FF"/>
    <w:rsid w:val="3BBBCEC5"/>
    <w:rsid w:val="3BCD2B4B"/>
    <w:rsid w:val="3BD91B5B"/>
    <w:rsid w:val="3BDA7C21"/>
    <w:rsid w:val="3BEE1F70"/>
    <w:rsid w:val="3BF7CBE8"/>
    <w:rsid w:val="3C13950E"/>
    <w:rsid w:val="3C6013E1"/>
    <w:rsid w:val="3C64C82B"/>
    <w:rsid w:val="3C64FAFC"/>
    <w:rsid w:val="3C774E3E"/>
    <w:rsid w:val="3C8416AB"/>
    <w:rsid w:val="3C9AE69D"/>
    <w:rsid w:val="3C9F7F7F"/>
    <w:rsid w:val="3CA845D9"/>
    <w:rsid w:val="3CADE267"/>
    <w:rsid w:val="3CD0957E"/>
    <w:rsid w:val="3CDAB8AB"/>
    <w:rsid w:val="3CDE11AF"/>
    <w:rsid w:val="3D0505B4"/>
    <w:rsid w:val="3D19E28B"/>
    <w:rsid w:val="3D28D190"/>
    <w:rsid w:val="3D35F780"/>
    <w:rsid w:val="3D697261"/>
    <w:rsid w:val="3D76FA25"/>
    <w:rsid w:val="3D7E7676"/>
    <w:rsid w:val="3DC36D65"/>
    <w:rsid w:val="3E396C4B"/>
    <w:rsid w:val="3E4DD42C"/>
    <w:rsid w:val="3E6B3E65"/>
    <w:rsid w:val="3E6C973E"/>
    <w:rsid w:val="3E6CCA86"/>
    <w:rsid w:val="3E71AF0A"/>
    <w:rsid w:val="3E87B94B"/>
    <w:rsid w:val="3E87E089"/>
    <w:rsid w:val="3E8C5DE5"/>
    <w:rsid w:val="3EA718DE"/>
    <w:rsid w:val="3EA72C7E"/>
    <w:rsid w:val="3EB146A3"/>
    <w:rsid w:val="3EB1C175"/>
    <w:rsid w:val="3EC0B07A"/>
    <w:rsid w:val="3EC959B0"/>
    <w:rsid w:val="3EC972E1"/>
    <w:rsid w:val="3EE9DE43"/>
    <w:rsid w:val="3EEC0FCD"/>
    <w:rsid w:val="3F04093A"/>
    <w:rsid w:val="3F25FD9B"/>
    <w:rsid w:val="3F4C7849"/>
    <w:rsid w:val="3F52263C"/>
    <w:rsid w:val="3F584D5A"/>
    <w:rsid w:val="3F5A3F1D"/>
    <w:rsid w:val="3F97F20C"/>
    <w:rsid w:val="3FD9C484"/>
    <w:rsid w:val="3FE39BFE"/>
    <w:rsid w:val="3FE87E23"/>
    <w:rsid w:val="4009119C"/>
    <w:rsid w:val="402892ED"/>
    <w:rsid w:val="402934FD"/>
    <w:rsid w:val="402DFC9A"/>
    <w:rsid w:val="4047B8E0"/>
    <w:rsid w:val="405B5D7E"/>
    <w:rsid w:val="406EB251"/>
    <w:rsid w:val="40777E7F"/>
    <w:rsid w:val="407E1095"/>
    <w:rsid w:val="4084994B"/>
    <w:rsid w:val="409D005D"/>
    <w:rsid w:val="40A0873E"/>
    <w:rsid w:val="40B6FA71"/>
    <w:rsid w:val="40B81B09"/>
    <w:rsid w:val="40BB3124"/>
    <w:rsid w:val="40BE84EA"/>
    <w:rsid w:val="40E5188B"/>
    <w:rsid w:val="40F55BFC"/>
    <w:rsid w:val="410B1B09"/>
    <w:rsid w:val="41233D72"/>
    <w:rsid w:val="412BFD20"/>
    <w:rsid w:val="4138067D"/>
    <w:rsid w:val="4138394E"/>
    <w:rsid w:val="4144989D"/>
    <w:rsid w:val="414D7235"/>
    <w:rsid w:val="414FFFEA"/>
    <w:rsid w:val="415172BE"/>
    <w:rsid w:val="41545608"/>
    <w:rsid w:val="41547D46"/>
    <w:rsid w:val="41599CB2"/>
    <w:rsid w:val="415A4E91"/>
    <w:rsid w:val="41649FB4"/>
    <w:rsid w:val="417E7040"/>
    <w:rsid w:val="41BF1111"/>
    <w:rsid w:val="41C4C7F5"/>
    <w:rsid w:val="41C64A79"/>
    <w:rsid w:val="41D36C9B"/>
    <w:rsid w:val="4209BEE4"/>
    <w:rsid w:val="421D3AF5"/>
    <w:rsid w:val="4231E636"/>
    <w:rsid w:val="4272C5B7"/>
    <w:rsid w:val="427DD7E9"/>
    <w:rsid w:val="429B69D6"/>
    <w:rsid w:val="42A9B889"/>
    <w:rsid w:val="42A9D94C"/>
    <w:rsid w:val="42EC40B1"/>
    <w:rsid w:val="42FB23F7"/>
    <w:rsid w:val="431C008E"/>
    <w:rsid w:val="432B49A2"/>
    <w:rsid w:val="434FEE64"/>
    <w:rsid w:val="4362D55A"/>
    <w:rsid w:val="43A6412E"/>
    <w:rsid w:val="43B2B9D3"/>
    <w:rsid w:val="43B768DF"/>
    <w:rsid w:val="43B8AEDF"/>
    <w:rsid w:val="43C0FC2D"/>
    <w:rsid w:val="43D72AE6"/>
    <w:rsid w:val="43D97ACF"/>
    <w:rsid w:val="43F1B409"/>
    <w:rsid w:val="43F1FDA6"/>
    <w:rsid w:val="43F772D1"/>
    <w:rsid w:val="44468FA1"/>
    <w:rsid w:val="4449AC37"/>
    <w:rsid w:val="4467ED85"/>
    <w:rsid w:val="44766C50"/>
    <w:rsid w:val="447F9C6D"/>
    <w:rsid w:val="449BE1EE"/>
    <w:rsid w:val="44AD9797"/>
    <w:rsid w:val="44AF853D"/>
    <w:rsid w:val="44DB0FEB"/>
    <w:rsid w:val="44E04C5F"/>
    <w:rsid w:val="44FB8BB9"/>
    <w:rsid w:val="45008589"/>
    <w:rsid w:val="450981AE"/>
    <w:rsid w:val="455E84AC"/>
    <w:rsid w:val="456381ED"/>
    <w:rsid w:val="4570CA52"/>
    <w:rsid w:val="4583F23A"/>
    <w:rsid w:val="4590FE77"/>
    <w:rsid w:val="459BCAE4"/>
    <w:rsid w:val="459C1E78"/>
    <w:rsid w:val="45C25558"/>
    <w:rsid w:val="45CDC094"/>
    <w:rsid w:val="46218367"/>
    <w:rsid w:val="4630C1E3"/>
    <w:rsid w:val="463FDC43"/>
    <w:rsid w:val="464D6407"/>
    <w:rsid w:val="46821F52"/>
    <w:rsid w:val="46873BAA"/>
    <w:rsid w:val="468C5B1A"/>
    <w:rsid w:val="4699B009"/>
    <w:rsid w:val="46BBFDEB"/>
    <w:rsid w:val="46D12AC7"/>
    <w:rsid w:val="46D9FE41"/>
    <w:rsid w:val="46F6C7A3"/>
    <w:rsid w:val="470BA47A"/>
    <w:rsid w:val="471648F4"/>
    <w:rsid w:val="4718E43D"/>
    <w:rsid w:val="472DE852"/>
    <w:rsid w:val="473125AB"/>
    <w:rsid w:val="47314CE9"/>
    <w:rsid w:val="47345771"/>
    <w:rsid w:val="47431F38"/>
    <w:rsid w:val="474DC3B2"/>
    <w:rsid w:val="475E55FE"/>
    <w:rsid w:val="4768C994"/>
    <w:rsid w:val="47881627"/>
    <w:rsid w:val="47BE7820"/>
    <w:rsid w:val="47C45291"/>
    <w:rsid w:val="47D37C35"/>
    <w:rsid w:val="47FD47F1"/>
    <w:rsid w:val="47FFE8BA"/>
    <w:rsid w:val="4804AF12"/>
    <w:rsid w:val="48198BE9"/>
    <w:rsid w:val="481FC837"/>
    <w:rsid w:val="48311FB4"/>
    <w:rsid w:val="483901A7"/>
    <w:rsid w:val="48430ACA"/>
    <w:rsid w:val="485D9839"/>
    <w:rsid w:val="4878F9ED"/>
    <w:rsid w:val="4889226E"/>
    <w:rsid w:val="48941A7E"/>
    <w:rsid w:val="489752C9"/>
    <w:rsid w:val="48C8B9E8"/>
    <w:rsid w:val="48D7CC5C"/>
    <w:rsid w:val="48ECAD0E"/>
    <w:rsid w:val="48EFC5C9"/>
    <w:rsid w:val="48F00DCA"/>
    <w:rsid w:val="4906ECEB"/>
    <w:rsid w:val="490AA280"/>
    <w:rsid w:val="49198230"/>
    <w:rsid w:val="491CC34B"/>
    <w:rsid w:val="4930AE9B"/>
    <w:rsid w:val="49392431"/>
    <w:rsid w:val="494C8354"/>
    <w:rsid w:val="49529447"/>
    <w:rsid w:val="49532544"/>
    <w:rsid w:val="4958DB43"/>
    <w:rsid w:val="495BED2B"/>
    <w:rsid w:val="495DF02C"/>
    <w:rsid w:val="4962023B"/>
    <w:rsid w:val="497E8776"/>
    <w:rsid w:val="498E68D1"/>
    <w:rsid w:val="49916835"/>
    <w:rsid w:val="49BDE94F"/>
    <w:rsid w:val="49CCA199"/>
    <w:rsid w:val="49E037C4"/>
    <w:rsid w:val="49EF743E"/>
    <w:rsid w:val="49F5033F"/>
    <w:rsid w:val="4A79EED0"/>
    <w:rsid w:val="4A7B7DFD"/>
    <w:rsid w:val="4A8B2FD1"/>
    <w:rsid w:val="4A984B14"/>
    <w:rsid w:val="4AC58E90"/>
    <w:rsid w:val="4AE1DE1B"/>
    <w:rsid w:val="4AF73F66"/>
    <w:rsid w:val="4B00B6B2"/>
    <w:rsid w:val="4B17510F"/>
    <w:rsid w:val="4B251FB5"/>
    <w:rsid w:val="4B2F51D0"/>
    <w:rsid w:val="4B32E249"/>
    <w:rsid w:val="4B659948"/>
    <w:rsid w:val="4B79EBB3"/>
    <w:rsid w:val="4B863B20"/>
    <w:rsid w:val="4B9296CA"/>
    <w:rsid w:val="4B941531"/>
    <w:rsid w:val="4B9B43A7"/>
    <w:rsid w:val="4BAFE274"/>
    <w:rsid w:val="4BB254AF"/>
    <w:rsid w:val="4BC9DEB7"/>
    <w:rsid w:val="4BCD1C10"/>
    <w:rsid w:val="4BD01168"/>
    <w:rsid w:val="4BEADE6F"/>
    <w:rsid w:val="4BEC6A90"/>
    <w:rsid w:val="4BEF9D51"/>
    <w:rsid w:val="4BF2C47F"/>
    <w:rsid w:val="4BF5F645"/>
    <w:rsid w:val="4BFD73B0"/>
    <w:rsid w:val="4C12E807"/>
    <w:rsid w:val="4C51BC25"/>
    <w:rsid w:val="4C799C42"/>
    <w:rsid w:val="4C8E2A9D"/>
    <w:rsid w:val="4C9A7E59"/>
    <w:rsid w:val="4C9F32A3"/>
    <w:rsid w:val="4CBE22F7"/>
    <w:rsid w:val="4CCBD1F9"/>
    <w:rsid w:val="4CD05372"/>
    <w:rsid w:val="4CE8EEEF"/>
    <w:rsid w:val="4D1159E5"/>
    <w:rsid w:val="4D16F006"/>
    <w:rsid w:val="4D1BA450"/>
    <w:rsid w:val="4D2A0675"/>
    <w:rsid w:val="4D34CBB2"/>
    <w:rsid w:val="4D367157"/>
    <w:rsid w:val="4D3F702C"/>
    <w:rsid w:val="4D41B502"/>
    <w:rsid w:val="4D7CF467"/>
    <w:rsid w:val="4D87CAE0"/>
    <w:rsid w:val="4D9660A8"/>
    <w:rsid w:val="4D9758E7"/>
    <w:rsid w:val="4DA8A6CD"/>
    <w:rsid w:val="4DD113B5"/>
    <w:rsid w:val="4DD98697"/>
    <w:rsid w:val="4DDA1794"/>
    <w:rsid w:val="4DE3A24E"/>
    <w:rsid w:val="4DE8F48B"/>
    <w:rsid w:val="4E06F453"/>
    <w:rsid w:val="4E15DCDD"/>
    <w:rsid w:val="4E1839C2"/>
    <w:rsid w:val="4E2C2F5D"/>
    <w:rsid w:val="4E3220A5"/>
    <w:rsid w:val="4E484D5F"/>
    <w:rsid w:val="4E726797"/>
    <w:rsid w:val="4E8CF0BA"/>
    <w:rsid w:val="4E8E06AC"/>
    <w:rsid w:val="4E9CAE25"/>
    <w:rsid w:val="4E9F9CEF"/>
    <w:rsid w:val="4E9FF1F9"/>
    <w:rsid w:val="4EB1FCD4"/>
    <w:rsid w:val="4EB4CED0"/>
    <w:rsid w:val="4EC28606"/>
    <w:rsid w:val="4EC3A3BC"/>
    <w:rsid w:val="4ECA8088"/>
    <w:rsid w:val="4EF97CC3"/>
    <w:rsid w:val="4F03DD59"/>
    <w:rsid w:val="4F11A901"/>
    <w:rsid w:val="4F4DCA94"/>
    <w:rsid w:val="4F566D1F"/>
    <w:rsid w:val="4F635D6B"/>
    <w:rsid w:val="4F77FED9"/>
    <w:rsid w:val="4F8CEA29"/>
    <w:rsid w:val="4FC4D41B"/>
    <w:rsid w:val="4FDE85D6"/>
    <w:rsid w:val="500A6327"/>
    <w:rsid w:val="501F0E28"/>
    <w:rsid w:val="5036A1F3"/>
    <w:rsid w:val="505A357E"/>
    <w:rsid w:val="505FA8FB"/>
    <w:rsid w:val="507C8D10"/>
    <w:rsid w:val="50873300"/>
    <w:rsid w:val="50DB18F4"/>
    <w:rsid w:val="50F28581"/>
    <w:rsid w:val="510725AC"/>
    <w:rsid w:val="510A4C1D"/>
    <w:rsid w:val="510A7EEE"/>
    <w:rsid w:val="511F8303"/>
    <w:rsid w:val="5134ECBA"/>
    <w:rsid w:val="5142FE56"/>
    <w:rsid w:val="5161DE91"/>
    <w:rsid w:val="518052C8"/>
    <w:rsid w:val="51861C17"/>
    <w:rsid w:val="518BDD36"/>
    <w:rsid w:val="5191F246"/>
    <w:rsid w:val="51A40974"/>
    <w:rsid w:val="51AC3368"/>
    <w:rsid w:val="51C8F232"/>
    <w:rsid w:val="51C93A33"/>
    <w:rsid w:val="51D6BDDA"/>
    <w:rsid w:val="52188316"/>
    <w:rsid w:val="521BF257"/>
    <w:rsid w:val="521D52F8"/>
    <w:rsid w:val="522639B5"/>
    <w:rsid w:val="522CE605"/>
    <w:rsid w:val="523DFCBE"/>
    <w:rsid w:val="525300D3"/>
    <w:rsid w:val="52540FFC"/>
    <w:rsid w:val="525AE2C6"/>
    <w:rsid w:val="52744F07"/>
    <w:rsid w:val="52A71E99"/>
    <w:rsid w:val="52A9E4D1"/>
    <w:rsid w:val="52ABCA88"/>
    <w:rsid w:val="52AF774D"/>
    <w:rsid w:val="52B3E2CE"/>
    <w:rsid w:val="52B44C25"/>
    <w:rsid w:val="52BC44EB"/>
    <w:rsid w:val="52C88119"/>
    <w:rsid w:val="52CC4A57"/>
    <w:rsid w:val="52FD3950"/>
    <w:rsid w:val="531CED72"/>
    <w:rsid w:val="5323A075"/>
    <w:rsid w:val="53260E99"/>
    <w:rsid w:val="535E06C1"/>
    <w:rsid w:val="53616FFC"/>
    <w:rsid w:val="536DFED1"/>
    <w:rsid w:val="53883460"/>
    <w:rsid w:val="538B027A"/>
    <w:rsid w:val="539594E6"/>
    <w:rsid w:val="539C79EE"/>
    <w:rsid w:val="539F209B"/>
    <w:rsid w:val="53A7E232"/>
    <w:rsid w:val="53A8DA09"/>
    <w:rsid w:val="53A988C7"/>
    <w:rsid w:val="53D1B43E"/>
    <w:rsid w:val="53D41F72"/>
    <w:rsid w:val="53E68582"/>
    <w:rsid w:val="53FCB20C"/>
    <w:rsid w:val="540CD001"/>
    <w:rsid w:val="5416AB2D"/>
    <w:rsid w:val="542CC93D"/>
    <w:rsid w:val="547598DB"/>
    <w:rsid w:val="5476A3F8"/>
    <w:rsid w:val="54797DC8"/>
    <w:rsid w:val="547DEF91"/>
    <w:rsid w:val="54842242"/>
    <w:rsid w:val="548442E5"/>
    <w:rsid w:val="54889F9E"/>
    <w:rsid w:val="548A2BBF"/>
    <w:rsid w:val="5498F386"/>
    <w:rsid w:val="549CC429"/>
    <w:rsid w:val="54A33DF1"/>
    <w:rsid w:val="54A6AE1B"/>
    <w:rsid w:val="54BE1AA8"/>
    <w:rsid w:val="54BE889F"/>
    <w:rsid w:val="54E6C20C"/>
    <w:rsid w:val="54E8020F"/>
    <w:rsid w:val="54E96EF3"/>
    <w:rsid w:val="54FB1E49"/>
    <w:rsid w:val="5506D03D"/>
    <w:rsid w:val="55261EBD"/>
    <w:rsid w:val="552A6948"/>
    <w:rsid w:val="55489F03"/>
    <w:rsid w:val="555D0C9B"/>
    <w:rsid w:val="55620B44"/>
    <w:rsid w:val="55682054"/>
    <w:rsid w:val="559355D4"/>
    <w:rsid w:val="55A17D25"/>
    <w:rsid w:val="55DE2D61"/>
    <w:rsid w:val="56071247"/>
    <w:rsid w:val="56082B0C"/>
    <w:rsid w:val="562DD37B"/>
    <w:rsid w:val="563850B7"/>
    <w:rsid w:val="563FC6C1"/>
    <w:rsid w:val="565B19F9"/>
    <w:rsid w:val="566825F0"/>
    <w:rsid w:val="5696C917"/>
    <w:rsid w:val="569AEC64"/>
    <w:rsid w:val="56AA4528"/>
    <w:rsid w:val="56AEC284"/>
    <w:rsid w:val="56C1D8F3"/>
    <w:rsid w:val="56DC6216"/>
    <w:rsid w:val="56E60340"/>
    <w:rsid w:val="56EC2D65"/>
    <w:rsid w:val="56FD5910"/>
    <w:rsid w:val="570B1B5B"/>
    <w:rsid w:val="571B20D4"/>
    <w:rsid w:val="5729BC16"/>
    <w:rsid w:val="5735BB0A"/>
    <w:rsid w:val="573A4E91"/>
    <w:rsid w:val="573AB8FC"/>
    <w:rsid w:val="575396B6"/>
    <w:rsid w:val="577AB1F9"/>
    <w:rsid w:val="57D2DBFD"/>
    <w:rsid w:val="5801C800"/>
    <w:rsid w:val="5807AA5F"/>
    <w:rsid w:val="580D9319"/>
    <w:rsid w:val="580F26B0"/>
    <w:rsid w:val="580FD3AA"/>
    <w:rsid w:val="581D5D44"/>
    <w:rsid w:val="5825E01A"/>
    <w:rsid w:val="582A3638"/>
    <w:rsid w:val="5841A2C5"/>
    <w:rsid w:val="584ECB62"/>
    <w:rsid w:val="586D77D2"/>
    <w:rsid w:val="588B985D"/>
    <w:rsid w:val="58A391CA"/>
    <w:rsid w:val="58B26EC1"/>
    <w:rsid w:val="58B37673"/>
    <w:rsid w:val="58E451EB"/>
    <w:rsid w:val="58EE75E9"/>
    <w:rsid w:val="58FBEE9F"/>
    <w:rsid w:val="591847C7"/>
    <w:rsid w:val="591B9B4B"/>
    <w:rsid w:val="591BCE1C"/>
    <w:rsid w:val="5933368C"/>
    <w:rsid w:val="5935078C"/>
    <w:rsid w:val="5938F6BA"/>
    <w:rsid w:val="594CCD93"/>
    <w:rsid w:val="59629344"/>
    <w:rsid w:val="5984585B"/>
    <w:rsid w:val="59845E16"/>
    <w:rsid w:val="59A293D1"/>
    <w:rsid w:val="59AB9454"/>
    <w:rsid w:val="59DF398E"/>
    <w:rsid w:val="59E4192B"/>
    <w:rsid w:val="59F65287"/>
    <w:rsid w:val="5A00CFC3"/>
    <w:rsid w:val="5A0B2F5E"/>
    <w:rsid w:val="5A354996"/>
    <w:rsid w:val="5A4593E1"/>
    <w:rsid w:val="5A535813"/>
    <w:rsid w:val="5A57AE31"/>
    <w:rsid w:val="5A7D4B0D"/>
    <w:rsid w:val="5A87C849"/>
    <w:rsid w:val="5AC2968F"/>
    <w:rsid w:val="5AEF3F7E"/>
    <w:rsid w:val="5AF412B6"/>
    <w:rsid w:val="5AFD9271"/>
    <w:rsid w:val="5B0111CD"/>
    <w:rsid w:val="5B301EB3"/>
    <w:rsid w:val="5B3740F5"/>
    <w:rsid w:val="5B48CB43"/>
    <w:rsid w:val="5B4F1152"/>
    <w:rsid w:val="5B546561"/>
    <w:rsid w:val="5B9BB935"/>
    <w:rsid w:val="5BA5DC62"/>
    <w:rsid w:val="5BB6F5BD"/>
    <w:rsid w:val="5C024659"/>
    <w:rsid w:val="5C03633B"/>
    <w:rsid w:val="5C13EA6D"/>
    <w:rsid w:val="5C5FCB61"/>
    <w:rsid w:val="5C69D4B1"/>
    <w:rsid w:val="5C7D4532"/>
    <w:rsid w:val="5C92E7D8"/>
    <w:rsid w:val="5CA36DF3"/>
    <w:rsid w:val="5CEB300C"/>
    <w:rsid w:val="5D0368D7"/>
    <w:rsid w:val="5D1117D9"/>
    <w:rsid w:val="5D19DFC0"/>
    <w:rsid w:val="5D36621C"/>
    <w:rsid w:val="5D560EC8"/>
    <w:rsid w:val="5D57819C"/>
    <w:rsid w:val="5D7B73D6"/>
    <w:rsid w:val="5D7E5800"/>
    <w:rsid w:val="5D949698"/>
    <w:rsid w:val="5DA0EC0C"/>
    <w:rsid w:val="5DB15562"/>
    <w:rsid w:val="5DC3F0FF"/>
    <w:rsid w:val="5DCC4654"/>
    <w:rsid w:val="5DD927E5"/>
    <w:rsid w:val="5E0705DB"/>
    <w:rsid w:val="5E260C5A"/>
    <w:rsid w:val="5E298621"/>
    <w:rsid w:val="5E33B8E5"/>
    <w:rsid w:val="5E5DD1FC"/>
    <w:rsid w:val="5E630E43"/>
    <w:rsid w:val="5E6AD078"/>
    <w:rsid w:val="5EB4BF95"/>
    <w:rsid w:val="5EC23BC6"/>
    <w:rsid w:val="5ED43553"/>
    <w:rsid w:val="5EE1B184"/>
    <w:rsid w:val="5EF458B4"/>
    <w:rsid w:val="5F09D3FE"/>
    <w:rsid w:val="5F3E47D1"/>
    <w:rsid w:val="5F65AB15"/>
    <w:rsid w:val="5F702851"/>
    <w:rsid w:val="5F71E743"/>
    <w:rsid w:val="5FA33AE3"/>
    <w:rsid w:val="5FC616B8"/>
    <w:rsid w:val="5FD62CB2"/>
    <w:rsid w:val="5FE31266"/>
    <w:rsid w:val="5FEEE409"/>
    <w:rsid w:val="5FEFCAFB"/>
    <w:rsid w:val="601481B1"/>
    <w:rsid w:val="601B4346"/>
    <w:rsid w:val="60523B90"/>
    <w:rsid w:val="607AE797"/>
    <w:rsid w:val="607D3447"/>
    <w:rsid w:val="60889699"/>
    <w:rsid w:val="609E3CBE"/>
    <w:rsid w:val="60C9102C"/>
    <w:rsid w:val="60D08C7D"/>
    <w:rsid w:val="60F13226"/>
    <w:rsid w:val="60F133D9"/>
    <w:rsid w:val="6114089F"/>
    <w:rsid w:val="6122E3F2"/>
    <w:rsid w:val="61300614"/>
    <w:rsid w:val="6145B7E5"/>
    <w:rsid w:val="614DF627"/>
    <w:rsid w:val="617E51CA"/>
    <w:rsid w:val="61843409"/>
    <w:rsid w:val="618A1326"/>
    <w:rsid w:val="618DBFBE"/>
    <w:rsid w:val="619F1B2D"/>
    <w:rsid w:val="61A6D1F0"/>
    <w:rsid w:val="61B00396"/>
    <w:rsid w:val="61B1F2D3"/>
    <w:rsid w:val="61B9A05E"/>
    <w:rsid w:val="61BF9386"/>
    <w:rsid w:val="61D6D9FA"/>
    <w:rsid w:val="61D9CF52"/>
    <w:rsid w:val="61DFB021"/>
    <w:rsid w:val="6212C681"/>
    <w:rsid w:val="622633CC"/>
    <w:rsid w:val="622F1A29"/>
    <w:rsid w:val="623247D2"/>
    <w:rsid w:val="62337B5F"/>
    <w:rsid w:val="624E3B51"/>
    <w:rsid w:val="62A84D3E"/>
    <w:rsid w:val="62A8CFCA"/>
    <w:rsid w:val="62B30F9D"/>
    <w:rsid w:val="62E4B5D6"/>
    <w:rsid w:val="62FB3852"/>
    <w:rsid w:val="630741AF"/>
    <w:rsid w:val="6314BDE0"/>
    <w:rsid w:val="631F084B"/>
    <w:rsid w:val="632EECF4"/>
    <w:rsid w:val="63415D36"/>
    <w:rsid w:val="6353C062"/>
    <w:rsid w:val="63598974"/>
    <w:rsid w:val="635AC504"/>
    <w:rsid w:val="635E0AED"/>
    <w:rsid w:val="636763D1"/>
    <w:rsid w:val="636F3667"/>
    <w:rsid w:val="637AA8F4"/>
    <w:rsid w:val="637B4B04"/>
    <w:rsid w:val="63803B8D"/>
    <w:rsid w:val="6380A8D4"/>
    <w:rsid w:val="6386B251"/>
    <w:rsid w:val="6386E522"/>
    <w:rsid w:val="638861B3"/>
    <w:rsid w:val="63A42F37"/>
    <w:rsid w:val="63AD7385"/>
    <w:rsid w:val="63ADCD94"/>
    <w:rsid w:val="63C56CF2"/>
    <w:rsid w:val="63E5CBA2"/>
    <w:rsid w:val="640A3110"/>
    <w:rsid w:val="640D145A"/>
    <w:rsid w:val="642FF625"/>
    <w:rsid w:val="643B79CE"/>
    <w:rsid w:val="6441A3E8"/>
    <w:rsid w:val="6459D195"/>
    <w:rsid w:val="645D3110"/>
    <w:rsid w:val="64699AAA"/>
    <w:rsid w:val="646BE6C9"/>
    <w:rsid w:val="6486EABE"/>
    <w:rsid w:val="64903462"/>
    <w:rsid w:val="6490E012"/>
    <w:rsid w:val="64A1B7C5"/>
    <w:rsid w:val="64A388C5"/>
    <w:rsid w:val="64A66C0F"/>
    <w:rsid w:val="64A99DD5"/>
    <w:rsid w:val="64B38E31"/>
    <w:rsid w:val="64B55B14"/>
    <w:rsid w:val="64BEDE08"/>
    <w:rsid w:val="64D43E72"/>
    <w:rsid w:val="64E28B67"/>
    <w:rsid w:val="65016FEC"/>
    <w:rsid w:val="650D9B43"/>
    <w:rsid w:val="651B7F04"/>
    <w:rsid w:val="651CFAED"/>
    <w:rsid w:val="652E06A5"/>
    <w:rsid w:val="65413AB5"/>
    <w:rsid w:val="654FF453"/>
    <w:rsid w:val="65608935"/>
    <w:rsid w:val="65A9D642"/>
    <w:rsid w:val="65A9FD80"/>
    <w:rsid w:val="65FF072C"/>
    <w:rsid w:val="662DB065"/>
    <w:rsid w:val="662F06E1"/>
    <w:rsid w:val="66487930"/>
    <w:rsid w:val="664D39FE"/>
    <w:rsid w:val="664E3DF2"/>
    <w:rsid w:val="66548991"/>
    <w:rsid w:val="6658594A"/>
    <w:rsid w:val="665F44C9"/>
    <w:rsid w:val="668ADBDA"/>
    <w:rsid w:val="6690F0EA"/>
    <w:rsid w:val="669E9FEC"/>
    <w:rsid w:val="669FDFEF"/>
    <w:rsid w:val="66AA5D2B"/>
    <w:rsid w:val="66BB8CE4"/>
    <w:rsid w:val="66D1338F"/>
    <w:rsid w:val="66E77227"/>
    <w:rsid w:val="66EAEBEE"/>
    <w:rsid w:val="6714B7AA"/>
    <w:rsid w:val="6715D95D"/>
    <w:rsid w:val="672B70D6"/>
    <w:rsid w:val="673438FB"/>
    <w:rsid w:val="673DE471"/>
    <w:rsid w:val="67480F1B"/>
    <w:rsid w:val="67596698"/>
    <w:rsid w:val="675C8233"/>
    <w:rsid w:val="675DF924"/>
    <w:rsid w:val="67714DF7"/>
    <w:rsid w:val="67762562"/>
    <w:rsid w:val="67816F44"/>
    <w:rsid w:val="6798A5A8"/>
    <w:rsid w:val="679BB030"/>
    <w:rsid w:val="67B1D7D1"/>
    <w:rsid w:val="67C88257"/>
    <w:rsid w:val="67CDB7EE"/>
    <w:rsid w:val="67D49DC2"/>
    <w:rsid w:val="68027025"/>
    <w:rsid w:val="68097FD9"/>
    <w:rsid w:val="6828B8B8"/>
    <w:rsid w:val="682FA078"/>
    <w:rsid w:val="68334D10"/>
    <w:rsid w:val="6837164E"/>
    <w:rsid w:val="68504F47"/>
    <w:rsid w:val="68616357"/>
    <w:rsid w:val="68746496"/>
    <w:rsid w:val="68B40948"/>
    <w:rsid w:val="68C602D5"/>
    <w:rsid w:val="68D8FD99"/>
    <w:rsid w:val="68DF5D08"/>
    <w:rsid w:val="68FC7AA5"/>
    <w:rsid w:val="68FE4066"/>
    <w:rsid w:val="68FF66E9"/>
    <w:rsid w:val="6907B19D"/>
    <w:rsid w:val="691FD69B"/>
    <w:rsid w:val="69457F0A"/>
    <w:rsid w:val="694FDEA5"/>
    <w:rsid w:val="6978C7EF"/>
    <w:rsid w:val="698F9565"/>
    <w:rsid w:val="6990B247"/>
    <w:rsid w:val="69A32DE8"/>
    <w:rsid w:val="69ACCF01"/>
    <w:rsid w:val="69C15844"/>
    <w:rsid w:val="69DB9D83"/>
    <w:rsid w:val="69E4DB59"/>
    <w:rsid w:val="69F1C5F0"/>
    <w:rsid w:val="6A0BEE75"/>
    <w:rsid w:val="6A144DAC"/>
    <w:rsid w:val="6A2CA545"/>
    <w:rsid w:val="6A2F2673"/>
    <w:rsid w:val="6A5348D8"/>
    <w:rsid w:val="6A56656E"/>
    <w:rsid w:val="6A5DBA81"/>
    <w:rsid w:val="6A65A508"/>
    <w:rsid w:val="6A75BF81"/>
    <w:rsid w:val="6A76D0D0"/>
    <w:rsid w:val="6A95353F"/>
    <w:rsid w:val="6AAFDF25"/>
    <w:rsid w:val="6ADCDCA7"/>
    <w:rsid w:val="6ADCEEB5"/>
    <w:rsid w:val="6AF48280"/>
    <w:rsid w:val="6AFFE9CD"/>
    <w:rsid w:val="6B2FDCA7"/>
    <w:rsid w:val="6B6A3597"/>
    <w:rsid w:val="6B6BA1F0"/>
    <w:rsid w:val="6B955C8E"/>
    <w:rsid w:val="6B971048"/>
    <w:rsid w:val="6B9D753F"/>
    <w:rsid w:val="6BC16250"/>
    <w:rsid w:val="6BE02617"/>
    <w:rsid w:val="6BE0D3BA"/>
    <w:rsid w:val="6BE968D0"/>
    <w:rsid w:val="6BF052C1"/>
    <w:rsid w:val="6BF86785"/>
    <w:rsid w:val="6C1DC49A"/>
    <w:rsid w:val="6C20DAA3"/>
    <w:rsid w:val="6C286F18"/>
    <w:rsid w:val="6C366C7A"/>
    <w:rsid w:val="6C379165"/>
    <w:rsid w:val="6C41DBD0"/>
    <w:rsid w:val="6C42B52F"/>
    <w:rsid w:val="6C54DD0F"/>
    <w:rsid w:val="6C5CB887"/>
    <w:rsid w:val="6C7216AB"/>
    <w:rsid w:val="6C7DA536"/>
    <w:rsid w:val="6C8A4EBF"/>
    <w:rsid w:val="6C9E874D"/>
    <w:rsid w:val="6C9EE15C"/>
    <w:rsid w:val="6D131D82"/>
    <w:rsid w:val="6D155329"/>
    <w:rsid w:val="6D2674F9"/>
    <w:rsid w:val="6D2D4C96"/>
    <w:rsid w:val="6D4C3D95"/>
    <w:rsid w:val="6D58D20E"/>
    <w:rsid w:val="6D5D54A0"/>
    <w:rsid w:val="6D67F446"/>
    <w:rsid w:val="6D74D8C3"/>
    <w:rsid w:val="6D98715E"/>
    <w:rsid w:val="6D9ABBE9"/>
    <w:rsid w:val="6DA68612"/>
    <w:rsid w:val="6DAFCF36"/>
    <w:rsid w:val="6DD6DEC3"/>
    <w:rsid w:val="6DF0224D"/>
    <w:rsid w:val="6E116849"/>
    <w:rsid w:val="6E367DB5"/>
    <w:rsid w:val="6E3B5B43"/>
    <w:rsid w:val="6E452837"/>
    <w:rsid w:val="6E4B6B06"/>
    <w:rsid w:val="6E4BBABE"/>
    <w:rsid w:val="6E58894C"/>
    <w:rsid w:val="6E602CE9"/>
    <w:rsid w:val="6E62620B"/>
    <w:rsid w:val="6EA63D7B"/>
    <w:rsid w:val="6EA8510B"/>
    <w:rsid w:val="6EB7AF4F"/>
    <w:rsid w:val="6ECC8C26"/>
    <w:rsid w:val="6EE62B38"/>
    <w:rsid w:val="6EF5665B"/>
    <w:rsid w:val="6F1BF4BE"/>
    <w:rsid w:val="6F21CD60"/>
    <w:rsid w:val="6F36B0F3"/>
    <w:rsid w:val="6F3CF476"/>
    <w:rsid w:val="6F3E3C17"/>
    <w:rsid w:val="6F589DED"/>
    <w:rsid w:val="6F86659E"/>
    <w:rsid w:val="6F90DE87"/>
    <w:rsid w:val="6F9740BE"/>
    <w:rsid w:val="6F9E775E"/>
    <w:rsid w:val="6FA8D7F4"/>
    <w:rsid w:val="6FEC9460"/>
    <w:rsid w:val="6FF59EC8"/>
    <w:rsid w:val="6FFC1E98"/>
    <w:rsid w:val="70226979"/>
    <w:rsid w:val="702D0DF3"/>
    <w:rsid w:val="70326030"/>
    <w:rsid w:val="7036726A"/>
    <w:rsid w:val="70510CA0"/>
    <w:rsid w:val="7064C325"/>
    <w:rsid w:val="707C1C7C"/>
    <w:rsid w:val="707FFBE5"/>
    <w:rsid w:val="7088875E"/>
    <w:rsid w:val="709DA8C8"/>
    <w:rsid w:val="70AC0F56"/>
    <w:rsid w:val="70C613D6"/>
    <w:rsid w:val="70DDD235"/>
    <w:rsid w:val="70F8FD68"/>
    <w:rsid w:val="713B1CA0"/>
    <w:rsid w:val="71590A5A"/>
    <w:rsid w:val="7159B636"/>
    <w:rsid w:val="715A6B20"/>
    <w:rsid w:val="717466D2"/>
    <w:rsid w:val="71E13C68"/>
    <w:rsid w:val="71EEC42C"/>
    <w:rsid w:val="71F20800"/>
    <w:rsid w:val="71F6252B"/>
    <w:rsid w:val="71FC732E"/>
    <w:rsid w:val="72005473"/>
    <w:rsid w:val="7218DE64"/>
    <w:rsid w:val="7236ECE1"/>
    <w:rsid w:val="723FB4C8"/>
    <w:rsid w:val="724B92CA"/>
    <w:rsid w:val="72A25F60"/>
    <w:rsid w:val="72A88326"/>
    <w:rsid w:val="72B4877F"/>
    <w:rsid w:val="72BDC4A4"/>
    <w:rsid w:val="72E4CDD9"/>
    <w:rsid w:val="7302DC56"/>
    <w:rsid w:val="730E7FAC"/>
    <w:rsid w:val="731F204E"/>
    <w:rsid w:val="732884C5"/>
    <w:rsid w:val="732B8EF8"/>
    <w:rsid w:val="732C6011"/>
    <w:rsid w:val="7333B59F"/>
    <w:rsid w:val="73431EFB"/>
    <w:rsid w:val="735C792E"/>
    <w:rsid w:val="735D3CFC"/>
    <w:rsid w:val="735F7FB3"/>
    <w:rsid w:val="7366F66A"/>
    <w:rsid w:val="73678015"/>
    <w:rsid w:val="739E21B1"/>
    <w:rsid w:val="73E24428"/>
    <w:rsid w:val="73ECFA89"/>
    <w:rsid w:val="73FAB945"/>
    <w:rsid w:val="73FB2274"/>
    <w:rsid w:val="741258E5"/>
    <w:rsid w:val="742080D6"/>
    <w:rsid w:val="745C94F5"/>
    <w:rsid w:val="745D4298"/>
    <w:rsid w:val="746427A0"/>
    <w:rsid w:val="7465D7AE"/>
    <w:rsid w:val="7471990A"/>
    <w:rsid w:val="7477DCCE"/>
    <w:rsid w:val="74906738"/>
    <w:rsid w:val="74A1BEB5"/>
    <w:rsid w:val="74AF14B3"/>
    <w:rsid w:val="74C18807"/>
    <w:rsid w:val="74C4B9CD"/>
    <w:rsid w:val="74D4395D"/>
    <w:rsid w:val="74E0FDC5"/>
    <w:rsid w:val="75048059"/>
    <w:rsid w:val="7507E971"/>
    <w:rsid w:val="7516100B"/>
    <w:rsid w:val="751B0839"/>
    <w:rsid w:val="7528D3E1"/>
    <w:rsid w:val="7546C5B8"/>
    <w:rsid w:val="754805BB"/>
    <w:rsid w:val="7549F361"/>
    <w:rsid w:val="755550A0"/>
    <w:rsid w:val="7561ECCE"/>
    <w:rsid w:val="7562F0F7"/>
    <w:rsid w:val="7575033D"/>
    <w:rsid w:val="75A551CC"/>
    <w:rsid w:val="75BCBCB3"/>
    <w:rsid w:val="75C6650E"/>
    <w:rsid w:val="75EEB263"/>
    <w:rsid w:val="75F1BCEB"/>
    <w:rsid w:val="75FD7E47"/>
    <w:rsid w:val="76029DB3"/>
    <w:rsid w:val="760E5AF2"/>
    <w:rsid w:val="7635AC60"/>
    <w:rsid w:val="763659CB"/>
    <w:rsid w:val="7636E6AB"/>
    <w:rsid w:val="7640E127"/>
    <w:rsid w:val="764B6FEE"/>
    <w:rsid w:val="765BB777"/>
    <w:rsid w:val="765FA880"/>
    <w:rsid w:val="76682EB8"/>
    <w:rsid w:val="767A912E"/>
    <w:rsid w:val="767EBB79"/>
    <w:rsid w:val="76925483"/>
    <w:rsid w:val="769E5DE0"/>
    <w:rsid w:val="76E7AAED"/>
    <w:rsid w:val="76E921B6"/>
    <w:rsid w:val="76F136A2"/>
    <w:rsid w:val="76F4E170"/>
    <w:rsid w:val="76FAF010"/>
    <w:rsid w:val="7730F51B"/>
    <w:rsid w:val="773764AF"/>
    <w:rsid w:val="77389B89"/>
    <w:rsid w:val="774A65AF"/>
    <w:rsid w:val="774C6CF4"/>
    <w:rsid w:val="774EC813"/>
    <w:rsid w:val="774EDA21"/>
    <w:rsid w:val="77827993"/>
    <w:rsid w:val="77B0B718"/>
    <w:rsid w:val="77B4720E"/>
    <w:rsid w:val="77B9C180"/>
    <w:rsid w:val="77CE8121"/>
    <w:rsid w:val="77DC7497"/>
    <w:rsid w:val="77E52CD7"/>
    <w:rsid w:val="77F23AD5"/>
    <w:rsid w:val="78041FDC"/>
    <w:rsid w:val="780F083A"/>
    <w:rsid w:val="7810E058"/>
    <w:rsid w:val="7813BC84"/>
    <w:rsid w:val="781C846B"/>
    <w:rsid w:val="782546D2"/>
    <w:rsid w:val="782701A7"/>
    <w:rsid w:val="7862B98A"/>
    <w:rsid w:val="7886FC8B"/>
    <w:rsid w:val="78C00444"/>
    <w:rsid w:val="78D65315"/>
    <w:rsid w:val="78FBC8B3"/>
    <w:rsid w:val="7927B568"/>
    <w:rsid w:val="7938B7E9"/>
    <w:rsid w:val="79580B6C"/>
    <w:rsid w:val="79585F00"/>
    <w:rsid w:val="796FA02D"/>
    <w:rsid w:val="7971548C"/>
    <w:rsid w:val="79745850"/>
    <w:rsid w:val="798A66BE"/>
    <w:rsid w:val="7990703B"/>
    <w:rsid w:val="799932A2"/>
    <w:rsid w:val="79A8F16C"/>
    <w:rsid w:val="79AE3E81"/>
    <w:rsid w:val="79BA3BF7"/>
    <w:rsid w:val="79D2B203"/>
    <w:rsid w:val="79D6D9FE"/>
    <w:rsid w:val="79D9E486"/>
    <w:rsid w:val="79ECFBB6"/>
    <w:rsid w:val="79F4BD20"/>
    <w:rsid w:val="7A314F40"/>
    <w:rsid w:val="7A380D9E"/>
    <w:rsid w:val="7A40EC7C"/>
    <w:rsid w:val="7A58D3DB"/>
    <w:rsid w:val="7A734603"/>
    <w:rsid w:val="7A8C6498"/>
    <w:rsid w:val="7A8DE7DC"/>
    <w:rsid w:val="7A8DF82F"/>
    <w:rsid w:val="7AA31936"/>
    <w:rsid w:val="7AAA32BB"/>
    <w:rsid w:val="7AC0D7F0"/>
    <w:rsid w:val="7ADA4431"/>
    <w:rsid w:val="7AFF5FC0"/>
    <w:rsid w:val="7B46D75A"/>
    <w:rsid w:val="7B642001"/>
    <w:rsid w:val="7B7C6DB2"/>
    <w:rsid w:val="7BA633A6"/>
    <w:rsid w:val="7BA76891"/>
    <w:rsid w:val="7BB9CC73"/>
    <w:rsid w:val="7BBF8DD9"/>
    <w:rsid w:val="7BD1F125"/>
    <w:rsid w:val="7BD4EC29"/>
    <w:rsid w:val="7BF0A928"/>
    <w:rsid w:val="7BF5A7D1"/>
    <w:rsid w:val="7C0357DB"/>
    <w:rsid w:val="7C05AD3D"/>
    <w:rsid w:val="7C14F4EC"/>
    <w:rsid w:val="7C18870A"/>
    <w:rsid w:val="7C4A715B"/>
    <w:rsid w:val="7C6A5DCE"/>
    <w:rsid w:val="7C6DE423"/>
    <w:rsid w:val="7C91C62A"/>
    <w:rsid w:val="7C9487B6"/>
    <w:rsid w:val="7C968D64"/>
    <w:rsid w:val="7C9AAED4"/>
    <w:rsid w:val="7CC2F80C"/>
    <w:rsid w:val="7CFDA7F4"/>
    <w:rsid w:val="7D2817A2"/>
    <w:rsid w:val="7D4B11C7"/>
    <w:rsid w:val="7D4BCB63"/>
    <w:rsid w:val="7D4D87FA"/>
    <w:rsid w:val="7D6E10FD"/>
    <w:rsid w:val="7D74FB48"/>
    <w:rsid w:val="7D756610"/>
    <w:rsid w:val="7D79E36C"/>
    <w:rsid w:val="7D7AB84D"/>
    <w:rsid w:val="7D800A8A"/>
    <w:rsid w:val="7D80AEC6"/>
    <w:rsid w:val="7D8D924E"/>
    <w:rsid w:val="7D914311"/>
    <w:rsid w:val="7DAAAB27"/>
    <w:rsid w:val="7DCF6114"/>
    <w:rsid w:val="7DD24041"/>
    <w:rsid w:val="7DF8140B"/>
    <w:rsid w:val="7E0B592E"/>
    <w:rsid w:val="7E0E4419"/>
    <w:rsid w:val="7E36E3DC"/>
    <w:rsid w:val="7E392B91"/>
    <w:rsid w:val="7E39DE71"/>
    <w:rsid w:val="7E5566E3"/>
    <w:rsid w:val="7E5FBE11"/>
    <w:rsid w:val="7E60B4A4"/>
    <w:rsid w:val="7E6A9722"/>
    <w:rsid w:val="7E6B2141"/>
    <w:rsid w:val="7E8374BD"/>
    <w:rsid w:val="7E8956FC"/>
    <w:rsid w:val="7E9705FE"/>
    <w:rsid w:val="7EAFBB86"/>
    <w:rsid w:val="7ECAD424"/>
    <w:rsid w:val="7EE2BB83"/>
    <w:rsid w:val="7EEDCF3C"/>
    <w:rsid w:val="7F01145F"/>
    <w:rsid w:val="7F34FBD2"/>
    <w:rsid w:val="7F3D1CF8"/>
    <w:rsid w:val="7F6F77AF"/>
    <w:rsid w:val="7F8684E1"/>
    <w:rsid w:val="7FAFA3D9"/>
    <w:rsid w:val="7FB99DEE"/>
    <w:rsid w:val="7FE53012"/>
    <w:rsid w:val="7FF583FA"/>
    <w:rsid w:val="7FFB29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C4D3D5"/>
  <w15:chartTrackingRefBased/>
  <w15:docId w15:val="{C9449986-BFD8-4EF9-84D4-9DF0C9EE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VMT H1,DocAccpt"/>
    <w:basedOn w:val="Normal"/>
    <w:next w:val="Heading2"/>
    <w:link w:val="Heading1Char"/>
    <w:qFormat/>
    <w:rsid w:val="00802292"/>
    <w:pPr>
      <w:keepNext/>
      <w:widowControl w:val="0"/>
      <w:numPr>
        <w:numId w:val="2"/>
      </w:numPr>
      <w:tabs>
        <w:tab w:val="clear" w:pos="4707"/>
        <w:tab w:val="num" w:pos="737"/>
      </w:tabs>
      <w:ind w:left="737"/>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C90281"/>
    <w:pPr>
      <w:widowControl w:val="0"/>
      <w:numPr>
        <w:ilvl w:val="1"/>
        <w:numId w:val="2"/>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BB2102"/>
    <w:pPr>
      <w:widowControl w:val="0"/>
      <w:numPr>
        <w:ilvl w:val="2"/>
        <w:numId w:val="2"/>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h"/>
    <w:basedOn w:val="Normal"/>
    <w:qFormat/>
    <w:rsid w:val="005A483F"/>
    <w:pPr>
      <w:widowControl w:val="0"/>
      <w:numPr>
        <w:ilvl w:val="3"/>
        <w:numId w:val="2"/>
      </w:numPr>
      <w:tabs>
        <w:tab w:val="clear" w:pos="2439"/>
        <w:tab w:val="num" w:pos="2211"/>
      </w:tabs>
      <w:ind w:left="2211"/>
      <w:outlineLvl w:val="3"/>
    </w:pPr>
  </w:style>
  <w:style w:type="paragraph" w:styleId="Heading5">
    <w:name w:val="heading 5"/>
    <w:aliases w:val="Block Label,H5,Sub4Para,l5,Level 5,Para5,h5,5,(A),A,Heading 5 StGeorge,Level 3 - i,L5,h51,h52,heading 5,Body Text (R),Heading 5(unused),Überschrift 5 Char Char Char,Überschrift 5 Char Char Char1,Überschrift 5 Char Char Char2,Titel rechts"/>
    <w:basedOn w:val="Normal"/>
    <w:qFormat/>
    <w:rsid w:val="00CD2371"/>
    <w:pPr>
      <w:widowControl w:val="0"/>
      <w:numPr>
        <w:ilvl w:val="4"/>
        <w:numId w:val="2"/>
      </w:numPr>
      <w:outlineLvl w:val="4"/>
    </w:pPr>
  </w:style>
  <w:style w:type="paragraph" w:styleId="Heading6">
    <w:name w:val="heading 6"/>
    <w:basedOn w:val="Normal"/>
    <w:qFormat/>
    <w:rsid w:val="00FF4509"/>
    <w:pPr>
      <w:widowControl w:val="0"/>
      <w:numPr>
        <w:numId w:val="5"/>
      </w:numPr>
      <w:tabs>
        <w:tab w:val="left" w:pos="3686"/>
      </w:tabs>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link w:val="SubHeadChar"/>
    <w:rsid w:val="00CD2371"/>
    <w:pPr>
      <w:keepNext/>
    </w:pPr>
    <w:rPr>
      <w:b/>
      <w:bCs/>
    </w:rPr>
  </w:style>
  <w:style w:type="paragraph" w:customStyle="1" w:styleId="Schedule">
    <w:name w:val="Schedule"/>
    <w:basedOn w:val="Normal"/>
    <w:next w:val="ScheduleHeading1"/>
    <w:rsid w:val="00E253B4"/>
    <w:pPr>
      <w:pageBreakBefore/>
    </w:pPr>
    <w:rPr>
      <w:b/>
      <w:bCs/>
      <w:sz w:val="36"/>
      <w:szCs w:val="36"/>
    </w:rPr>
  </w:style>
  <w:style w:type="paragraph" w:customStyle="1" w:styleId="ScheduleHeading1">
    <w:name w:val="Schedule Heading 1"/>
    <w:basedOn w:val="Normal"/>
    <w:next w:val="ScheduleHeading2"/>
    <w:qFormat/>
    <w:rsid w:val="00701A9B"/>
    <w:pPr>
      <w:keepNext/>
      <w:pBdr>
        <w:bottom w:val="single" w:sz="24" w:space="1" w:color="auto"/>
      </w:pBdr>
    </w:pPr>
    <w:rPr>
      <w:b/>
      <w:bCs/>
      <w:szCs w:val="21"/>
    </w:rPr>
  </w:style>
  <w:style w:type="paragraph" w:customStyle="1" w:styleId="ScheduleHeading2">
    <w:name w:val="Schedule Heading 2"/>
    <w:basedOn w:val="Normal"/>
    <w:rsid w:val="00E253B4"/>
    <w:pPr>
      <w:widowControl w:val="0"/>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101A1D"/>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link w:val="Indent2Char1"/>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qFormat/>
    <w:rsid w:val="00E253B4"/>
  </w:style>
  <w:style w:type="paragraph" w:customStyle="1" w:styleId="ScheduleHeading4">
    <w:name w:val="Schedule Heading 4"/>
    <w:basedOn w:val="Normal"/>
    <w:qFormat/>
    <w:rsid w:val="00E253B4"/>
  </w:style>
  <w:style w:type="paragraph" w:customStyle="1" w:styleId="ScheduleHeading5">
    <w:name w:val="Schedule Heading 5"/>
    <w:basedOn w:val="Normal"/>
    <w:rsid w:val="00E253B4"/>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8C5367"/>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aliases w:val="Capgemini Table Format,BKL 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customStyle="1" w:styleId="Indent5">
    <w:name w:val="Indent 5"/>
    <w:basedOn w:val="Indent4"/>
    <w:qFormat/>
    <w:rsid w:val="00E80DB0"/>
    <w:pPr>
      <w:ind w:left="2948"/>
    </w:pPr>
  </w:style>
  <w:style w:type="character" w:styleId="FollowedHyperlink">
    <w:name w:val="FollowedHyperlink"/>
    <w:rsid w:val="004A6D3D"/>
    <w:rPr>
      <w:color w:val="800080"/>
      <w:u w:val="single"/>
    </w:rPr>
  </w:style>
  <w:style w:type="paragraph" w:styleId="BalloonText">
    <w:name w:val="Balloon Text"/>
    <w:basedOn w:val="Normal"/>
    <w:link w:val="BalloonTextChar"/>
    <w:rsid w:val="001A4EAA"/>
    <w:pPr>
      <w:spacing w:after="0"/>
    </w:pPr>
    <w:rPr>
      <w:rFonts w:ascii="Tahoma" w:hAnsi="Tahoma" w:cs="Tahoma"/>
      <w:sz w:val="16"/>
      <w:szCs w:val="16"/>
    </w:rPr>
  </w:style>
  <w:style w:type="character" w:customStyle="1" w:styleId="BalloonTextChar">
    <w:name w:val="Balloon Text Char"/>
    <w:link w:val="BalloonText"/>
    <w:rsid w:val="001A4EAA"/>
    <w:rPr>
      <w:rFonts w:ascii="Tahoma" w:hAnsi="Tahoma" w:cs="Tahoma"/>
      <w:sz w:val="16"/>
      <w:szCs w:val="16"/>
      <w:lang w:eastAsia="en-US"/>
    </w:rPr>
  </w:style>
  <w:style w:type="paragraph" w:styleId="ListNumber2">
    <w:name w:val="List Number 2"/>
    <w:basedOn w:val="Normal"/>
    <w:rsid w:val="006712A4"/>
    <w:pPr>
      <w:tabs>
        <w:tab w:val="num" w:pos="57"/>
      </w:tabs>
      <w:ind w:left="57" w:hanging="57"/>
    </w:p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70551D"/>
    <w:rPr>
      <w:rFonts w:ascii="Verdana" w:hAnsi="Verdana" w:cs="Arial"/>
      <w:szCs w:val="19"/>
      <w:lang w:eastAsia="en-US"/>
    </w:rPr>
  </w:style>
  <w:style w:type="character" w:styleId="CommentReference">
    <w:name w:val="annotation reference"/>
    <w:uiPriority w:val="99"/>
    <w:rsid w:val="001A6ED8"/>
    <w:rPr>
      <w:sz w:val="16"/>
      <w:szCs w:val="16"/>
    </w:rPr>
  </w:style>
  <w:style w:type="paragraph" w:styleId="CommentText">
    <w:name w:val="annotation text"/>
    <w:basedOn w:val="Normal"/>
    <w:link w:val="CommentTextChar"/>
    <w:uiPriority w:val="99"/>
    <w:rsid w:val="001A6ED8"/>
    <w:rPr>
      <w:szCs w:val="20"/>
    </w:rPr>
  </w:style>
  <w:style w:type="character" w:customStyle="1" w:styleId="CommentTextChar">
    <w:name w:val="Comment Text Char"/>
    <w:link w:val="CommentText"/>
    <w:uiPriority w:val="99"/>
    <w:rsid w:val="001A6ED8"/>
    <w:rPr>
      <w:rFonts w:ascii="Verdana" w:hAnsi="Verdana" w:cs="Arial"/>
      <w:lang w:eastAsia="en-US"/>
    </w:rPr>
  </w:style>
  <w:style w:type="paragraph" w:styleId="CommentSubject">
    <w:name w:val="annotation subject"/>
    <w:basedOn w:val="CommentText"/>
    <w:next w:val="CommentText"/>
    <w:link w:val="CommentSubjectChar"/>
    <w:rsid w:val="001A6ED8"/>
    <w:rPr>
      <w:b/>
      <w:bCs/>
    </w:rPr>
  </w:style>
  <w:style w:type="character" w:customStyle="1" w:styleId="CommentSubjectChar">
    <w:name w:val="Comment Subject Char"/>
    <w:link w:val="CommentSubject"/>
    <w:rsid w:val="001A6ED8"/>
    <w:rPr>
      <w:rFonts w:ascii="Verdana" w:hAnsi="Verdana" w:cs="Arial"/>
      <w:b/>
      <w:bCs/>
      <w:lang w:eastAsia="en-US"/>
    </w:rPr>
  </w:style>
  <w:style w:type="paragraph" w:customStyle="1" w:styleId="TableData">
    <w:name w:val="TableData"/>
    <w:basedOn w:val="Normal"/>
    <w:link w:val="TableDataChar"/>
    <w:rsid w:val="00E40D2D"/>
    <w:pPr>
      <w:spacing w:before="120" w:after="120"/>
      <w:ind w:left="737"/>
    </w:pPr>
    <w:rPr>
      <w:rFonts w:ascii="Arial" w:hAnsi="Arial" w:cs="Times New Roman"/>
      <w:sz w:val="18"/>
      <w:szCs w:val="20"/>
    </w:rPr>
  </w:style>
  <w:style w:type="character" w:customStyle="1" w:styleId="TableDataChar">
    <w:name w:val="TableData Char"/>
    <w:link w:val="TableData"/>
    <w:rsid w:val="00E40D2D"/>
    <w:rPr>
      <w:rFonts w:ascii="Arial" w:hAnsi="Arial"/>
      <w:sz w:val="18"/>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C90281"/>
    <w:rPr>
      <w:rFonts w:ascii="Verdana" w:hAnsi="Verdana" w:cs="Arial"/>
      <w:szCs w:val="19"/>
      <w:lang w:eastAsia="en-US"/>
    </w:rPr>
  </w:style>
  <w:style w:type="character" w:customStyle="1" w:styleId="Indent2Char1">
    <w:name w:val="Indent 2 Char1"/>
    <w:link w:val="Indent2"/>
    <w:locked/>
    <w:rsid w:val="00DD2212"/>
    <w:rPr>
      <w:rFonts w:ascii="Verdana" w:hAnsi="Verdana" w:cs="Arial"/>
      <w:szCs w:val="19"/>
      <w:lang w:eastAsia="en-US"/>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802292"/>
    <w:rPr>
      <w:rFonts w:ascii="Verdana" w:hAnsi="Verdana" w:cs="Arial"/>
      <w:b/>
      <w:bCs/>
      <w:caps/>
      <w:sz w:val="22"/>
      <w:szCs w:val="21"/>
      <w:lang w:eastAsia="en-US"/>
    </w:rPr>
  </w:style>
  <w:style w:type="paragraph" w:styleId="Revision">
    <w:name w:val="Revision"/>
    <w:hidden/>
    <w:uiPriority w:val="99"/>
    <w:semiHidden/>
    <w:rsid w:val="00ED5640"/>
    <w:rPr>
      <w:rFonts w:ascii="Verdana" w:hAnsi="Verdana" w:cs="Arial"/>
      <w:szCs w:val="19"/>
      <w:lang w:eastAsia="en-US"/>
    </w:rPr>
  </w:style>
  <w:style w:type="character" w:customStyle="1" w:styleId="SubHeadChar">
    <w:name w:val="SubHead Char"/>
    <w:basedOn w:val="DefaultParagraphFont"/>
    <w:link w:val="SubHead"/>
    <w:locked/>
    <w:rsid w:val="0024690E"/>
    <w:rPr>
      <w:rFonts w:ascii="Verdana" w:hAnsi="Verdana" w:cs="Arial"/>
      <w:b/>
      <w:bCs/>
      <w:szCs w:val="19"/>
      <w:lang w:eastAsia="en-US"/>
    </w:rPr>
  </w:style>
  <w:style w:type="paragraph" w:styleId="ListParagraph">
    <w:name w:val="List Paragraph"/>
    <w:aliases w:val="Use Case List Paragraph,Heading2,Body Bullet,List Paragraph1,b1,Bullet for no #'s,Ref,List Paragraph Char Char,Number_1,new,SGLText List Paragraph,List Paragraph11,List Paragraph2,Colorful List - Accent 11,Normal Sentence,lp1,FooterText"/>
    <w:basedOn w:val="Normal"/>
    <w:link w:val="ListParagraphChar"/>
    <w:uiPriority w:val="34"/>
    <w:qFormat/>
    <w:rsid w:val="001C01DA"/>
    <w:pPr>
      <w:spacing w:after="0"/>
      <w:ind w:left="720"/>
    </w:pPr>
    <w:rPr>
      <w:rFonts w:ascii="Calibri" w:eastAsiaTheme="minorHAnsi" w:hAnsi="Calibri" w:cs="Times New Roman"/>
      <w:sz w:val="22"/>
      <w:szCs w:val="22"/>
    </w:rPr>
  </w:style>
  <w:style w:type="character" w:styleId="UnresolvedMention">
    <w:name w:val="Unresolved Mention"/>
    <w:basedOn w:val="DefaultParagraphFont"/>
    <w:uiPriority w:val="99"/>
    <w:unhideWhenUsed/>
    <w:rsid w:val="00F27453"/>
    <w:rPr>
      <w:color w:val="605E5C"/>
      <w:shd w:val="clear" w:color="auto" w:fill="E1DFDD"/>
    </w:rPr>
  </w:style>
  <w:style w:type="character" w:styleId="Mention">
    <w:name w:val="Mention"/>
    <w:basedOn w:val="DefaultParagraphFont"/>
    <w:uiPriority w:val="99"/>
    <w:unhideWhenUsed/>
    <w:rsid w:val="00A36262"/>
    <w:rPr>
      <w:color w:val="2B579A"/>
      <w:shd w:val="clear" w:color="auto" w:fill="E1DFDD"/>
    </w:rPr>
  </w:style>
  <w:style w:type="character" w:styleId="Strong">
    <w:name w:val="Strong"/>
    <w:basedOn w:val="DefaultParagraphFont"/>
    <w:uiPriority w:val="22"/>
    <w:qFormat/>
    <w:rsid w:val="003F744E"/>
    <w:rPr>
      <w:b/>
      <w:bCs/>
    </w:rPr>
  </w:style>
  <w:style w:type="paragraph" w:customStyle="1" w:styleId="AttachmentHeading1">
    <w:name w:val="Attachment Heading 1"/>
    <w:basedOn w:val="Normal"/>
    <w:next w:val="AttachmentHeading2"/>
    <w:qFormat/>
    <w:rsid w:val="00FD66B7"/>
    <w:pPr>
      <w:keepNext/>
      <w:pBdr>
        <w:bottom w:val="single" w:sz="4" w:space="1" w:color="auto"/>
      </w:pBdr>
      <w:tabs>
        <w:tab w:val="num" w:pos="737"/>
      </w:tabs>
      <w:spacing w:after="160" w:line="259" w:lineRule="auto"/>
      <w:ind w:left="737" w:hanging="737"/>
    </w:pPr>
    <w:rPr>
      <w:rFonts w:asciiTheme="minorHAnsi" w:eastAsiaTheme="minorHAnsi" w:hAnsiTheme="minorHAnsi" w:cstheme="minorBidi"/>
      <w:b/>
      <w:caps/>
      <w:sz w:val="22"/>
      <w:szCs w:val="22"/>
    </w:rPr>
  </w:style>
  <w:style w:type="paragraph" w:customStyle="1" w:styleId="AttachmentHeading2">
    <w:name w:val="Attachment Heading 2"/>
    <w:basedOn w:val="Normal"/>
    <w:qFormat/>
    <w:rsid w:val="00FD66B7"/>
    <w:pPr>
      <w:widowControl w:val="0"/>
      <w:tabs>
        <w:tab w:val="num" w:pos="737"/>
      </w:tabs>
      <w:spacing w:after="160" w:line="259" w:lineRule="auto"/>
      <w:ind w:left="737" w:hanging="737"/>
    </w:pPr>
    <w:rPr>
      <w:rFonts w:asciiTheme="minorHAnsi" w:eastAsiaTheme="minorHAnsi" w:hAnsiTheme="minorHAnsi" w:cstheme="minorBidi"/>
      <w:sz w:val="22"/>
      <w:szCs w:val="22"/>
    </w:rPr>
  </w:style>
  <w:style w:type="paragraph" w:customStyle="1" w:styleId="AttachmentHeading3">
    <w:name w:val="Attachment Heading 3"/>
    <w:basedOn w:val="Normal"/>
    <w:qFormat/>
    <w:rsid w:val="00FD66B7"/>
    <w:pPr>
      <w:tabs>
        <w:tab w:val="num" w:pos="1474"/>
      </w:tabs>
      <w:spacing w:after="160" w:line="259" w:lineRule="auto"/>
      <w:ind w:left="1474" w:hanging="737"/>
    </w:pPr>
    <w:rPr>
      <w:rFonts w:asciiTheme="minorHAnsi" w:eastAsiaTheme="minorHAnsi" w:hAnsiTheme="minorHAnsi" w:cstheme="minorBidi"/>
      <w:sz w:val="22"/>
      <w:szCs w:val="22"/>
    </w:rPr>
  </w:style>
  <w:style w:type="paragraph" w:styleId="ListBullet">
    <w:name w:val="List Bullet"/>
    <w:basedOn w:val="Normal"/>
    <w:rsid w:val="00FD66B7"/>
    <w:pPr>
      <w:tabs>
        <w:tab w:val="num" w:pos="360"/>
      </w:tabs>
      <w:spacing w:after="120" w:line="259" w:lineRule="auto"/>
      <w:ind w:left="360" w:hanging="360"/>
    </w:pPr>
    <w:rPr>
      <w:rFonts w:asciiTheme="minorHAnsi" w:eastAsiaTheme="minorHAnsi" w:hAnsiTheme="minorHAnsi" w:cstheme="minorBidi"/>
      <w:sz w:val="22"/>
      <w:szCs w:val="22"/>
    </w:rPr>
  </w:style>
  <w:style w:type="paragraph" w:styleId="NormalWeb">
    <w:name w:val="Normal (Web)"/>
    <w:basedOn w:val="Normal"/>
    <w:uiPriority w:val="99"/>
    <w:unhideWhenUsed/>
    <w:rsid w:val="009F36C8"/>
    <w:pPr>
      <w:spacing w:before="100" w:beforeAutospacing="1" w:after="100" w:afterAutospacing="1"/>
    </w:pPr>
    <w:rPr>
      <w:rFonts w:ascii="Times New Roman" w:hAnsi="Times New Roman" w:cs="Times New Roman"/>
      <w:sz w:val="24"/>
      <w:szCs w:val="24"/>
      <w:lang w:eastAsia="en-AU"/>
    </w:rPr>
  </w:style>
  <w:style w:type="character" w:styleId="Emphasis">
    <w:name w:val="Emphasis"/>
    <w:basedOn w:val="DefaultParagraphFont"/>
    <w:uiPriority w:val="20"/>
    <w:qFormat/>
    <w:rsid w:val="009F36C8"/>
    <w:rPr>
      <w:i/>
      <w:iCs/>
    </w:rPr>
  </w:style>
  <w:style w:type="character" w:customStyle="1" w:styleId="ListParagraphChar">
    <w:name w:val="List Paragraph Char"/>
    <w:aliases w:val="Use Case List Paragraph Char,Heading2 Char,Body Bullet Char,List Paragraph1 Char,b1 Char,Bullet for no #'s Char,Ref Char,List Paragraph Char Char Char,Number_1 Char,new Char,SGLText List Paragraph Char,List Paragraph11 Char,lp1 Char"/>
    <w:basedOn w:val="DefaultParagraphFont"/>
    <w:link w:val="ListParagraph"/>
    <w:uiPriority w:val="34"/>
    <w:qFormat/>
    <w:locked/>
    <w:rsid w:val="004742D9"/>
    <w:rPr>
      <w:rFonts w:ascii="Calibri" w:eastAsiaTheme="minorHAnsi" w:hAnsi="Calibri"/>
      <w:sz w:val="22"/>
      <w:szCs w:val="22"/>
      <w:lang w:eastAsia="en-US"/>
    </w:rPr>
  </w:style>
  <w:style w:type="paragraph" w:customStyle="1" w:styleId="VMTTableCompact">
    <w:name w:val="VMT Table Compact"/>
    <w:basedOn w:val="Normal"/>
    <w:link w:val="VMTTableCompactChar"/>
    <w:uiPriority w:val="13"/>
    <w:qFormat/>
    <w:rsid w:val="00D8204E"/>
    <w:pPr>
      <w:spacing w:after="0"/>
    </w:pPr>
    <w:rPr>
      <w:rFonts w:ascii="Lato" w:eastAsia="Calibri" w:hAnsi="Lato"/>
      <w:snapToGrid w:val="0"/>
      <w:color w:val="262626"/>
      <w:sz w:val="16"/>
      <w:szCs w:val="20"/>
      <w:lang w:eastAsia="en-AU"/>
    </w:rPr>
  </w:style>
  <w:style w:type="character" w:customStyle="1" w:styleId="VMTTableCompactChar">
    <w:name w:val="VMT Table Compact Char"/>
    <w:basedOn w:val="DefaultParagraphFont"/>
    <w:link w:val="VMTTableCompact"/>
    <w:uiPriority w:val="13"/>
    <w:rsid w:val="00D8204E"/>
    <w:rPr>
      <w:rFonts w:ascii="Lato" w:eastAsia="Calibri" w:hAnsi="Lato" w:cs="Arial"/>
      <w:snapToGrid w:val="0"/>
      <w:color w:val="262626"/>
      <w:sz w:val="16"/>
    </w:rPr>
  </w:style>
  <w:style w:type="table" w:customStyle="1" w:styleId="VMTStandardTable">
    <w:name w:val="VMT Standard Table"/>
    <w:basedOn w:val="TableNormal"/>
    <w:uiPriority w:val="99"/>
    <w:rsid w:val="00D8204E"/>
    <w:rPr>
      <w:rFonts w:ascii="Lato" w:eastAsia="Calibri" w:hAnsi="Lato"/>
      <w:color w:val="262626"/>
    </w:rPr>
    <w:tblPr>
      <w:tblStyleRowBandSize w:val="1"/>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top w:w="57" w:type="dxa"/>
        <w:left w:w="57" w:type="dxa"/>
        <w:bottom w:w="57" w:type="dxa"/>
        <w:right w:w="57" w:type="dxa"/>
      </w:tblCellMar>
    </w:tblPr>
    <w:tcPr>
      <w:shd w:val="clear" w:color="auto" w:fill="A6A6A6" w:themeFill="background1" w:themeFillShade="A6"/>
    </w:tcPr>
    <w:tblStylePr w:type="firstRow">
      <w:rPr>
        <w:rFonts w:ascii="Muli" w:hAnsi="Muli"/>
        <w:b w:val="0"/>
        <w:i w:val="0"/>
        <w:color w:val="FFFFFF" w:themeColor="background1"/>
        <w:sz w:val="20"/>
      </w:rPr>
      <w:tblPr/>
      <w:trPr>
        <w:cantSplit/>
        <w:tblHeader/>
      </w:trPr>
    </w:tblStylePr>
    <w:tblStylePr w:type="firstCol">
      <w:rPr>
        <w:rFonts w:ascii="Muli" w:hAnsi="Muli" w:cs="Times New Roman"/>
        <w:b w:val="0"/>
        <w:bCs w:val="0"/>
        <w:i w:val="0"/>
        <w:iCs w:val="0"/>
        <w:caps w:val="0"/>
        <w:smallCaps w:val="0"/>
        <w:strike w:val="0"/>
        <w:dstrike w:val="0"/>
        <w:vanish w:val="0"/>
        <w:color w:val="FFFFFF" w:themeColor="background1"/>
        <w:spacing w:val="0"/>
        <w:w w:val="10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tblPr/>
      <w:tcPr>
        <w:shd w:val="clear" w:color="auto" w:fill="A6A6A6" w:themeFill="background1" w:themeFillShade="A6"/>
      </w:tcPr>
    </w:tblStylePr>
    <w:tblStylePr w:type="band1Horz">
      <w:tblPr/>
      <w:tcPr>
        <w:shd w:val="clear" w:color="auto" w:fill="E6E6E6"/>
      </w:tcPr>
    </w:tblStylePr>
    <w:tblStylePr w:type="band2Horz">
      <w:tblPr/>
      <w:tcPr>
        <w:shd w:val="clear" w:color="auto" w:fill="FAFAFA"/>
      </w:tcPr>
    </w:tblStylePr>
  </w:style>
  <w:style w:type="table" w:customStyle="1" w:styleId="VMTStandardTable2">
    <w:name w:val="VMT Standard Table2"/>
    <w:basedOn w:val="TableNormal"/>
    <w:uiPriority w:val="99"/>
    <w:rsid w:val="00787176"/>
    <w:rPr>
      <w:rFonts w:ascii="Lato" w:eastAsia="Calibri" w:hAnsi="Lato"/>
      <w:color w:val="262626"/>
    </w:rPr>
    <w:tblPr>
      <w:tblStyleRowBandSize w:val="1"/>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top w:w="57" w:type="dxa"/>
        <w:left w:w="57" w:type="dxa"/>
        <w:bottom w:w="57" w:type="dxa"/>
        <w:right w:w="57" w:type="dxa"/>
      </w:tblCellMar>
    </w:tblPr>
    <w:tcPr>
      <w:shd w:val="clear" w:color="auto" w:fill="A6A6A6" w:themeFill="background1" w:themeFillShade="A6"/>
    </w:tcPr>
    <w:tblStylePr w:type="firstRow">
      <w:rPr>
        <w:rFonts w:ascii="Muli" w:hAnsi="Muli"/>
        <w:b w:val="0"/>
        <w:i w:val="0"/>
        <w:color w:val="FFFFFF" w:themeColor="background1"/>
        <w:sz w:val="20"/>
      </w:rPr>
      <w:tblPr/>
      <w:trPr>
        <w:cantSplit/>
        <w:tblHeader/>
      </w:trPr>
    </w:tblStylePr>
    <w:tblStylePr w:type="firstCol">
      <w:rPr>
        <w:rFonts w:ascii="Muli" w:hAnsi="Muli" w:cs="Times New Roman"/>
        <w:b w:val="0"/>
        <w:bCs w:val="0"/>
        <w:i w:val="0"/>
        <w:iCs w:val="0"/>
        <w:caps w:val="0"/>
        <w:smallCaps w:val="0"/>
        <w:strike w:val="0"/>
        <w:dstrike w:val="0"/>
        <w:vanish w:val="0"/>
        <w:color w:val="FFFFFF" w:themeColor="background1"/>
        <w:spacing w:val="0"/>
        <w:w w:val="10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tblPr/>
      <w:tcPr>
        <w:shd w:val="clear" w:color="auto" w:fill="A6A6A6" w:themeFill="background1" w:themeFillShade="A6"/>
      </w:tcPr>
    </w:tblStylePr>
    <w:tblStylePr w:type="band1Horz">
      <w:tblPr/>
      <w:tcPr>
        <w:shd w:val="clear" w:color="auto" w:fill="E6E6E6"/>
      </w:tcPr>
    </w:tblStylePr>
    <w:tblStylePr w:type="band2Horz">
      <w:tblPr/>
      <w:tcPr>
        <w:shd w:val="clear" w:color="auto" w:fill="FAFAFA"/>
      </w:tcPr>
    </w:tblStylePr>
  </w:style>
  <w:style w:type="table" w:customStyle="1" w:styleId="VMTStandardTable1">
    <w:name w:val="VMT Standard Table1"/>
    <w:basedOn w:val="TableNormal"/>
    <w:uiPriority w:val="99"/>
    <w:rsid w:val="00C06B19"/>
    <w:pPr>
      <w:spacing w:after="160" w:line="259" w:lineRule="auto"/>
    </w:pPr>
    <w:rPr>
      <w:rFonts w:ascii="Lato" w:eastAsia="Calibri" w:hAnsi="Lato"/>
      <w:color w:val="262626"/>
    </w:rPr>
    <w:tblPr>
      <w:tblStyleRowBandSize w:val="1"/>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top w:w="57" w:type="dxa"/>
        <w:left w:w="57" w:type="dxa"/>
        <w:bottom w:w="57" w:type="dxa"/>
        <w:right w:w="57" w:type="dxa"/>
      </w:tblCellMar>
    </w:tblPr>
    <w:tcPr>
      <w:shd w:val="clear" w:color="auto" w:fill="A6A6A6" w:themeFill="background1" w:themeFillShade="A6"/>
    </w:tcPr>
    <w:tblStylePr w:type="firstRow">
      <w:rPr>
        <w:rFonts w:ascii="Muli" w:hAnsi="Muli"/>
        <w:b w:val="0"/>
        <w:i w:val="0"/>
        <w:color w:val="FFFFFF" w:themeColor="background1"/>
        <w:sz w:val="20"/>
      </w:rPr>
      <w:tblPr/>
      <w:tcPr>
        <w:shd w:val="clear" w:color="auto" w:fill="A6A6A6" w:themeFill="background1" w:themeFillShade="A6"/>
      </w:tcPr>
    </w:tblStylePr>
    <w:tblStylePr w:type="band1Horz">
      <w:tblPr/>
      <w:tcPr>
        <w:shd w:val="clear" w:color="auto" w:fill="E6E6E6"/>
      </w:tcPr>
    </w:tblStylePr>
    <w:tblStylePr w:type="band2Horz">
      <w:tblPr/>
      <w:tcPr>
        <w:shd w:val="clear" w:color="auto" w:fill="FAFAFA"/>
      </w:tcPr>
    </w:tblStylePr>
  </w:style>
  <w:style w:type="paragraph" w:customStyle="1" w:styleId="VMTTSDNumbered">
    <w:name w:val="VMT TSD Numbered"/>
    <w:basedOn w:val="Heading2"/>
    <w:link w:val="VMTTSDNumberedChar"/>
    <w:qFormat/>
    <w:rsid w:val="00EF2882"/>
    <w:pPr>
      <w:numPr>
        <w:numId w:val="1"/>
      </w:numPr>
      <w:spacing w:after="160" w:line="259" w:lineRule="auto"/>
    </w:pPr>
    <w:rPr>
      <w:rFonts w:asciiTheme="minorHAnsi" w:eastAsia="Calibri" w:hAnsiTheme="minorHAnsi" w:cstheme="minorBidi"/>
      <w:sz w:val="22"/>
      <w:szCs w:val="20"/>
    </w:rPr>
  </w:style>
  <w:style w:type="character" w:customStyle="1" w:styleId="VMTTSDNumberedChar">
    <w:name w:val="VMT TSD Numbered Char"/>
    <w:link w:val="VMTTSDNumbered"/>
    <w:rsid w:val="00EF2882"/>
    <w:rPr>
      <w:rFonts w:asciiTheme="minorHAnsi" w:eastAsia="Calibri" w:hAnsiTheme="minorHAnsi" w:cstheme="minorBidi"/>
      <w:sz w:val="22"/>
      <w:lang w:eastAsia="en-US"/>
    </w:rPr>
  </w:style>
  <w:style w:type="paragraph" w:customStyle="1" w:styleId="VMTTSDH2">
    <w:name w:val="VMT TSD H2"/>
    <w:basedOn w:val="Normal"/>
    <w:link w:val="VMTTSDH2Char"/>
    <w:qFormat/>
    <w:rsid w:val="0001335F"/>
    <w:pPr>
      <w:widowControl w:val="0"/>
      <w:spacing w:after="160" w:line="259" w:lineRule="auto"/>
      <w:outlineLvl w:val="2"/>
    </w:pPr>
    <w:rPr>
      <w:rFonts w:asciiTheme="minorHAnsi" w:eastAsia="Calibri" w:hAnsiTheme="minorHAnsi" w:cstheme="minorBidi"/>
      <w:b/>
      <w:caps/>
      <w:sz w:val="18"/>
      <w:szCs w:val="20"/>
    </w:rPr>
  </w:style>
  <w:style w:type="character" w:customStyle="1" w:styleId="VMTTSDH2Char">
    <w:name w:val="VMT TSD H2 Char"/>
    <w:link w:val="VMTTSDH2"/>
    <w:rsid w:val="0001335F"/>
    <w:rPr>
      <w:rFonts w:asciiTheme="minorHAnsi" w:eastAsia="Calibri" w:hAnsiTheme="minorHAnsi" w:cstheme="minorBidi"/>
      <w:b/>
      <w:caps/>
      <w:sz w:val="18"/>
      <w:lang w:eastAsia="en-US"/>
    </w:rPr>
  </w:style>
  <w:style w:type="table" w:styleId="TableGridLight">
    <w:name w:val="Grid Table Light"/>
    <w:basedOn w:val="TableNormal"/>
    <w:uiPriority w:val="40"/>
    <w:rsid w:val="00B064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MTSTD">
    <w:name w:val="VMT STD"/>
    <w:basedOn w:val="Normal"/>
    <w:qFormat/>
    <w:rsid w:val="00FA769D"/>
    <w:pPr>
      <w:tabs>
        <w:tab w:val="num" w:pos="737"/>
      </w:tabs>
      <w:spacing w:after="160" w:line="360" w:lineRule="auto"/>
      <w:ind w:left="737" w:hanging="737"/>
    </w:pPr>
    <w:rPr>
      <w:rFonts w:ascii="Lato" w:eastAsia="Calibri" w:hAnsi="Lato" w:cstheme="minorBidi"/>
      <w:snapToGrid w:val="0"/>
      <w:color w:val="262626"/>
      <w:sz w:val="22"/>
      <w:szCs w:val="20"/>
      <w:lang w:eastAsia="zh-CN"/>
    </w:rPr>
  </w:style>
  <w:style w:type="paragraph" w:customStyle="1" w:styleId="VMTTSDH1">
    <w:name w:val="VMT TSD H1"/>
    <w:qFormat/>
    <w:rsid w:val="00FA769D"/>
    <w:pPr>
      <w:pBdr>
        <w:bottom w:val="single" w:sz="4" w:space="1" w:color="auto"/>
      </w:pBdr>
      <w:spacing w:before="360" w:after="360" w:line="259" w:lineRule="auto"/>
      <w:ind w:left="737" w:hanging="737"/>
      <w:outlineLvl w:val="1"/>
    </w:pPr>
    <w:rPr>
      <w:rFonts w:ascii="Verdana" w:eastAsia="Calibri" w:hAnsi="Verdana" w:cs="Arial"/>
      <w:b/>
      <w:bCs/>
      <w:caps/>
      <w:szCs w:val="21"/>
      <w:lang w:eastAsia="zh-CN"/>
    </w:rPr>
  </w:style>
  <w:style w:type="paragraph" w:customStyle="1" w:styleId="VMTTSDList">
    <w:name w:val="VMT TSD List"/>
    <w:link w:val="VMTTSDListChar"/>
    <w:qFormat/>
    <w:rsid w:val="00FA769D"/>
    <w:pPr>
      <w:tabs>
        <w:tab w:val="num" w:pos="567"/>
      </w:tabs>
      <w:spacing w:after="160" w:line="259" w:lineRule="auto"/>
      <w:ind w:left="1021" w:hanging="567"/>
    </w:pPr>
    <w:rPr>
      <w:rFonts w:ascii="Verdana" w:eastAsia="Calibri" w:hAnsi="Verdana" w:cstheme="minorBidi"/>
      <w:szCs w:val="22"/>
      <w:lang w:eastAsia="zh-CN"/>
    </w:rPr>
  </w:style>
  <w:style w:type="paragraph" w:customStyle="1" w:styleId="VMTTSDSub-list">
    <w:name w:val="VMT TSD Sub-list"/>
    <w:link w:val="VMTTSDSub-listChar"/>
    <w:qFormat/>
    <w:rsid w:val="00FA769D"/>
    <w:pPr>
      <w:spacing w:after="160" w:line="259" w:lineRule="auto"/>
      <w:ind w:left="1588" w:hanging="567"/>
    </w:pPr>
    <w:rPr>
      <w:rFonts w:ascii="Verdana" w:eastAsiaTheme="minorEastAsia" w:hAnsi="Verdana" w:cs="Calibri"/>
      <w:szCs w:val="22"/>
      <w:lang w:eastAsia="zh-CN"/>
    </w:rPr>
  </w:style>
  <w:style w:type="character" w:customStyle="1" w:styleId="VMTTSDListChar">
    <w:name w:val="VMT TSD List Char"/>
    <w:link w:val="VMTTSDList"/>
    <w:rsid w:val="00FA769D"/>
    <w:rPr>
      <w:rFonts w:ascii="Verdana" w:eastAsia="Calibri" w:hAnsi="Verdana" w:cstheme="minorBidi"/>
      <w:szCs w:val="22"/>
      <w:lang w:eastAsia="zh-CN"/>
    </w:rPr>
  </w:style>
  <w:style w:type="character" w:customStyle="1" w:styleId="VMTTSDSub-listChar">
    <w:name w:val="VMT TSD Sub-list Char"/>
    <w:link w:val="VMTTSDSub-list"/>
    <w:rsid w:val="00FA769D"/>
    <w:rPr>
      <w:rFonts w:ascii="Verdana" w:eastAsiaTheme="minorEastAsia" w:hAnsi="Verdana" w:cs="Calibri"/>
      <w:szCs w:val="22"/>
      <w:lang w:eastAsia="zh-CN"/>
    </w:rPr>
  </w:style>
  <w:style w:type="paragraph" w:customStyle="1" w:styleId="VMTTSDBullet">
    <w:name w:val="VMT TSD Bullet"/>
    <w:qFormat/>
    <w:rsid w:val="00FA769D"/>
    <w:pPr>
      <w:tabs>
        <w:tab w:val="num" w:pos="1928"/>
      </w:tabs>
      <w:spacing w:after="160" w:line="259" w:lineRule="auto"/>
      <w:ind w:left="2041" w:hanging="113"/>
    </w:pPr>
    <w:rPr>
      <w:rFonts w:ascii="Verdana" w:eastAsia="Calibri" w:hAnsi="Verdana" w:cstheme="minorBidi"/>
      <w:snapToGrid w:val="0"/>
      <w:color w:val="262626"/>
      <w:lang w:eastAsia="zh-CN"/>
    </w:rPr>
  </w:style>
  <w:style w:type="paragraph" w:customStyle="1" w:styleId="TablestyleA-level3">
    <w:name w:val="Table style A - level 3"/>
    <w:basedOn w:val="Normal"/>
    <w:rsid w:val="00B21A76"/>
    <w:pPr>
      <w:tabs>
        <w:tab w:val="left" w:pos="1134"/>
      </w:tabs>
      <w:spacing w:before="60" w:after="60" w:line="259" w:lineRule="auto"/>
      <w:ind w:left="1134" w:hanging="567"/>
    </w:pPr>
    <w:rPr>
      <w:rFonts w:eastAsiaTheme="minorEastAsia" w:cstheme="minorBidi"/>
      <w:szCs w:val="20"/>
      <w:lang w:eastAsia="zh-CN"/>
    </w:rPr>
  </w:style>
  <w:style w:type="character" w:customStyle="1" w:styleId="ui-provider">
    <w:name w:val="ui-provider"/>
    <w:basedOn w:val="DefaultParagraphFont"/>
    <w:rsid w:val="00187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416">
      <w:bodyDiv w:val="1"/>
      <w:marLeft w:val="0"/>
      <w:marRight w:val="0"/>
      <w:marTop w:val="0"/>
      <w:marBottom w:val="0"/>
      <w:divBdr>
        <w:top w:val="none" w:sz="0" w:space="0" w:color="auto"/>
        <w:left w:val="none" w:sz="0" w:space="0" w:color="auto"/>
        <w:bottom w:val="none" w:sz="0" w:space="0" w:color="auto"/>
        <w:right w:val="none" w:sz="0" w:space="0" w:color="auto"/>
      </w:divBdr>
    </w:div>
    <w:div w:id="114956505">
      <w:bodyDiv w:val="1"/>
      <w:marLeft w:val="0"/>
      <w:marRight w:val="0"/>
      <w:marTop w:val="0"/>
      <w:marBottom w:val="0"/>
      <w:divBdr>
        <w:top w:val="none" w:sz="0" w:space="0" w:color="auto"/>
        <w:left w:val="none" w:sz="0" w:space="0" w:color="auto"/>
        <w:bottom w:val="none" w:sz="0" w:space="0" w:color="auto"/>
        <w:right w:val="none" w:sz="0" w:space="0" w:color="auto"/>
      </w:divBdr>
    </w:div>
    <w:div w:id="134300588">
      <w:bodyDiv w:val="1"/>
      <w:marLeft w:val="0"/>
      <w:marRight w:val="0"/>
      <w:marTop w:val="0"/>
      <w:marBottom w:val="0"/>
      <w:divBdr>
        <w:top w:val="none" w:sz="0" w:space="0" w:color="auto"/>
        <w:left w:val="none" w:sz="0" w:space="0" w:color="auto"/>
        <w:bottom w:val="none" w:sz="0" w:space="0" w:color="auto"/>
        <w:right w:val="none" w:sz="0" w:space="0" w:color="auto"/>
      </w:divBdr>
    </w:div>
    <w:div w:id="139463883">
      <w:bodyDiv w:val="1"/>
      <w:marLeft w:val="0"/>
      <w:marRight w:val="0"/>
      <w:marTop w:val="0"/>
      <w:marBottom w:val="0"/>
      <w:divBdr>
        <w:top w:val="none" w:sz="0" w:space="0" w:color="auto"/>
        <w:left w:val="none" w:sz="0" w:space="0" w:color="auto"/>
        <w:bottom w:val="none" w:sz="0" w:space="0" w:color="auto"/>
        <w:right w:val="none" w:sz="0" w:space="0" w:color="auto"/>
      </w:divBdr>
    </w:div>
    <w:div w:id="156724992">
      <w:bodyDiv w:val="1"/>
      <w:marLeft w:val="0"/>
      <w:marRight w:val="0"/>
      <w:marTop w:val="0"/>
      <w:marBottom w:val="0"/>
      <w:divBdr>
        <w:top w:val="none" w:sz="0" w:space="0" w:color="auto"/>
        <w:left w:val="none" w:sz="0" w:space="0" w:color="auto"/>
        <w:bottom w:val="none" w:sz="0" w:space="0" w:color="auto"/>
        <w:right w:val="none" w:sz="0" w:space="0" w:color="auto"/>
      </w:divBdr>
    </w:div>
    <w:div w:id="213851741">
      <w:bodyDiv w:val="1"/>
      <w:marLeft w:val="0"/>
      <w:marRight w:val="0"/>
      <w:marTop w:val="0"/>
      <w:marBottom w:val="0"/>
      <w:divBdr>
        <w:top w:val="none" w:sz="0" w:space="0" w:color="auto"/>
        <w:left w:val="none" w:sz="0" w:space="0" w:color="auto"/>
        <w:bottom w:val="none" w:sz="0" w:space="0" w:color="auto"/>
        <w:right w:val="none" w:sz="0" w:space="0" w:color="auto"/>
      </w:divBdr>
    </w:div>
    <w:div w:id="280261118">
      <w:bodyDiv w:val="1"/>
      <w:marLeft w:val="0"/>
      <w:marRight w:val="0"/>
      <w:marTop w:val="0"/>
      <w:marBottom w:val="0"/>
      <w:divBdr>
        <w:top w:val="none" w:sz="0" w:space="0" w:color="auto"/>
        <w:left w:val="none" w:sz="0" w:space="0" w:color="auto"/>
        <w:bottom w:val="none" w:sz="0" w:space="0" w:color="auto"/>
        <w:right w:val="none" w:sz="0" w:space="0" w:color="auto"/>
      </w:divBdr>
    </w:div>
    <w:div w:id="428088330">
      <w:bodyDiv w:val="1"/>
      <w:marLeft w:val="0"/>
      <w:marRight w:val="0"/>
      <w:marTop w:val="0"/>
      <w:marBottom w:val="0"/>
      <w:divBdr>
        <w:top w:val="none" w:sz="0" w:space="0" w:color="auto"/>
        <w:left w:val="none" w:sz="0" w:space="0" w:color="auto"/>
        <w:bottom w:val="none" w:sz="0" w:space="0" w:color="auto"/>
        <w:right w:val="none" w:sz="0" w:space="0" w:color="auto"/>
      </w:divBdr>
    </w:div>
    <w:div w:id="447891823">
      <w:bodyDiv w:val="1"/>
      <w:marLeft w:val="0"/>
      <w:marRight w:val="0"/>
      <w:marTop w:val="0"/>
      <w:marBottom w:val="0"/>
      <w:divBdr>
        <w:top w:val="none" w:sz="0" w:space="0" w:color="auto"/>
        <w:left w:val="none" w:sz="0" w:space="0" w:color="auto"/>
        <w:bottom w:val="none" w:sz="0" w:space="0" w:color="auto"/>
        <w:right w:val="none" w:sz="0" w:space="0" w:color="auto"/>
      </w:divBdr>
    </w:div>
    <w:div w:id="453138703">
      <w:bodyDiv w:val="1"/>
      <w:marLeft w:val="0"/>
      <w:marRight w:val="0"/>
      <w:marTop w:val="0"/>
      <w:marBottom w:val="0"/>
      <w:divBdr>
        <w:top w:val="none" w:sz="0" w:space="0" w:color="auto"/>
        <w:left w:val="none" w:sz="0" w:space="0" w:color="auto"/>
        <w:bottom w:val="none" w:sz="0" w:space="0" w:color="auto"/>
        <w:right w:val="none" w:sz="0" w:space="0" w:color="auto"/>
      </w:divBdr>
    </w:div>
    <w:div w:id="562912215">
      <w:bodyDiv w:val="1"/>
      <w:marLeft w:val="0"/>
      <w:marRight w:val="0"/>
      <w:marTop w:val="0"/>
      <w:marBottom w:val="0"/>
      <w:divBdr>
        <w:top w:val="none" w:sz="0" w:space="0" w:color="auto"/>
        <w:left w:val="none" w:sz="0" w:space="0" w:color="auto"/>
        <w:bottom w:val="none" w:sz="0" w:space="0" w:color="auto"/>
        <w:right w:val="none" w:sz="0" w:space="0" w:color="auto"/>
      </w:divBdr>
    </w:div>
    <w:div w:id="616959010">
      <w:bodyDiv w:val="1"/>
      <w:marLeft w:val="0"/>
      <w:marRight w:val="0"/>
      <w:marTop w:val="0"/>
      <w:marBottom w:val="0"/>
      <w:divBdr>
        <w:top w:val="none" w:sz="0" w:space="0" w:color="auto"/>
        <w:left w:val="none" w:sz="0" w:space="0" w:color="auto"/>
        <w:bottom w:val="none" w:sz="0" w:space="0" w:color="auto"/>
        <w:right w:val="none" w:sz="0" w:space="0" w:color="auto"/>
      </w:divBdr>
    </w:div>
    <w:div w:id="791945609">
      <w:bodyDiv w:val="1"/>
      <w:marLeft w:val="0"/>
      <w:marRight w:val="0"/>
      <w:marTop w:val="0"/>
      <w:marBottom w:val="0"/>
      <w:divBdr>
        <w:top w:val="none" w:sz="0" w:space="0" w:color="auto"/>
        <w:left w:val="none" w:sz="0" w:space="0" w:color="auto"/>
        <w:bottom w:val="none" w:sz="0" w:space="0" w:color="auto"/>
        <w:right w:val="none" w:sz="0" w:space="0" w:color="auto"/>
      </w:divBdr>
    </w:div>
    <w:div w:id="882908629">
      <w:bodyDiv w:val="1"/>
      <w:marLeft w:val="0"/>
      <w:marRight w:val="0"/>
      <w:marTop w:val="0"/>
      <w:marBottom w:val="0"/>
      <w:divBdr>
        <w:top w:val="none" w:sz="0" w:space="0" w:color="auto"/>
        <w:left w:val="none" w:sz="0" w:space="0" w:color="auto"/>
        <w:bottom w:val="none" w:sz="0" w:space="0" w:color="auto"/>
        <w:right w:val="none" w:sz="0" w:space="0" w:color="auto"/>
      </w:divBdr>
    </w:div>
    <w:div w:id="1065566866">
      <w:bodyDiv w:val="1"/>
      <w:marLeft w:val="0"/>
      <w:marRight w:val="0"/>
      <w:marTop w:val="0"/>
      <w:marBottom w:val="0"/>
      <w:divBdr>
        <w:top w:val="none" w:sz="0" w:space="0" w:color="auto"/>
        <w:left w:val="none" w:sz="0" w:space="0" w:color="auto"/>
        <w:bottom w:val="none" w:sz="0" w:space="0" w:color="auto"/>
        <w:right w:val="none" w:sz="0" w:space="0" w:color="auto"/>
      </w:divBdr>
    </w:div>
    <w:div w:id="1072116650">
      <w:bodyDiv w:val="1"/>
      <w:marLeft w:val="0"/>
      <w:marRight w:val="0"/>
      <w:marTop w:val="0"/>
      <w:marBottom w:val="0"/>
      <w:divBdr>
        <w:top w:val="none" w:sz="0" w:space="0" w:color="auto"/>
        <w:left w:val="none" w:sz="0" w:space="0" w:color="auto"/>
        <w:bottom w:val="none" w:sz="0" w:space="0" w:color="auto"/>
        <w:right w:val="none" w:sz="0" w:space="0" w:color="auto"/>
      </w:divBdr>
    </w:div>
    <w:div w:id="1164970446">
      <w:bodyDiv w:val="1"/>
      <w:marLeft w:val="0"/>
      <w:marRight w:val="0"/>
      <w:marTop w:val="0"/>
      <w:marBottom w:val="0"/>
      <w:divBdr>
        <w:top w:val="none" w:sz="0" w:space="0" w:color="auto"/>
        <w:left w:val="none" w:sz="0" w:space="0" w:color="auto"/>
        <w:bottom w:val="none" w:sz="0" w:space="0" w:color="auto"/>
        <w:right w:val="none" w:sz="0" w:space="0" w:color="auto"/>
      </w:divBdr>
      <w:divsChild>
        <w:div w:id="64111727">
          <w:marLeft w:val="432"/>
          <w:marRight w:val="0"/>
          <w:marTop w:val="0"/>
          <w:marBottom w:val="0"/>
          <w:divBdr>
            <w:top w:val="none" w:sz="0" w:space="0" w:color="auto"/>
            <w:left w:val="none" w:sz="0" w:space="0" w:color="auto"/>
            <w:bottom w:val="none" w:sz="0" w:space="0" w:color="auto"/>
            <w:right w:val="none" w:sz="0" w:space="0" w:color="auto"/>
          </w:divBdr>
        </w:div>
        <w:div w:id="1638099310">
          <w:marLeft w:val="432"/>
          <w:marRight w:val="0"/>
          <w:marTop w:val="0"/>
          <w:marBottom w:val="0"/>
          <w:divBdr>
            <w:top w:val="none" w:sz="0" w:space="0" w:color="auto"/>
            <w:left w:val="none" w:sz="0" w:space="0" w:color="auto"/>
            <w:bottom w:val="none" w:sz="0" w:space="0" w:color="auto"/>
            <w:right w:val="none" w:sz="0" w:space="0" w:color="auto"/>
          </w:divBdr>
        </w:div>
        <w:div w:id="2141147891">
          <w:marLeft w:val="432"/>
          <w:marRight w:val="0"/>
          <w:marTop w:val="0"/>
          <w:marBottom w:val="0"/>
          <w:divBdr>
            <w:top w:val="none" w:sz="0" w:space="0" w:color="auto"/>
            <w:left w:val="none" w:sz="0" w:space="0" w:color="auto"/>
            <w:bottom w:val="none" w:sz="0" w:space="0" w:color="auto"/>
            <w:right w:val="none" w:sz="0" w:space="0" w:color="auto"/>
          </w:divBdr>
        </w:div>
      </w:divsChild>
    </w:div>
    <w:div w:id="1223129820">
      <w:bodyDiv w:val="1"/>
      <w:marLeft w:val="0"/>
      <w:marRight w:val="0"/>
      <w:marTop w:val="0"/>
      <w:marBottom w:val="0"/>
      <w:divBdr>
        <w:top w:val="none" w:sz="0" w:space="0" w:color="auto"/>
        <w:left w:val="none" w:sz="0" w:space="0" w:color="auto"/>
        <w:bottom w:val="none" w:sz="0" w:space="0" w:color="auto"/>
        <w:right w:val="none" w:sz="0" w:space="0" w:color="auto"/>
      </w:divBdr>
    </w:div>
    <w:div w:id="1265461850">
      <w:bodyDiv w:val="1"/>
      <w:marLeft w:val="0"/>
      <w:marRight w:val="0"/>
      <w:marTop w:val="0"/>
      <w:marBottom w:val="0"/>
      <w:divBdr>
        <w:top w:val="none" w:sz="0" w:space="0" w:color="auto"/>
        <w:left w:val="none" w:sz="0" w:space="0" w:color="auto"/>
        <w:bottom w:val="none" w:sz="0" w:space="0" w:color="auto"/>
        <w:right w:val="none" w:sz="0" w:space="0" w:color="auto"/>
      </w:divBdr>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
    <w:div w:id="1377120952">
      <w:bodyDiv w:val="1"/>
      <w:marLeft w:val="0"/>
      <w:marRight w:val="0"/>
      <w:marTop w:val="0"/>
      <w:marBottom w:val="0"/>
      <w:divBdr>
        <w:top w:val="none" w:sz="0" w:space="0" w:color="auto"/>
        <w:left w:val="none" w:sz="0" w:space="0" w:color="auto"/>
        <w:bottom w:val="none" w:sz="0" w:space="0" w:color="auto"/>
        <w:right w:val="none" w:sz="0" w:space="0" w:color="auto"/>
      </w:divBdr>
    </w:div>
    <w:div w:id="1443110969">
      <w:bodyDiv w:val="1"/>
      <w:marLeft w:val="0"/>
      <w:marRight w:val="0"/>
      <w:marTop w:val="0"/>
      <w:marBottom w:val="0"/>
      <w:divBdr>
        <w:top w:val="none" w:sz="0" w:space="0" w:color="auto"/>
        <w:left w:val="none" w:sz="0" w:space="0" w:color="auto"/>
        <w:bottom w:val="none" w:sz="0" w:space="0" w:color="auto"/>
        <w:right w:val="none" w:sz="0" w:space="0" w:color="auto"/>
      </w:divBdr>
    </w:div>
    <w:div w:id="1499150239">
      <w:bodyDiv w:val="1"/>
      <w:marLeft w:val="0"/>
      <w:marRight w:val="0"/>
      <w:marTop w:val="0"/>
      <w:marBottom w:val="0"/>
      <w:divBdr>
        <w:top w:val="none" w:sz="0" w:space="0" w:color="auto"/>
        <w:left w:val="none" w:sz="0" w:space="0" w:color="auto"/>
        <w:bottom w:val="none" w:sz="0" w:space="0" w:color="auto"/>
        <w:right w:val="none" w:sz="0" w:space="0" w:color="auto"/>
      </w:divBdr>
    </w:div>
    <w:div w:id="1516463212">
      <w:bodyDiv w:val="1"/>
      <w:marLeft w:val="0"/>
      <w:marRight w:val="0"/>
      <w:marTop w:val="0"/>
      <w:marBottom w:val="0"/>
      <w:divBdr>
        <w:top w:val="none" w:sz="0" w:space="0" w:color="auto"/>
        <w:left w:val="none" w:sz="0" w:space="0" w:color="auto"/>
        <w:bottom w:val="none" w:sz="0" w:space="0" w:color="auto"/>
        <w:right w:val="none" w:sz="0" w:space="0" w:color="auto"/>
      </w:divBdr>
    </w:div>
    <w:div w:id="1660377324">
      <w:bodyDiv w:val="1"/>
      <w:marLeft w:val="0"/>
      <w:marRight w:val="0"/>
      <w:marTop w:val="0"/>
      <w:marBottom w:val="0"/>
      <w:divBdr>
        <w:top w:val="none" w:sz="0" w:space="0" w:color="auto"/>
        <w:left w:val="none" w:sz="0" w:space="0" w:color="auto"/>
        <w:bottom w:val="none" w:sz="0" w:space="0" w:color="auto"/>
        <w:right w:val="none" w:sz="0" w:space="0" w:color="auto"/>
      </w:divBdr>
    </w:div>
    <w:div w:id="1729651573">
      <w:bodyDiv w:val="1"/>
      <w:marLeft w:val="0"/>
      <w:marRight w:val="0"/>
      <w:marTop w:val="0"/>
      <w:marBottom w:val="0"/>
      <w:divBdr>
        <w:top w:val="none" w:sz="0" w:space="0" w:color="auto"/>
        <w:left w:val="none" w:sz="0" w:space="0" w:color="auto"/>
        <w:bottom w:val="none" w:sz="0" w:space="0" w:color="auto"/>
        <w:right w:val="none" w:sz="0" w:space="0" w:color="auto"/>
      </w:divBdr>
    </w:div>
    <w:div w:id="1755127941">
      <w:bodyDiv w:val="1"/>
      <w:marLeft w:val="0"/>
      <w:marRight w:val="0"/>
      <w:marTop w:val="0"/>
      <w:marBottom w:val="0"/>
      <w:divBdr>
        <w:top w:val="none" w:sz="0" w:space="0" w:color="auto"/>
        <w:left w:val="none" w:sz="0" w:space="0" w:color="auto"/>
        <w:bottom w:val="none" w:sz="0" w:space="0" w:color="auto"/>
        <w:right w:val="none" w:sz="0" w:space="0" w:color="auto"/>
      </w:divBdr>
    </w:div>
    <w:div w:id="1770733497">
      <w:bodyDiv w:val="1"/>
      <w:marLeft w:val="0"/>
      <w:marRight w:val="0"/>
      <w:marTop w:val="0"/>
      <w:marBottom w:val="0"/>
      <w:divBdr>
        <w:top w:val="none" w:sz="0" w:space="0" w:color="auto"/>
        <w:left w:val="none" w:sz="0" w:space="0" w:color="auto"/>
        <w:bottom w:val="none" w:sz="0" w:space="0" w:color="auto"/>
        <w:right w:val="none" w:sz="0" w:space="0" w:color="auto"/>
      </w:divBdr>
    </w:div>
    <w:div w:id="1797597183">
      <w:bodyDiv w:val="1"/>
      <w:marLeft w:val="0"/>
      <w:marRight w:val="0"/>
      <w:marTop w:val="0"/>
      <w:marBottom w:val="0"/>
      <w:divBdr>
        <w:top w:val="none" w:sz="0" w:space="0" w:color="auto"/>
        <w:left w:val="none" w:sz="0" w:space="0" w:color="auto"/>
        <w:bottom w:val="none" w:sz="0" w:space="0" w:color="auto"/>
        <w:right w:val="none" w:sz="0" w:space="0" w:color="auto"/>
      </w:divBdr>
    </w:div>
    <w:div w:id="1866289602">
      <w:bodyDiv w:val="1"/>
      <w:marLeft w:val="0"/>
      <w:marRight w:val="0"/>
      <w:marTop w:val="0"/>
      <w:marBottom w:val="0"/>
      <w:divBdr>
        <w:top w:val="none" w:sz="0" w:space="0" w:color="auto"/>
        <w:left w:val="none" w:sz="0" w:space="0" w:color="auto"/>
        <w:bottom w:val="none" w:sz="0" w:space="0" w:color="auto"/>
        <w:right w:val="none" w:sz="0" w:space="0" w:color="auto"/>
      </w:divBdr>
    </w:div>
    <w:div w:id="1867133690">
      <w:bodyDiv w:val="1"/>
      <w:marLeft w:val="0"/>
      <w:marRight w:val="0"/>
      <w:marTop w:val="0"/>
      <w:marBottom w:val="0"/>
      <w:divBdr>
        <w:top w:val="none" w:sz="0" w:space="0" w:color="auto"/>
        <w:left w:val="none" w:sz="0" w:space="0" w:color="auto"/>
        <w:bottom w:val="none" w:sz="0" w:space="0" w:color="auto"/>
        <w:right w:val="none" w:sz="0" w:space="0" w:color="auto"/>
      </w:divBdr>
    </w:div>
    <w:div w:id="2045520617">
      <w:bodyDiv w:val="1"/>
      <w:marLeft w:val="0"/>
      <w:marRight w:val="0"/>
      <w:marTop w:val="0"/>
      <w:marBottom w:val="0"/>
      <w:divBdr>
        <w:top w:val="none" w:sz="0" w:space="0" w:color="auto"/>
        <w:left w:val="none" w:sz="0" w:space="0" w:color="auto"/>
        <w:bottom w:val="none" w:sz="0" w:space="0" w:color="auto"/>
        <w:right w:val="none" w:sz="0" w:space="0" w:color="auto"/>
      </w:divBdr>
    </w:div>
    <w:div w:id="206420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lstra.com.au/customer-terms/business-government/index.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business-government/index.htm"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telstra.com.au/customer-terms/index.htm" TargetMode="External"/><Relationship Id="rId20"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3.xml"/><Relationship Id="rId23"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documenttasks/documenttasks1.xml><?xml version="1.0" encoding="utf-8"?>
<t:Tasks xmlns:t="http://schemas.microsoft.com/office/tasks/2019/documenttasks" xmlns:oel="http://schemas.microsoft.com/office/2019/extlst">
  <t:Task id="{4B689797-D1D2-4F4D-A7FE-D41A57A948AA}">
    <t:Anchor>
      <t:Comment id="1984709425"/>
    </t:Anchor>
    <t:History>
      <t:Event id="{1D46FD80-822A-4B96-86C4-647562DFCB9C}" time="2022-09-28T10:51:33.806Z">
        <t:Attribution userId="S::rowena.ozard@team.telstra.com::e931c251-7beb-44c0-b6a9-1f7a0f181b5d" userProvider="AD" userName="Ozard, Rowena"/>
        <t:Anchor>
          <t:Comment id="1984709425"/>
        </t:Anchor>
        <t:Create/>
      </t:Event>
      <t:Event id="{15F9ACF9-24CB-4349-9D41-A48C73018F17}" time="2022-09-28T10:51:33.806Z">
        <t:Attribution userId="S::rowena.ozard@team.telstra.com::e931c251-7beb-44c0-b6a9-1f7a0f181b5d" userProvider="AD" userName="Ozard, Rowena"/>
        <t:Anchor>
          <t:Comment id="1984709425"/>
        </t:Anchor>
        <t:Assign userId="S::Charlotte.Hollindale@team.telstra.com::5f339608-e47f-48ba-be0d-521e03d3e9f7" userProvider="AD" userName="Hollindale, Charlotte"/>
      </t:Event>
      <t:Event id="{F46E81F6-9FE2-4344-AD43-C2E2877A1B4F}" time="2022-09-28T10:51:33.806Z">
        <t:Attribution userId="S::rowena.ozard@team.telstra.com::e931c251-7beb-44c0-b6a9-1f7a0f181b5d" userProvider="AD" userName="Ozard, Rowena"/>
        <t:Anchor>
          <t:Comment id="1984709425"/>
        </t:Anchor>
        <t:SetTitle title="@Hollindale, Charlotte if Relationship Management is an additional Practice that customers can purchase but is not included in the base offer, do we need to call this out here?"/>
      </t:Event>
    </t:History>
  </t:Task>
  <t:Task id="{4701FB84-6727-49BD-B941-79F02D7005CF}">
    <t:Anchor>
      <t:Comment id="1189104510"/>
    </t:Anchor>
    <t:History>
      <t:Event id="{7614BADD-5DC3-488C-971F-DF7D1FDF999B}" time="2022-09-28T10:58:41.368Z">
        <t:Attribution userId="S::rowena.ozard@team.telstra.com::e931c251-7beb-44c0-b6a9-1f7a0f181b5d" userProvider="AD" userName="Ozard, Rowena"/>
        <t:Anchor>
          <t:Comment id="1189104510"/>
        </t:Anchor>
        <t:Create/>
      </t:Event>
      <t:Event id="{676B40A2-456E-4188-B9F3-117C77A3DD4B}" time="2022-09-28T10:58:41.368Z">
        <t:Attribution userId="S::rowena.ozard@team.telstra.com::e931c251-7beb-44c0-b6a9-1f7a0f181b5d" userProvider="AD" userName="Ozard, Rowena"/>
        <t:Anchor>
          <t:Comment id="1189104510"/>
        </t:Anchor>
        <t:Assign userId="S::Charlotte.Hollindale@team.telstra.com::5f339608-e47f-48ba-be0d-521e03d3e9f7" userProvider="AD" userName="Hollindale, Charlotte"/>
      </t:Event>
      <t:Event id="{FA9367CF-CEA1-43CC-A3AB-124E9F4A94D1}" time="2022-09-28T10:58:41.368Z">
        <t:Attribution userId="S::rowena.ozard@team.telstra.com::e931c251-7beb-44c0-b6a9-1f7a0f181b5d" userProvider="AD" userName="Ozard, Rowena"/>
        <t:Anchor>
          <t:Comment id="1189104510"/>
        </t:Anchor>
        <t:SetTitle title="If Risk Management is only included in some services (eg Managed VMs) should this be called out here? Or should the entire Risk Management section move to the MSD - same for Cost Optimisation and Compliance Tools @Hollindale, Charlotte"/>
      </t:Event>
    </t:History>
  </t:Task>
  <t:Task id="{6ADA5945-65E9-4E79-919C-8BC5B9E25E38}">
    <t:Anchor>
      <t:Comment id="1445749521"/>
    </t:Anchor>
    <t:History>
      <t:Event id="{ADCB87B0-25A7-4EC2-AAEF-56F85A738BC6}" time="2022-09-28T11:11:49.408Z">
        <t:Attribution userId="S::rowena.ozard@team.telstra.com::e931c251-7beb-44c0-b6a9-1f7a0f181b5d" userProvider="AD" userName="Ozard, Rowena"/>
        <t:Anchor>
          <t:Comment id="1445749521"/>
        </t:Anchor>
        <t:Create/>
      </t:Event>
      <t:Event id="{A9DCAC3B-32EC-4DE7-9634-452F39F91647}" time="2022-09-28T11:11:49.408Z">
        <t:Attribution userId="S::rowena.ozard@team.telstra.com::e931c251-7beb-44c0-b6a9-1f7a0f181b5d" userProvider="AD" userName="Ozard, Rowena"/>
        <t:Anchor>
          <t:Comment id="1445749521"/>
        </t:Anchor>
        <t:Assign userId="S::Charlotte.Hollindale@team.telstra.com::5f339608-e47f-48ba-be0d-521e03d3e9f7" userProvider="AD" userName="Hollindale, Charlotte"/>
      </t:Event>
      <t:Event id="{ADB69C09-5E34-4BA1-9C18-3D2AE33DA8D6}" time="2022-09-28T11:11:49.408Z">
        <t:Attribution userId="S::rowena.ozard@team.telstra.com::e931c251-7beb-44c0-b6a9-1f7a0f181b5d" userProvider="AD" userName="Ozard, Rowena"/>
        <t:Anchor>
          <t:Comment id="1445749521"/>
        </t:Anchor>
        <t:SetTitle title="There is no minimum term for some of the sevices such as as Managed VMs, where daily usage applies and cusotmers can cancel at any time with 7 days written noticer @Hollindale, Charlot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 W o r k i n g ! 7 1 7 6 3 9 7 6 . 4 < / d o c u m e n t i d >  
     < s e n d e r i d > J P E R I E R < / s e n d e r i d >  
     < s e n d e r e m a i l > J P E R I E R @ M C C U L L O U G H . C O M . A U < / s e n d e r e m a i l >  
     < l a s t m o d i f i e d > 2 0 2 3 - 1 0 - 3 0 T 1 6 : 2 7 : 0 0 . 0 0 0 0 0 0 0 + 1 1 : 0 0 < / l a s t m o d i f i e d >  
     < d a t a b a s e > W o r k i n g < / 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AATUC-1823800632-102055</_dlc_DocId>
    <_dlc_DocIdUrl xmlns="2a7a03ce-2042-4c5f-90e9-1f29c56988a9">
      <Url>https://teamtelstra.sharepoint.com/sites/DigitalSystems/_layouts/15/DocIdRedir.aspx?ID=AATUC-1823800632-102055</Url>
      <Description>AATUC-1823800632-102055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37537B-164E-457A-8E42-AA3D5C045E98}">
  <ds:schemaRefs>
    <ds:schemaRef ds:uri="http://schemas.openxmlformats.org/officeDocument/2006/bibliography"/>
  </ds:schemaRefs>
</ds:datastoreItem>
</file>

<file path=customXml/itemProps2.xml><?xml version="1.0" encoding="utf-8"?>
<ds:datastoreItem xmlns:ds="http://schemas.openxmlformats.org/officeDocument/2006/customXml" ds:itemID="{501E2123-125D-4858-B1E0-887F18B1D849}">
  <ds:schemaRefs>
    <ds:schemaRef ds:uri="http://www.imanage.com/work/xmlschema"/>
  </ds:schemaRefs>
</ds:datastoreItem>
</file>

<file path=customXml/itemProps3.xml><?xml version="1.0" encoding="utf-8"?>
<ds:datastoreItem xmlns:ds="http://schemas.openxmlformats.org/officeDocument/2006/customXml" ds:itemID="{F27E1D58-2988-4EF7-97D3-83B253DEEEBD}">
  <ds:schemaRefs>
    <ds:schemaRef ds:uri="http://schemas.microsoft.com/sharepoint/v3/contenttype/forms"/>
  </ds:schemaRefs>
</ds:datastoreItem>
</file>

<file path=customXml/itemProps4.xml><?xml version="1.0" encoding="utf-8"?>
<ds:datastoreItem xmlns:ds="http://schemas.openxmlformats.org/officeDocument/2006/customXml" ds:itemID="{A3728700-0F55-4204-998C-405E5D7DC5B6}">
  <ds:schemaRefs>
    <ds:schemaRef ds:uri="http://schemas.microsoft.com/office/2006/metadata/properties"/>
    <ds:schemaRef ds:uri="http://schemas.microsoft.com/office/infopath/2007/PartnerControls"/>
    <ds:schemaRef ds:uri="3b3c3472-c26d-4372-b6a5-8a949f5af86c"/>
    <ds:schemaRef ds:uri="c9a4e95b-e2a4-4f82-ba0f-15c9562046b7"/>
  </ds:schemaRefs>
</ds:datastoreItem>
</file>

<file path=customXml/itemProps5.xml><?xml version="1.0" encoding="utf-8"?>
<ds:datastoreItem xmlns:ds="http://schemas.openxmlformats.org/officeDocument/2006/customXml" ds:itemID="{67303582-DD1E-4883-83BD-5C3F18B21331}"/>
</file>

<file path=customXml/itemProps6.xml><?xml version="1.0" encoding="utf-8"?>
<ds:datastoreItem xmlns:ds="http://schemas.openxmlformats.org/officeDocument/2006/customXml" ds:itemID="{05C91021-6A07-4CDD-A619-B47D7170D2CC}"/>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Template.dot</Template>
  <TotalTime>1</TotalTime>
  <Pages>31</Pages>
  <Words>10518</Words>
  <Characters>59956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Telstra - Our Customer Terms - Telstra Purple Managed Services</vt:lpstr>
    </vt:vector>
  </TitlesOfParts>
  <Company>Telstra Corporation Limited</Company>
  <LinksUpToDate>false</LinksUpToDate>
  <CharactersWithSpaces>70334</CharactersWithSpaces>
  <SharedDoc>false</SharedDoc>
  <HLinks>
    <vt:vector size="348" baseType="variant">
      <vt:variant>
        <vt:i4>4980806</vt:i4>
      </vt:variant>
      <vt:variant>
        <vt:i4>324</vt:i4>
      </vt:variant>
      <vt:variant>
        <vt:i4>0</vt:i4>
      </vt:variant>
      <vt:variant>
        <vt:i4>5</vt:i4>
      </vt:variant>
      <vt:variant>
        <vt:lpwstr>https://www.telstra.com.au/customer-terms/business-government</vt:lpwstr>
      </vt:variant>
      <vt:variant>
        <vt:lpwstr/>
      </vt:variant>
      <vt:variant>
        <vt:i4>2687018</vt:i4>
      </vt:variant>
      <vt:variant>
        <vt:i4>306</vt:i4>
      </vt:variant>
      <vt:variant>
        <vt:i4>0</vt:i4>
      </vt:variant>
      <vt:variant>
        <vt:i4>5</vt:i4>
      </vt:variant>
      <vt:variant>
        <vt:lpwstr>http://www.telstra.com.au/customer-terms/business-government/index.htm</vt:lpwstr>
      </vt:variant>
      <vt:variant>
        <vt:lpwstr/>
      </vt:variant>
      <vt:variant>
        <vt:i4>2687018</vt:i4>
      </vt:variant>
      <vt:variant>
        <vt:i4>303</vt:i4>
      </vt:variant>
      <vt:variant>
        <vt:i4>0</vt:i4>
      </vt:variant>
      <vt:variant>
        <vt:i4>5</vt:i4>
      </vt:variant>
      <vt:variant>
        <vt:lpwstr>http://www.telstra.com.au/customer-terms/business-government/index.htm</vt:lpwstr>
      </vt:variant>
      <vt:variant>
        <vt:lpwstr/>
      </vt:variant>
      <vt:variant>
        <vt:i4>8192111</vt:i4>
      </vt:variant>
      <vt:variant>
        <vt:i4>300</vt:i4>
      </vt:variant>
      <vt:variant>
        <vt:i4>0</vt:i4>
      </vt:variant>
      <vt:variant>
        <vt:i4>5</vt:i4>
      </vt:variant>
      <vt:variant>
        <vt:lpwstr>http://www.telstra.com.au/customer-terms/index.htm</vt:lpwstr>
      </vt:variant>
      <vt:variant>
        <vt:lpwstr/>
      </vt:variant>
      <vt:variant>
        <vt:i4>1245260</vt:i4>
      </vt:variant>
      <vt:variant>
        <vt:i4>297</vt:i4>
      </vt:variant>
      <vt:variant>
        <vt:i4>0</vt:i4>
      </vt:variant>
      <vt:variant>
        <vt:i4>5</vt:i4>
      </vt:variant>
      <vt:variant>
        <vt:lpwstr>http://www.telstra.com.au/customer-terms/business-government/cloud-services/</vt:lpwstr>
      </vt:variant>
      <vt:variant>
        <vt:lpwstr/>
      </vt:variant>
      <vt:variant>
        <vt:i4>1048626</vt:i4>
      </vt:variant>
      <vt:variant>
        <vt:i4>290</vt:i4>
      </vt:variant>
      <vt:variant>
        <vt:i4>0</vt:i4>
      </vt:variant>
      <vt:variant>
        <vt:i4>5</vt:i4>
      </vt:variant>
      <vt:variant>
        <vt:lpwstr/>
      </vt:variant>
      <vt:variant>
        <vt:lpwstr>_Toc131519382</vt:lpwstr>
      </vt:variant>
      <vt:variant>
        <vt:i4>1048626</vt:i4>
      </vt:variant>
      <vt:variant>
        <vt:i4>284</vt:i4>
      </vt:variant>
      <vt:variant>
        <vt:i4>0</vt:i4>
      </vt:variant>
      <vt:variant>
        <vt:i4>5</vt:i4>
      </vt:variant>
      <vt:variant>
        <vt:lpwstr/>
      </vt:variant>
      <vt:variant>
        <vt:lpwstr>_Toc131519381</vt:lpwstr>
      </vt:variant>
      <vt:variant>
        <vt:i4>1048626</vt:i4>
      </vt:variant>
      <vt:variant>
        <vt:i4>278</vt:i4>
      </vt:variant>
      <vt:variant>
        <vt:i4>0</vt:i4>
      </vt:variant>
      <vt:variant>
        <vt:i4>5</vt:i4>
      </vt:variant>
      <vt:variant>
        <vt:lpwstr/>
      </vt:variant>
      <vt:variant>
        <vt:lpwstr>_Toc131519380</vt:lpwstr>
      </vt:variant>
      <vt:variant>
        <vt:i4>2031666</vt:i4>
      </vt:variant>
      <vt:variant>
        <vt:i4>272</vt:i4>
      </vt:variant>
      <vt:variant>
        <vt:i4>0</vt:i4>
      </vt:variant>
      <vt:variant>
        <vt:i4>5</vt:i4>
      </vt:variant>
      <vt:variant>
        <vt:lpwstr/>
      </vt:variant>
      <vt:variant>
        <vt:lpwstr>_Toc131519379</vt:lpwstr>
      </vt:variant>
      <vt:variant>
        <vt:i4>2031666</vt:i4>
      </vt:variant>
      <vt:variant>
        <vt:i4>266</vt:i4>
      </vt:variant>
      <vt:variant>
        <vt:i4>0</vt:i4>
      </vt:variant>
      <vt:variant>
        <vt:i4>5</vt:i4>
      </vt:variant>
      <vt:variant>
        <vt:lpwstr/>
      </vt:variant>
      <vt:variant>
        <vt:lpwstr>_Toc131519378</vt:lpwstr>
      </vt:variant>
      <vt:variant>
        <vt:i4>2031666</vt:i4>
      </vt:variant>
      <vt:variant>
        <vt:i4>260</vt:i4>
      </vt:variant>
      <vt:variant>
        <vt:i4>0</vt:i4>
      </vt:variant>
      <vt:variant>
        <vt:i4>5</vt:i4>
      </vt:variant>
      <vt:variant>
        <vt:lpwstr/>
      </vt:variant>
      <vt:variant>
        <vt:lpwstr>_Toc131519377</vt:lpwstr>
      </vt:variant>
      <vt:variant>
        <vt:i4>2031666</vt:i4>
      </vt:variant>
      <vt:variant>
        <vt:i4>254</vt:i4>
      </vt:variant>
      <vt:variant>
        <vt:i4>0</vt:i4>
      </vt:variant>
      <vt:variant>
        <vt:i4>5</vt:i4>
      </vt:variant>
      <vt:variant>
        <vt:lpwstr/>
      </vt:variant>
      <vt:variant>
        <vt:lpwstr>_Toc131519376</vt:lpwstr>
      </vt:variant>
      <vt:variant>
        <vt:i4>2031666</vt:i4>
      </vt:variant>
      <vt:variant>
        <vt:i4>248</vt:i4>
      </vt:variant>
      <vt:variant>
        <vt:i4>0</vt:i4>
      </vt:variant>
      <vt:variant>
        <vt:i4>5</vt:i4>
      </vt:variant>
      <vt:variant>
        <vt:lpwstr/>
      </vt:variant>
      <vt:variant>
        <vt:lpwstr>_Toc131519375</vt:lpwstr>
      </vt:variant>
      <vt:variant>
        <vt:i4>2031666</vt:i4>
      </vt:variant>
      <vt:variant>
        <vt:i4>242</vt:i4>
      </vt:variant>
      <vt:variant>
        <vt:i4>0</vt:i4>
      </vt:variant>
      <vt:variant>
        <vt:i4>5</vt:i4>
      </vt:variant>
      <vt:variant>
        <vt:lpwstr/>
      </vt:variant>
      <vt:variant>
        <vt:lpwstr>_Toc131519374</vt:lpwstr>
      </vt:variant>
      <vt:variant>
        <vt:i4>2031666</vt:i4>
      </vt:variant>
      <vt:variant>
        <vt:i4>236</vt:i4>
      </vt:variant>
      <vt:variant>
        <vt:i4>0</vt:i4>
      </vt:variant>
      <vt:variant>
        <vt:i4>5</vt:i4>
      </vt:variant>
      <vt:variant>
        <vt:lpwstr/>
      </vt:variant>
      <vt:variant>
        <vt:lpwstr>_Toc131519373</vt:lpwstr>
      </vt:variant>
      <vt:variant>
        <vt:i4>2031666</vt:i4>
      </vt:variant>
      <vt:variant>
        <vt:i4>230</vt:i4>
      </vt:variant>
      <vt:variant>
        <vt:i4>0</vt:i4>
      </vt:variant>
      <vt:variant>
        <vt:i4>5</vt:i4>
      </vt:variant>
      <vt:variant>
        <vt:lpwstr/>
      </vt:variant>
      <vt:variant>
        <vt:lpwstr>_Toc131519372</vt:lpwstr>
      </vt:variant>
      <vt:variant>
        <vt:i4>2031666</vt:i4>
      </vt:variant>
      <vt:variant>
        <vt:i4>224</vt:i4>
      </vt:variant>
      <vt:variant>
        <vt:i4>0</vt:i4>
      </vt:variant>
      <vt:variant>
        <vt:i4>5</vt:i4>
      </vt:variant>
      <vt:variant>
        <vt:lpwstr/>
      </vt:variant>
      <vt:variant>
        <vt:lpwstr>_Toc131519371</vt:lpwstr>
      </vt:variant>
      <vt:variant>
        <vt:i4>2031666</vt:i4>
      </vt:variant>
      <vt:variant>
        <vt:i4>218</vt:i4>
      </vt:variant>
      <vt:variant>
        <vt:i4>0</vt:i4>
      </vt:variant>
      <vt:variant>
        <vt:i4>5</vt:i4>
      </vt:variant>
      <vt:variant>
        <vt:lpwstr/>
      </vt:variant>
      <vt:variant>
        <vt:lpwstr>_Toc131519370</vt:lpwstr>
      </vt:variant>
      <vt:variant>
        <vt:i4>1966130</vt:i4>
      </vt:variant>
      <vt:variant>
        <vt:i4>212</vt:i4>
      </vt:variant>
      <vt:variant>
        <vt:i4>0</vt:i4>
      </vt:variant>
      <vt:variant>
        <vt:i4>5</vt:i4>
      </vt:variant>
      <vt:variant>
        <vt:lpwstr/>
      </vt:variant>
      <vt:variant>
        <vt:lpwstr>_Toc131519369</vt:lpwstr>
      </vt:variant>
      <vt:variant>
        <vt:i4>1966130</vt:i4>
      </vt:variant>
      <vt:variant>
        <vt:i4>206</vt:i4>
      </vt:variant>
      <vt:variant>
        <vt:i4>0</vt:i4>
      </vt:variant>
      <vt:variant>
        <vt:i4>5</vt:i4>
      </vt:variant>
      <vt:variant>
        <vt:lpwstr/>
      </vt:variant>
      <vt:variant>
        <vt:lpwstr>_Toc131519368</vt:lpwstr>
      </vt:variant>
      <vt:variant>
        <vt:i4>1966130</vt:i4>
      </vt:variant>
      <vt:variant>
        <vt:i4>200</vt:i4>
      </vt:variant>
      <vt:variant>
        <vt:i4>0</vt:i4>
      </vt:variant>
      <vt:variant>
        <vt:i4>5</vt:i4>
      </vt:variant>
      <vt:variant>
        <vt:lpwstr/>
      </vt:variant>
      <vt:variant>
        <vt:lpwstr>_Toc131519367</vt:lpwstr>
      </vt:variant>
      <vt:variant>
        <vt:i4>1966130</vt:i4>
      </vt:variant>
      <vt:variant>
        <vt:i4>194</vt:i4>
      </vt:variant>
      <vt:variant>
        <vt:i4>0</vt:i4>
      </vt:variant>
      <vt:variant>
        <vt:i4>5</vt:i4>
      </vt:variant>
      <vt:variant>
        <vt:lpwstr/>
      </vt:variant>
      <vt:variant>
        <vt:lpwstr>_Toc131519366</vt:lpwstr>
      </vt:variant>
      <vt:variant>
        <vt:i4>1966130</vt:i4>
      </vt:variant>
      <vt:variant>
        <vt:i4>188</vt:i4>
      </vt:variant>
      <vt:variant>
        <vt:i4>0</vt:i4>
      </vt:variant>
      <vt:variant>
        <vt:i4>5</vt:i4>
      </vt:variant>
      <vt:variant>
        <vt:lpwstr/>
      </vt:variant>
      <vt:variant>
        <vt:lpwstr>_Toc131519365</vt:lpwstr>
      </vt:variant>
      <vt:variant>
        <vt:i4>1966130</vt:i4>
      </vt:variant>
      <vt:variant>
        <vt:i4>182</vt:i4>
      </vt:variant>
      <vt:variant>
        <vt:i4>0</vt:i4>
      </vt:variant>
      <vt:variant>
        <vt:i4>5</vt:i4>
      </vt:variant>
      <vt:variant>
        <vt:lpwstr/>
      </vt:variant>
      <vt:variant>
        <vt:lpwstr>_Toc131519364</vt:lpwstr>
      </vt:variant>
      <vt:variant>
        <vt:i4>1966130</vt:i4>
      </vt:variant>
      <vt:variant>
        <vt:i4>176</vt:i4>
      </vt:variant>
      <vt:variant>
        <vt:i4>0</vt:i4>
      </vt:variant>
      <vt:variant>
        <vt:i4>5</vt:i4>
      </vt:variant>
      <vt:variant>
        <vt:lpwstr/>
      </vt:variant>
      <vt:variant>
        <vt:lpwstr>_Toc131519363</vt:lpwstr>
      </vt:variant>
      <vt:variant>
        <vt:i4>1966130</vt:i4>
      </vt:variant>
      <vt:variant>
        <vt:i4>170</vt:i4>
      </vt:variant>
      <vt:variant>
        <vt:i4>0</vt:i4>
      </vt:variant>
      <vt:variant>
        <vt:i4>5</vt:i4>
      </vt:variant>
      <vt:variant>
        <vt:lpwstr/>
      </vt:variant>
      <vt:variant>
        <vt:lpwstr>_Toc131519362</vt:lpwstr>
      </vt:variant>
      <vt:variant>
        <vt:i4>1966130</vt:i4>
      </vt:variant>
      <vt:variant>
        <vt:i4>164</vt:i4>
      </vt:variant>
      <vt:variant>
        <vt:i4>0</vt:i4>
      </vt:variant>
      <vt:variant>
        <vt:i4>5</vt:i4>
      </vt:variant>
      <vt:variant>
        <vt:lpwstr/>
      </vt:variant>
      <vt:variant>
        <vt:lpwstr>_Toc131519361</vt:lpwstr>
      </vt:variant>
      <vt:variant>
        <vt:i4>1966130</vt:i4>
      </vt:variant>
      <vt:variant>
        <vt:i4>158</vt:i4>
      </vt:variant>
      <vt:variant>
        <vt:i4>0</vt:i4>
      </vt:variant>
      <vt:variant>
        <vt:i4>5</vt:i4>
      </vt:variant>
      <vt:variant>
        <vt:lpwstr/>
      </vt:variant>
      <vt:variant>
        <vt:lpwstr>_Toc131519360</vt:lpwstr>
      </vt:variant>
      <vt:variant>
        <vt:i4>1900594</vt:i4>
      </vt:variant>
      <vt:variant>
        <vt:i4>152</vt:i4>
      </vt:variant>
      <vt:variant>
        <vt:i4>0</vt:i4>
      </vt:variant>
      <vt:variant>
        <vt:i4>5</vt:i4>
      </vt:variant>
      <vt:variant>
        <vt:lpwstr/>
      </vt:variant>
      <vt:variant>
        <vt:lpwstr>_Toc131519359</vt:lpwstr>
      </vt:variant>
      <vt:variant>
        <vt:i4>1900594</vt:i4>
      </vt:variant>
      <vt:variant>
        <vt:i4>146</vt:i4>
      </vt:variant>
      <vt:variant>
        <vt:i4>0</vt:i4>
      </vt:variant>
      <vt:variant>
        <vt:i4>5</vt:i4>
      </vt:variant>
      <vt:variant>
        <vt:lpwstr/>
      </vt:variant>
      <vt:variant>
        <vt:lpwstr>_Toc131519358</vt:lpwstr>
      </vt:variant>
      <vt:variant>
        <vt:i4>1900594</vt:i4>
      </vt:variant>
      <vt:variant>
        <vt:i4>140</vt:i4>
      </vt:variant>
      <vt:variant>
        <vt:i4>0</vt:i4>
      </vt:variant>
      <vt:variant>
        <vt:i4>5</vt:i4>
      </vt:variant>
      <vt:variant>
        <vt:lpwstr/>
      </vt:variant>
      <vt:variant>
        <vt:lpwstr>_Toc131519357</vt:lpwstr>
      </vt:variant>
      <vt:variant>
        <vt:i4>1900594</vt:i4>
      </vt:variant>
      <vt:variant>
        <vt:i4>134</vt:i4>
      </vt:variant>
      <vt:variant>
        <vt:i4>0</vt:i4>
      </vt:variant>
      <vt:variant>
        <vt:i4>5</vt:i4>
      </vt:variant>
      <vt:variant>
        <vt:lpwstr/>
      </vt:variant>
      <vt:variant>
        <vt:lpwstr>_Toc131519356</vt:lpwstr>
      </vt:variant>
      <vt:variant>
        <vt:i4>1900594</vt:i4>
      </vt:variant>
      <vt:variant>
        <vt:i4>128</vt:i4>
      </vt:variant>
      <vt:variant>
        <vt:i4>0</vt:i4>
      </vt:variant>
      <vt:variant>
        <vt:i4>5</vt:i4>
      </vt:variant>
      <vt:variant>
        <vt:lpwstr/>
      </vt:variant>
      <vt:variant>
        <vt:lpwstr>_Toc131519355</vt:lpwstr>
      </vt:variant>
      <vt:variant>
        <vt:i4>1900594</vt:i4>
      </vt:variant>
      <vt:variant>
        <vt:i4>122</vt:i4>
      </vt:variant>
      <vt:variant>
        <vt:i4>0</vt:i4>
      </vt:variant>
      <vt:variant>
        <vt:i4>5</vt:i4>
      </vt:variant>
      <vt:variant>
        <vt:lpwstr/>
      </vt:variant>
      <vt:variant>
        <vt:lpwstr>_Toc131519354</vt:lpwstr>
      </vt:variant>
      <vt:variant>
        <vt:i4>1900594</vt:i4>
      </vt:variant>
      <vt:variant>
        <vt:i4>116</vt:i4>
      </vt:variant>
      <vt:variant>
        <vt:i4>0</vt:i4>
      </vt:variant>
      <vt:variant>
        <vt:i4>5</vt:i4>
      </vt:variant>
      <vt:variant>
        <vt:lpwstr/>
      </vt:variant>
      <vt:variant>
        <vt:lpwstr>_Toc131519353</vt:lpwstr>
      </vt:variant>
      <vt:variant>
        <vt:i4>1900594</vt:i4>
      </vt:variant>
      <vt:variant>
        <vt:i4>110</vt:i4>
      </vt:variant>
      <vt:variant>
        <vt:i4>0</vt:i4>
      </vt:variant>
      <vt:variant>
        <vt:i4>5</vt:i4>
      </vt:variant>
      <vt:variant>
        <vt:lpwstr/>
      </vt:variant>
      <vt:variant>
        <vt:lpwstr>_Toc131519352</vt:lpwstr>
      </vt:variant>
      <vt:variant>
        <vt:i4>1900594</vt:i4>
      </vt:variant>
      <vt:variant>
        <vt:i4>104</vt:i4>
      </vt:variant>
      <vt:variant>
        <vt:i4>0</vt:i4>
      </vt:variant>
      <vt:variant>
        <vt:i4>5</vt:i4>
      </vt:variant>
      <vt:variant>
        <vt:lpwstr/>
      </vt:variant>
      <vt:variant>
        <vt:lpwstr>_Toc131519351</vt:lpwstr>
      </vt:variant>
      <vt:variant>
        <vt:i4>1900594</vt:i4>
      </vt:variant>
      <vt:variant>
        <vt:i4>98</vt:i4>
      </vt:variant>
      <vt:variant>
        <vt:i4>0</vt:i4>
      </vt:variant>
      <vt:variant>
        <vt:i4>5</vt:i4>
      </vt:variant>
      <vt:variant>
        <vt:lpwstr/>
      </vt:variant>
      <vt:variant>
        <vt:lpwstr>_Toc131519350</vt:lpwstr>
      </vt:variant>
      <vt:variant>
        <vt:i4>1835058</vt:i4>
      </vt:variant>
      <vt:variant>
        <vt:i4>92</vt:i4>
      </vt:variant>
      <vt:variant>
        <vt:i4>0</vt:i4>
      </vt:variant>
      <vt:variant>
        <vt:i4>5</vt:i4>
      </vt:variant>
      <vt:variant>
        <vt:lpwstr/>
      </vt:variant>
      <vt:variant>
        <vt:lpwstr>_Toc131519349</vt:lpwstr>
      </vt:variant>
      <vt:variant>
        <vt:i4>1835058</vt:i4>
      </vt:variant>
      <vt:variant>
        <vt:i4>86</vt:i4>
      </vt:variant>
      <vt:variant>
        <vt:i4>0</vt:i4>
      </vt:variant>
      <vt:variant>
        <vt:i4>5</vt:i4>
      </vt:variant>
      <vt:variant>
        <vt:lpwstr/>
      </vt:variant>
      <vt:variant>
        <vt:lpwstr>_Toc131519348</vt:lpwstr>
      </vt:variant>
      <vt:variant>
        <vt:i4>1835058</vt:i4>
      </vt:variant>
      <vt:variant>
        <vt:i4>80</vt:i4>
      </vt:variant>
      <vt:variant>
        <vt:i4>0</vt:i4>
      </vt:variant>
      <vt:variant>
        <vt:i4>5</vt:i4>
      </vt:variant>
      <vt:variant>
        <vt:lpwstr/>
      </vt:variant>
      <vt:variant>
        <vt:lpwstr>_Toc131519347</vt:lpwstr>
      </vt:variant>
      <vt:variant>
        <vt:i4>1835058</vt:i4>
      </vt:variant>
      <vt:variant>
        <vt:i4>74</vt:i4>
      </vt:variant>
      <vt:variant>
        <vt:i4>0</vt:i4>
      </vt:variant>
      <vt:variant>
        <vt:i4>5</vt:i4>
      </vt:variant>
      <vt:variant>
        <vt:lpwstr/>
      </vt:variant>
      <vt:variant>
        <vt:lpwstr>_Toc131519346</vt:lpwstr>
      </vt:variant>
      <vt:variant>
        <vt:i4>1835058</vt:i4>
      </vt:variant>
      <vt:variant>
        <vt:i4>68</vt:i4>
      </vt:variant>
      <vt:variant>
        <vt:i4>0</vt:i4>
      </vt:variant>
      <vt:variant>
        <vt:i4>5</vt:i4>
      </vt:variant>
      <vt:variant>
        <vt:lpwstr/>
      </vt:variant>
      <vt:variant>
        <vt:lpwstr>_Toc131519345</vt:lpwstr>
      </vt:variant>
      <vt:variant>
        <vt:i4>1835058</vt:i4>
      </vt:variant>
      <vt:variant>
        <vt:i4>62</vt:i4>
      </vt:variant>
      <vt:variant>
        <vt:i4>0</vt:i4>
      </vt:variant>
      <vt:variant>
        <vt:i4>5</vt:i4>
      </vt:variant>
      <vt:variant>
        <vt:lpwstr/>
      </vt:variant>
      <vt:variant>
        <vt:lpwstr>_Toc131519344</vt:lpwstr>
      </vt:variant>
      <vt:variant>
        <vt:i4>1835058</vt:i4>
      </vt:variant>
      <vt:variant>
        <vt:i4>56</vt:i4>
      </vt:variant>
      <vt:variant>
        <vt:i4>0</vt:i4>
      </vt:variant>
      <vt:variant>
        <vt:i4>5</vt:i4>
      </vt:variant>
      <vt:variant>
        <vt:lpwstr/>
      </vt:variant>
      <vt:variant>
        <vt:lpwstr>_Toc131519343</vt:lpwstr>
      </vt:variant>
      <vt:variant>
        <vt:i4>1835058</vt:i4>
      </vt:variant>
      <vt:variant>
        <vt:i4>50</vt:i4>
      </vt:variant>
      <vt:variant>
        <vt:i4>0</vt:i4>
      </vt:variant>
      <vt:variant>
        <vt:i4>5</vt:i4>
      </vt:variant>
      <vt:variant>
        <vt:lpwstr/>
      </vt:variant>
      <vt:variant>
        <vt:lpwstr>_Toc131519342</vt:lpwstr>
      </vt:variant>
      <vt:variant>
        <vt:i4>1835058</vt:i4>
      </vt:variant>
      <vt:variant>
        <vt:i4>44</vt:i4>
      </vt:variant>
      <vt:variant>
        <vt:i4>0</vt:i4>
      </vt:variant>
      <vt:variant>
        <vt:i4>5</vt:i4>
      </vt:variant>
      <vt:variant>
        <vt:lpwstr/>
      </vt:variant>
      <vt:variant>
        <vt:lpwstr>_Toc131519341</vt:lpwstr>
      </vt:variant>
      <vt:variant>
        <vt:i4>1835058</vt:i4>
      </vt:variant>
      <vt:variant>
        <vt:i4>38</vt:i4>
      </vt:variant>
      <vt:variant>
        <vt:i4>0</vt:i4>
      </vt:variant>
      <vt:variant>
        <vt:i4>5</vt:i4>
      </vt:variant>
      <vt:variant>
        <vt:lpwstr/>
      </vt:variant>
      <vt:variant>
        <vt:lpwstr>_Toc131519340</vt:lpwstr>
      </vt:variant>
      <vt:variant>
        <vt:i4>1769522</vt:i4>
      </vt:variant>
      <vt:variant>
        <vt:i4>32</vt:i4>
      </vt:variant>
      <vt:variant>
        <vt:i4>0</vt:i4>
      </vt:variant>
      <vt:variant>
        <vt:i4>5</vt:i4>
      </vt:variant>
      <vt:variant>
        <vt:lpwstr/>
      </vt:variant>
      <vt:variant>
        <vt:lpwstr>_Toc131519339</vt:lpwstr>
      </vt:variant>
      <vt:variant>
        <vt:i4>1769522</vt:i4>
      </vt:variant>
      <vt:variant>
        <vt:i4>26</vt:i4>
      </vt:variant>
      <vt:variant>
        <vt:i4>0</vt:i4>
      </vt:variant>
      <vt:variant>
        <vt:i4>5</vt:i4>
      </vt:variant>
      <vt:variant>
        <vt:lpwstr/>
      </vt:variant>
      <vt:variant>
        <vt:lpwstr>_Toc131519338</vt:lpwstr>
      </vt:variant>
      <vt:variant>
        <vt:i4>1769522</vt:i4>
      </vt:variant>
      <vt:variant>
        <vt:i4>20</vt:i4>
      </vt:variant>
      <vt:variant>
        <vt:i4>0</vt:i4>
      </vt:variant>
      <vt:variant>
        <vt:i4>5</vt:i4>
      </vt:variant>
      <vt:variant>
        <vt:lpwstr/>
      </vt:variant>
      <vt:variant>
        <vt:lpwstr>_Toc131519337</vt:lpwstr>
      </vt:variant>
      <vt:variant>
        <vt:i4>1769522</vt:i4>
      </vt:variant>
      <vt:variant>
        <vt:i4>14</vt:i4>
      </vt:variant>
      <vt:variant>
        <vt:i4>0</vt:i4>
      </vt:variant>
      <vt:variant>
        <vt:i4>5</vt:i4>
      </vt:variant>
      <vt:variant>
        <vt:lpwstr/>
      </vt:variant>
      <vt:variant>
        <vt:lpwstr>_Toc131519336</vt:lpwstr>
      </vt:variant>
      <vt:variant>
        <vt:i4>1769522</vt:i4>
      </vt:variant>
      <vt:variant>
        <vt:i4>8</vt:i4>
      </vt:variant>
      <vt:variant>
        <vt:i4>0</vt:i4>
      </vt:variant>
      <vt:variant>
        <vt:i4>5</vt:i4>
      </vt:variant>
      <vt:variant>
        <vt:lpwstr/>
      </vt:variant>
      <vt:variant>
        <vt:lpwstr>_Toc131519335</vt:lpwstr>
      </vt:variant>
      <vt:variant>
        <vt:i4>1769522</vt:i4>
      </vt:variant>
      <vt:variant>
        <vt:i4>2</vt:i4>
      </vt:variant>
      <vt:variant>
        <vt:i4>0</vt:i4>
      </vt:variant>
      <vt:variant>
        <vt:i4>5</vt:i4>
      </vt:variant>
      <vt:variant>
        <vt:lpwstr/>
      </vt:variant>
      <vt:variant>
        <vt:lpwstr>_Toc131519334</vt:lpwstr>
      </vt:variant>
      <vt:variant>
        <vt:i4>6553685</vt:i4>
      </vt:variant>
      <vt:variant>
        <vt:i4>39</vt:i4>
      </vt:variant>
      <vt:variant>
        <vt:i4>0</vt:i4>
      </vt:variant>
      <vt:variant>
        <vt:i4>5</vt:i4>
      </vt:variant>
      <vt:variant>
        <vt:lpwstr>mailto:Rowena.Ozard@team.telstra.com</vt:lpwstr>
      </vt:variant>
      <vt:variant>
        <vt:lpwstr/>
      </vt:variant>
      <vt:variant>
        <vt:i4>852016</vt:i4>
      </vt:variant>
      <vt:variant>
        <vt:i4>33</vt:i4>
      </vt:variant>
      <vt:variant>
        <vt:i4>0</vt:i4>
      </vt:variant>
      <vt:variant>
        <vt:i4>5</vt:i4>
      </vt:variant>
      <vt:variant>
        <vt:lpwstr>mailto:Luke.MacKenzie@team.telstra.com</vt:lpwstr>
      </vt:variant>
      <vt:variant>
        <vt:lpwstr/>
      </vt:variant>
      <vt:variant>
        <vt:i4>8126554</vt:i4>
      </vt:variant>
      <vt:variant>
        <vt:i4>30</vt:i4>
      </vt:variant>
      <vt:variant>
        <vt:i4>0</vt:i4>
      </vt:variant>
      <vt:variant>
        <vt:i4>5</vt:i4>
      </vt:variant>
      <vt:variant>
        <vt:lpwstr>mailto:Sandra.Hague@team.telstra.com</vt:lpwstr>
      </vt:variant>
      <vt:variant>
        <vt:lpwstr/>
      </vt:variant>
      <vt:variant>
        <vt:i4>2949123</vt:i4>
      </vt:variant>
      <vt:variant>
        <vt:i4>6</vt:i4>
      </vt:variant>
      <vt:variant>
        <vt:i4>0</vt:i4>
      </vt:variant>
      <vt:variant>
        <vt:i4>5</vt:i4>
      </vt:variant>
      <vt:variant>
        <vt:lpwstr>mailto:James.Garner@team.telstra.com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Purple Managed Services</dc:title>
  <dc:subject/>
  <dc:creator>Telstra Limited</dc:creator>
  <cp:keywords>Telstra, our customer terms, OCT, cloud services, cloud infrastructure, telstra purple, managed services, service components, service configuration, monitoring and event management, problem management, service request management, change enablement, release management, deployment managment, capacity and performance management, service level management, measurement and reporting, relationship management, obligtions, exclusions, charges.</cp:keywords>
  <dc:description/>
  <cp:lastModifiedBy>Lorraine Greenaway</cp:lastModifiedBy>
  <cp:revision>2</cp:revision>
  <cp:lastPrinted>2025-09-08T02:08:00Z</cp:lastPrinted>
  <dcterms:created xsi:type="dcterms:W3CDTF">2025-09-08T04:24:00Z</dcterms:created>
  <dcterms:modified xsi:type="dcterms:W3CDTF">2025-09-08T04:24:00Z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Con">
    <vt:lpwstr/>
  </property>
  <property fmtid="{D5CDD505-2E9C-101B-9397-08002B2CF9AE}" pid="3" name="EmFromName">
    <vt:lpwstr/>
  </property>
  <property fmtid="{D5CDD505-2E9C-101B-9397-08002B2CF9AE}" pid="4" name="EmCC">
    <vt:lpwstr/>
  </property>
  <property fmtid="{D5CDD505-2E9C-101B-9397-08002B2CF9AE}" pid="5" name="EmFrom">
    <vt:lpwstr/>
  </property>
  <property fmtid="{D5CDD505-2E9C-101B-9397-08002B2CF9AE}" pid="6" name="EmTo">
    <vt:lpwstr/>
  </property>
  <property fmtid="{D5CDD505-2E9C-101B-9397-08002B2CF9AE}" pid="7" name="EmType">
    <vt:lpwstr/>
  </property>
  <property fmtid="{D5CDD505-2E9C-101B-9397-08002B2CF9AE}" pid="8" name="EmSubject">
    <vt:lpwstr/>
  </property>
  <property fmtid="{D5CDD505-2E9C-101B-9397-08002B2CF9AE}" pid="9" name="EmAttachCount">
    <vt:lpwstr/>
  </property>
  <property fmtid="{D5CDD505-2E9C-101B-9397-08002B2CF9AE}" pid="10" name="EmBCC">
    <vt:lpwstr/>
  </property>
  <property fmtid="{D5CDD505-2E9C-101B-9397-08002B2CF9AE}" pid="11" name="EmID">
    <vt:lpwstr/>
  </property>
  <property fmtid="{D5CDD505-2E9C-101B-9397-08002B2CF9AE}" pid="12" name="EmCategory">
    <vt:lpwstr/>
  </property>
  <property fmtid="{D5CDD505-2E9C-101B-9397-08002B2CF9AE}" pid="13" name="EmBody">
    <vt:lpwstr/>
  </property>
  <property fmtid="{D5CDD505-2E9C-101B-9397-08002B2CF9AE}" pid="14" name="ClassificationContentMarkingFooterShapeIds">
    <vt:lpwstr>5,6,7</vt:lpwstr>
  </property>
  <property fmtid="{D5CDD505-2E9C-101B-9397-08002B2CF9AE}" pid="15" name="ClassificationContentMarkingFooterFontProps">
    <vt:lpwstr>#000000,10,Calibri</vt:lpwstr>
  </property>
  <property fmtid="{D5CDD505-2E9C-101B-9397-08002B2CF9AE}" pid="16" name="ClassificationContentMarkingFooterText">
    <vt:lpwstr>General</vt:lpwstr>
  </property>
  <property fmtid="{D5CDD505-2E9C-101B-9397-08002B2CF9AE}" pid="17" name="_dlc_DocIdItemGuid">
    <vt:lpwstr>95a3e9d0-4ff8-4239-9e5f-318063a9efe8</vt:lpwstr>
  </property>
  <property fmtid="{D5CDD505-2E9C-101B-9397-08002B2CF9AE}" pid="18" name="MediaServiceImageTags">
    <vt:lpwstr/>
  </property>
  <property fmtid="{D5CDD505-2E9C-101B-9397-08002B2CF9AE}" pid="19" name="PCDocsNo">
    <vt:lpwstr>3442-2501-5868v1</vt:lpwstr>
  </property>
  <property fmtid="{D5CDD505-2E9C-101B-9397-08002B2CF9AE}" pid="20" name="ContentTypeId">
    <vt:lpwstr>0x010100CE3B1D3E7822C549A581B067E19CC315</vt:lpwstr>
  </property>
</Properties>
</file>