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55FB9" w14:textId="77777777" w:rsidR="00127A10" w:rsidRPr="000B2230" w:rsidRDefault="00127A10" w:rsidP="00127A10">
      <w:pPr>
        <w:pStyle w:val="TOCHeading"/>
      </w:pPr>
      <w:r w:rsidRPr="000B2230">
        <w:t>Contents</w:t>
      </w:r>
    </w:p>
    <w:p w14:paraId="44D62B53" w14:textId="77777777" w:rsidR="00127A10" w:rsidRPr="000B2230" w:rsidRDefault="00127A10" w:rsidP="00127A10">
      <w:pPr>
        <w:pStyle w:val="TOC1"/>
        <w:tabs>
          <w:tab w:val="left" w:pos="1474"/>
        </w:tabs>
        <w:spacing w:before="0" w:after="240"/>
        <w:rPr>
          <w:b w:val="0"/>
          <w:bCs/>
        </w:rPr>
      </w:pPr>
      <w:r w:rsidRPr="000B2230">
        <w:rPr>
          <w:b w:val="0"/>
          <w:bCs/>
        </w:rPr>
        <w:t>Click on the section that you are interested in.</w:t>
      </w:r>
    </w:p>
    <w:p w14:paraId="78BFD315" w14:textId="02E347D3" w:rsidR="003815E3" w:rsidRDefault="00127A1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0B2230">
        <w:fldChar w:fldCharType="begin"/>
      </w:r>
      <w:r w:rsidRPr="000B2230">
        <w:instrText xml:space="preserve"> TOC \h \z \t "Heading 1,1,Indent 1,2" </w:instrText>
      </w:r>
      <w:r w:rsidRPr="000B2230">
        <w:fldChar w:fldCharType="separate"/>
      </w:r>
      <w:hyperlink w:anchor="_Toc174364144" w:history="1">
        <w:r w:rsidR="003815E3" w:rsidRPr="00B32275">
          <w:rPr>
            <w:rStyle w:val="Hyperlink"/>
            <w:noProof/>
          </w:rPr>
          <w:t>1</w:t>
        </w:r>
        <w:r w:rsidR="003815E3">
          <w:rPr>
            <w:rFonts w:asciiTheme="minorHAnsi" w:eastAsiaTheme="minorEastAsia" w:hAnsiTheme="minorHAnsi" w:cstheme="minorBidi"/>
            <w:b w:val="0"/>
            <w:noProof/>
            <w:kern w:val="2"/>
            <w:sz w:val="24"/>
            <w:szCs w:val="24"/>
            <w:lang w:eastAsia="en-AU"/>
            <w14:ligatures w14:val="standardContextual"/>
          </w:rPr>
          <w:tab/>
        </w:r>
        <w:r w:rsidR="003815E3" w:rsidRPr="00B32275">
          <w:rPr>
            <w:rStyle w:val="Hyperlink"/>
            <w:noProof/>
          </w:rPr>
          <w:t>About this Part</w:t>
        </w:r>
        <w:r w:rsidR="003815E3">
          <w:rPr>
            <w:noProof/>
            <w:webHidden/>
          </w:rPr>
          <w:tab/>
        </w:r>
        <w:r w:rsidR="003815E3">
          <w:rPr>
            <w:noProof/>
            <w:webHidden/>
          </w:rPr>
          <w:fldChar w:fldCharType="begin"/>
        </w:r>
        <w:r w:rsidR="003815E3">
          <w:rPr>
            <w:noProof/>
            <w:webHidden/>
          </w:rPr>
          <w:instrText xml:space="preserve"> PAGEREF _Toc174364144 \h </w:instrText>
        </w:r>
        <w:r w:rsidR="003815E3">
          <w:rPr>
            <w:noProof/>
            <w:webHidden/>
          </w:rPr>
        </w:r>
        <w:r w:rsidR="003815E3">
          <w:rPr>
            <w:noProof/>
            <w:webHidden/>
          </w:rPr>
          <w:fldChar w:fldCharType="separate"/>
        </w:r>
        <w:r w:rsidR="00C55C6E">
          <w:rPr>
            <w:noProof/>
            <w:webHidden/>
          </w:rPr>
          <w:t>2</w:t>
        </w:r>
        <w:r w:rsidR="003815E3">
          <w:rPr>
            <w:noProof/>
            <w:webHidden/>
          </w:rPr>
          <w:fldChar w:fldCharType="end"/>
        </w:r>
      </w:hyperlink>
    </w:p>
    <w:p w14:paraId="7211B8E6" w14:textId="3D4D515B" w:rsidR="003815E3" w:rsidRDefault="0063334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4364145" w:history="1">
        <w:r w:rsidR="003815E3" w:rsidRPr="00B32275">
          <w:rPr>
            <w:rStyle w:val="Hyperlink"/>
            <w:noProof/>
          </w:rPr>
          <w:t>2</w:t>
        </w:r>
        <w:r w:rsidR="003815E3">
          <w:rPr>
            <w:rFonts w:asciiTheme="minorHAnsi" w:eastAsiaTheme="minorEastAsia" w:hAnsiTheme="minorHAnsi" w:cstheme="minorBidi"/>
            <w:b w:val="0"/>
            <w:noProof/>
            <w:kern w:val="2"/>
            <w:sz w:val="24"/>
            <w:szCs w:val="24"/>
            <w:lang w:eastAsia="en-AU"/>
            <w14:ligatures w14:val="standardContextual"/>
          </w:rPr>
          <w:tab/>
        </w:r>
        <w:r w:rsidR="003815E3" w:rsidRPr="00B32275">
          <w:rPr>
            <w:rStyle w:val="Hyperlink"/>
            <w:noProof/>
          </w:rPr>
          <w:t>Telstra Analyser Online</w:t>
        </w:r>
        <w:r w:rsidR="003815E3">
          <w:rPr>
            <w:noProof/>
            <w:webHidden/>
          </w:rPr>
          <w:tab/>
        </w:r>
        <w:r w:rsidR="003815E3">
          <w:rPr>
            <w:noProof/>
            <w:webHidden/>
          </w:rPr>
          <w:fldChar w:fldCharType="begin"/>
        </w:r>
        <w:r w:rsidR="003815E3">
          <w:rPr>
            <w:noProof/>
            <w:webHidden/>
          </w:rPr>
          <w:instrText xml:space="preserve"> PAGEREF _Toc174364145 \h </w:instrText>
        </w:r>
        <w:r w:rsidR="003815E3">
          <w:rPr>
            <w:noProof/>
            <w:webHidden/>
          </w:rPr>
        </w:r>
        <w:r w:rsidR="003815E3">
          <w:rPr>
            <w:noProof/>
            <w:webHidden/>
          </w:rPr>
          <w:fldChar w:fldCharType="separate"/>
        </w:r>
        <w:r w:rsidR="00C55C6E">
          <w:rPr>
            <w:noProof/>
            <w:webHidden/>
          </w:rPr>
          <w:t>2</w:t>
        </w:r>
        <w:r w:rsidR="003815E3">
          <w:rPr>
            <w:noProof/>
            <w:webHidden/>
          </w:rPr>
          <w:fldChar w:fldCharType="end"/>
        </w:r>
      </w:hyperlink>
    </w:p>
    <w:p w14:paraId="2CEF3B87" w14:textId="063C7F4D"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46" w:history="1">
        <w:r w:rsidR="003815E3" w:rsidRPr="00B32275">
          <w:rPr>
            <w:rStyle w:val="Hyperlink"/>
            <w:noProof/>
          </w:rPr>
          <w:t>What is Telstra Analyser Online?</w:t>
        </w:r>
        <w:r w:rsidR="003815E3">
          <w:rPr>
            <w:noProof/>
            <w:webHidden/>
          </w:rPr>
          <w:tab/>
        </w:r>
        <w:r w:rsidR="003815E3">
          <w:rPr>
            <w:noProof/>
            <w:webHidden/>
          </w:rPr>
          <w:fldChar w:fldCharType="begin"/>
        </w:r>
        <w:r w:rsidR="003815E3">
          <w:rPr>
            <w:noProof/>
            <w:webHidden/>
          </w:rPr>
          <w:instrText xml:space="preserve"> PAGEREF _Toc174364146 \h </w:instrText>
        </w:r>
        <w:r w:rsidR="003815E3">
          <w:rPr>
            <w:noProof/>
            <w:webHidden/>
          </w:rPr>
        </w:r>
        <w:r w:rsidR="003815E3">
          <w:rPr>
            <w:noProof/>
            <w:webHidden/>
          </w:rPr>
          <w:fldChar w:fldCharType="separate"/>
        </w:r>
        <w:r w:rsidR="00C55C6E">
          <w:rPr>
            <w:noProof/>
            <w:webHidden/>
          </w:rPr>
          <w:t>2</w:t>
        </w:r>
        <w:r w:rsidR="003815E3">
          <w:rPr>
            <w:noProof/>
            <w:webHidden/>
          </w:rPr>
          <w:fldChar w:fldCharType="end"/>
        </w:r>
      </w:hyperlink>
    </w:p>
    <w:p w14:paraId="70CB7A23" w14:textId="5D342253"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47" w:history="1">
        <w:r w:rsidR="003815E3" w:rsidRPr="00B32275">
          <w:rPr>
            <w:rStyle w:val="Hyperlink"/>
            <w:noProof/>
          </w:rPr>
          <w:t>Access to your reports</w:t>
        </w:r>
        <w:r w:rsidR="003815E3">
          <w:rPr>
            <w:noProof/>
            <w:webHidden/>
          </w:rPr>
          <w:tab/>
        </w:r>
        <w:r w:rsidR="003815E3">
          <w:rPr>
            <w:noProof/>
            <w:webHidden/>
          </w:rPr>
          <w:fldChar w:fldCharType="begin"/>
        </w:r>
        <w:r w:rsidR="003815E3">
          <w:rPr>
            <w:noProof/>
            <w:webHidden/>
          </w:rPr>
          <w:instrText xml:space="preserve"> PAGEREF _Toc174364147 \h </w:instrText>
        </w:r>
        <w:r w:rsidR="003815E3">
          <w:rPr>
            <w:noProof/>
            <w:webHidden/>
          </w:rPr>
        </w:r>
        <w:r w:rsidR="003815E3">
          <w:rPr>
            <w:noProof/>
            <w:webHidden/>
          </w:rPr>
          <w:fldChar w:fldCharType="separate"/>
        </w:r>
        <w:r w:rsidR="00C55C6E">
          <w:rPr>
            <w:noProof/>
            <w:webHidden/>
          </w:rPr>
          <w:t>4</w:t>
        </w:r>
        <w:r w:rsidR="003815E3">
          <w:rPr>
            <w:noProof/>
            <w:webHidden/>
          </w:rPr>
          <w:fldChar w:fldCharType="end"/>
        </w:r>
      </w:hyperlink>
    </w:p>
    <w:p w14:paraId="49199796" w14:textId="4190E749"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48" w:history="1">
        <w:r w:rsidR="003815E3" w:rsidRPr="00B32275">
          <w:rPr>
            <w:rStyle w:val="Hyperlink"/>
            <w:noProof/>
          </w:rPr>
          <w:t>What you need for Telstra Analyser Online</w:t>
        </w:r>
        <w:r w:rsidR="003815E3">
          <w:rPr>
            <w:noProof/>
            <w:webHidden/>
          </w:rPr>
          <w:tab/>
        </w:r>
        <w:r w:rsidR="003815E3">
          <w:rPr>
            <w:noProof/>
            <w:webHidden/>
          </w:rPr>
          <w:fldChar w:fldCharType="begin"/>
        </w:r>
        <w:r w:rsidR="003815E3">
          <w:rPr>
            <w:noProof/>
            <w:webHidden/>
          </w:rPr>
          <w:instrText xml:space="preserve"> PAGEREF _Toc174364148 \h </w:instrText>
        </w:r>
        <w:r w:rsidR="003815E3">
          <w:rPr>
            <w:noProof/>
            <w:webHidden/>
          </w:rPr>
        </w:r>
        <w:r w:rsidR="003815E3">
          <w:rPr>
            <w:noProof/>
            <w:webHidden/>
          </w:rPr>
          <w:fldChar w:fldCharType="separate"/>
        </w:r>
        <w:r w:rsidR="00C55C6E">
          <w:rPr>
            <w:noProof/>
            <w:webHidden/>
          </w:rPr>
          <w:t>5</w:t>
        </w:r>
        <w:r w:rsidR="003815E3">
          <w:rPr>
            <w:noProof/>
            <w:webHidden/>
          </w:rPr>
          <w:fldChar w:fldCharType="end"/>
        </w:r>
      </w:hyperlink>
    </w:p>
    <w:p w14:paraId="75D92D88" w14:textId="478A2D6C"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49" w:history="1">
        <w:r w:rsidR="003815E3" w:rsidRPr="00B32275">
          <w:rPr>
            <w:rStyle w:val="Hyperlink"/>
            <w:noProof/>
          </w:rPr>
          <w:t>Obtaining access to Telstra Analyser Online</w:t>
        </w:r>
        <w:r w:rsidR="003815E3">
          <w:rPr>
            <w:noProof/>
            <w:webHidden/>
          </w:rPr>
          <w:tab/>
        </w:r>
        <w:r w:rsidR="003815E3">
          <w:rPr>
            <w:noProof/>
            <w:webHidden/>
          </w:rPr>
          <w:fldChar w:fldCharType="begin"/>
        </w:r>
        <w:r w:rsidR="003815E3">
          <w:rPr>
            <w:noProof/>
            <w:webHidden/>
          </w:rPr>
          <w:instrText xml:space="preserve"> PAGEREF _Toc174364149 \h </w:instrText>
        </w:r>
        <w:r w:rsidR="003815E3">
          <w:rPr>
            <w:noProof/>
            <w:webHidden/>
          </w:rPr>
        </w:r>
        <w:r w:rsidR="003815E3">
          <w:rPr>
            <w:noProof/>
            <w:webHidden/>
          </w:rPr>
          <w:fldChar w:fldCharType="separate"/>
        </w:r>
        <w:r w:rsidR="00C55C6E">
          <w:rPr>
            <w:noProof/>
            <w:webHidden/>
          </w:rPr>
          <w:t>5</w:t>
        </w:r>
        <w:r w:rsidR="003815E3">
          <w:rPr>
            <w:noProof/>
            <w:webHidden/>
          </w:rPr>
          <w:fldChar w:fldCharType="end"/>
        </w:r>
      </w:hyperlink>
    </w:p>
    <w:p w14:paraId="27B4A4A8" w14:textId="07DBAB3B"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0" w:history="1">
        <w:r w:rsidR="003815E3" w:rsidRPr="00B32275">
          <w:rPr>
            <w:rStyle w:val="Hyperlink"/>
            <w:noProof/>
          </w:rPr>
          <w:t>Eligibility</w:t>
        </w:r>
        <w:r w:rsidR="003815E3">
          <w:rPr>
            <w:noProof/>
            <w:webHidden/>
          </w:rPr>
          <w:tab/>
        </w:r>
        <w:r w:rsidR="003815E3">
          <w:rPr>
            <w:noProof/>
            <w:webHidden/>
          </w:rPr>
          <w:fldChar w:fldCharType="begin"/>
        </w:r>
        <w:r w:rsidR="003815E3">
          <w:rPr>
            <w:noProof/>
            <w:webHidden/>
          </w:rPr>
          <w:instrText xml:space="preserve"> PAGEREF _Toc174364150 \h </w:instrText>
        </w:r>
        <w:r w:rsidR="003815E3">
          <w:rPr>
            <w:noProof/>
            <w:webHidden/>
          </w:rPr>
        </w:r>
        <w:r w:rsidR="003815E3">
          <w:rPr>
            <w:noProof/>
            <w:webHidden/>
          </w:rPr>
          <w:fldChar w:fldCharType="separate"/>
        </w:r>
        <w:r w:rsidR="00C55C6E">
          <w:rPr>
            <w:noProof/>
            <w:webHidden/>
          </w:rPr>
          <w:t>5</w:t>
        </w:r>
        <w:r w:rsidR="003815E3">
          <w:rPr>
            <w:noProof/>
            <w:webHidden/>
          </w:rPr>
          <w:fldChar w:fldCharType="end"/>
        </w:r>
      </w:hyperlink>
    </w:p>
    <w:p w14:paraId="581D8A63" w14:textId="11D565B7"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1" w:history="1">
        <w:r w:rsidR="003815E3" w:rsidRPr="00B32275">
          <w:rPr>
            <w:rStyle w:val="Hyperlink"/>
            <w:noProof/>
          </w:rPr>
          <w:t>Your obligations</w:t>
        </w:r>
        <w:r w:rsidR="003815E3">
          <w:rPr>
            <w:noProof/>
            <w:webHidden/>
          </w:rPr>
          <w:tab/>
        </w:r>
        <w:r w:rsidR="003815E3">
          <w:rPr>
            <w:noProof/>
            <w:webHidden/>
          </w:rPr>
          <w:fldChar w:fldCharType="begin"/>
        </w:r>
        <w:r w:rsidR="003815E3">
          <w:rPr>
            <w:noProof/>
            <w:webHidden/>
          </w:rPr>
          <w:instrText xml:space="preserve"> PAGEREF _Toc174364151 \h </w:instrText>
        </w:r>
        <w:r w:rsidR="003815E3">
          <w:rPr>
            <w:noProof/>
            <w:webHidden/>
          </w:rPr>
        </w:r>
        <w:r w:rsidR="003815E3">
          <w:rPr>
            <w:noProof/>
            <w:webHidden/>
          </w:rPr>
          <w:fldChar w:fldCharType="separate"/>
        </w:r>
        <w:r w:rsidR="00C55C6E">
          <w:rPr>
            <w:noProof/>
            <w:webHidden/>
          </w:rPr>
          <w:t>5</w:t>
        </w:r>
        <w:r w:rsidR="003815E3">
          <w:rPr>
            <w:noProof/>
            <w:webHidden/>
          </w:rPr>
          <w:fldChar w:fldCharType="end"/>
        </w:r>
      </w:hyperlink>
    </w:p>
    <w:p w14:paraId="0052CB24" w14:textId="582AEE41"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2" w:history="1">
        <w:r w:rsidR="003815E3" w:rsidRPr="00B32275">
          <w:rPr>
            <w:rStyle w:val="Hyperlink"/>
            <w:noProof/>
          </w:rPr>
          <w:t>Billing data</w:t>
        </w:r>
        <w:r w:rsidR="003815E3">
          <w:rPr>
            <w:noProof/>
            <w:webHidden/>
          </w:rPr>
          <w:tab/>
        </w:r>
        <w:r w:rsidR="003815E3">
          <w:rPr>
            <w:noProof/>
            <w:webHidden/>
          </w:rPr>
          <w:fldChar w:fldCharType="begin"/>
        </w:r>
        <w:r w:rsidR="003815E3">
          <w:rPr>
            <w:noProof/>
            <w:webHidden/>
          </w:rPr>
          <w:instrText xml:space="preserve"> PAGEREF _Toc174364152 \h </w:instrText>
        </w:r>
        <w:r w:rsidR="003815E3">
          <w:rPr>
            <w:noProof/>
            <w:webHidden/>
          </w:rPr>
        </w:r>
        <w:r w:rsidR="003815E3">
          <w:rPr>
            <w:noProof/>
            <w:webHidden/>
          </w:rPr>
          <w:fldChar w:fldCharType="separate"/>
        </w:r>
        <w:r w:rsidR="00C55C6E">
          <w:rPr>
            <w:noProof/>
            <w:webHidden/>
          </w:rPr>
          <w:t>6</w:t>
        </w:r>
        <w:r w:rsidR="003815E3">
          <w:rPr>
            <w:noProof/>
            <w:webHidden/>
          </w:rPr>
          <w:fldChar w:fldCharType="end"/>
        </w:r>
      </w:hyperlink>
    </w:p>
    <w:p w14:paraId="0347C906" w14:textId="4E7D7AE4"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3" w:history="1">
        <w:r w:rsidR="003815E3" w:rsidRPr="00B32275">
          <w:rPr>
            <w:rStyle w:val="Hyperlink"/>
            <w:noProof/>
          </w:rPr>
          <w:t>Termination</w:t>
        </w:r>
        <w:r w:rsidR="003815E3">
          <w:rPr>
            <w:noProof/>
            <w:webHidden/>
          </w:rPr>
          <w:tab/>
        </w:r>
        <w:r w:rsidR="003815E3">
          <w:rPr>
            <w:noProof/>
            <w:webHidden/>
          </w:rPr>
          <w:fldChar w:fldCharType="begin"/>
        </w:r>
        <w:r w:rsidR="003815E3">
          <w:rPr>
            <w:noProof/>
            <w:webHidden/>
          </w:rPr>
          <w:instrText xml:space="preserve"> PAGEREF _Toc174364153 \h </w:instrText>
        </w:r>
        <w:r w:rsidR="003815E3">
          <w:rPr>
            <w:noProof/>
            <w:webHidden/>
          </w:rPr>
        </w:r>
        <w:r w:rsidR="003815E3">
          <w:rPr>
            <w:noProof/>
            <w:webHidden/>
          </w:rPr>
          <w:fldChar w:fldCharType="separate"/>
        </w:r>
        <w:r w:rsidR="00C55C6E">
          <w:rPr>
            <w:noProof/>
            <w:webHidden/>
          </w:rPr>
          <w:t>6</w:t>
        </w:r>
        <w:r w:rsidR="003815E3">
          <w:rPr>
            <w:noProof/>
            <w:webHidden/>
          </w:rPr>
          <w:fldChar w:fldCharType="end"/>
        </w:r>
      </w:hyperlink>
    </w:p>
    <w:p w14:paraId="73F78D58" w14:textId="426C2423"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4" w:history="1">
        <w:r w:rsidR="003815E3" w:rsidRPr="00B32275">
          <w:rPr>
            <w:rStyle w:val="Hyperlink"/>
            <w:noProof/>
          </w:rPr>
          <w:t>Service Assurance</w:t>
        </w:r>
        <w:r w:rsidR="003815E3">
          <w:rPr>
            <w:noProof/>
            <w:webHidden/>
          </w:rPr>
          <w:tab/>
        </w:r>
        <w:r w:rsidR="003815E3">
          <w:rPr>
            <w:noProof/>
            <w:webHidden/>
          </w:rPr>
          <w:fldChar w:fldCharType="begin"/>
        </w:r>
        <w:r w:rsidR="003815E3">
          <w:rPr>
            <w:noProof/>
            <w:webHidden/>
          </w:rPr>
          <w:instrText xml:space="preserve"> PAGEREF _Toc174364154 \h </w:instrText>
        </w:r>
        <w:r w:rsidR="003815E3">
          <w:rPr>
            <w:noProof/>
            <w:webHidden/>
          </w:rPr>
        </w:r>
        <w:r w:rsidR="003815E3">
          <w:rPr>
            <w:noProof/>
            <w:webHidden/>
          </w:rPr>
          <w:fldChar w:fldCharType="separate"/>
        </w:r>
        <w:r w:rsidR="00C55C6E">
          <w:rPr>
            <w:noProof/>
            <w:webHidden/>
          </w:rPr>
          <w:t>6</w:t>
        </w:r>
        <w:r w:rsidR="003815E3">
          <w:rPr>
            <w:noProof/>
            <w:webHidden/>
          </w:rPr>
          <w:fldChar w:fldCharType="end"/>
        </w:r>
      </w:hyperlink>
    </w:p>
    <w:p w14:paraId="7AF670F3" w14:textId="798A77B6"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5" w:history="1">
        <w:r w:rsidR="003815E3" w:rsidRPr="00B32275">
          <w:rPr>
            <w:rStyle w:val="Hyperlink"/>
            <w:noProof/>
          </w:rPr>
          <w:t>Security</w:t>
        </w:r>
        <w:r w:rsidR="003815E3">
          <w:rPr>
            <w:noProof/>
            <w:webHidden/>
          </w:rPr>
          <w:tab/>
        </w:r>
        <w:r w:rsidR="003815E3">
          <w:rPr>
            <w:noProof/>
            <w:webHidden/>
          </w:rPr>
          <w:fldChar w:fldCharType="begin"/>
        </w:r>
        <w:r w:rsidR="003815E3">
          <w:rPr>
            <w:noProof/>
            <w:webHidden/>
          </w:rPr>
          <w:instrText xml:space="preserve"> PAGEREF _Toc174364155 \h </w:instrText>
        </w:r>
        <w:r w:rsidR="003815E3">
          <w:rPr>
            <w:noProof/>
            <w:webHidden/>
          </w:rPr>
        </w:r>
        <w:r w:rsidR="003815E3">
          <w:rPr>
            <w:noProof/>
            <w:webHidden/>
          </w:rPr>
          <w:fldChar w:fldCharType="separate"/>
        </w:r>
        <w:r w:rsidR="00C55C6E">
          <w:rPr>
            <w:noProof/>
            <w:webHidden/>
          </w:rPr>
          <w:t>7</w:t>
        </w:r>
        <w:r w:rsidR="003815E3">
          <w:rPr>
            <w:noProof/>
            <w:webHidden/>
          </w:rPr>
          <w:fldChar w:fldCharType="end"/>
        </w:r>
      </w:hyperlink>
    </w:p>
    <w:p w14:paraId="5B580E57" w14:textId="63DC16AB"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6" w:history="1">
        <w:r w:rsidR="003815E3" w:rsidRPr="00B32275">
          <w:rPr>
            <w:rStyle w:val="Hyperlink"/>
            <w:noProof/>
          </w:rPr>
          <w:t>Intellectual Property</w:t>
        </w:r>
        <w:r w:rsidR="003815E3">
          <w:rPr>
            <w:noProof/>
            <w:webHidden/>
          </w:rPr>
          <w:tab/>
        </w:r>
        <w:r w:rsidR="003815E3">
          <w:rPr>
            <w:noProof/>
            <w:webHidden/>
          </w:rPr>
          <w:fldChar w:fldCharType="begin"/>
        </w:r>
        <w:r w:rsidR="003815E3">
          <w:rPr>
            <w:noProof/>
            <w:webHidden/>
          </w:rPr>
          <w:instrText xml:space="preserve"> PAGEREF _Toc174364156 \h </w:instrText>
        </w:r>
        <w:r w:rsidR="003815E3">
          <w:rPr>
            <w:noProof/>
            <w:webHidden/>
          </w:rPr>
        </w:r>
        <w:r w:rsidR="003815E3">
          <w:rPr>
            <w:noProof/>
            <w:webHidden/>
          </w:rPr>
          <w:fldChar w:fldCharType="separate"/>
        </w:r>
        <w:r w:rsidR="00C55C6E">
          <w:rPr>
            <w:noProof/>
            <w:webHidden/>
          </w:rPr>
          <w:t>7</w:t>
        </w:r>
        <w:r w:rsidR="003815E3">
          <w:rPr>
            <w:noProof/>
            <w:webHidden/>
          </w:rPr>
          <w:fldChar w:fldCharType="end"/>
        </w:r>
      </w:hyperlink>
    </w:p>
    <w:p w14:paraId="5C2B0761" w14:textId="006E5907" w:rsidR="003815E3" w:rsidRDefault="00633342">
      <w:pPr>
        <w:pStyle w:val="TOC2"/>
        <w:rPr>
          <w:rFonts w:asciiTheme="minorHAnsi" w:eastAsiaTheme="minorEastAsia" w:hAnsiTheme="minorHAnsi" w:cstheme="minorBidi"/>
          <w:noProof/>
          <w:kern w:val="2"/>
          <w:sz w:val="24"/>
          <w:szCs w:val="24"/>
          <w:lang w:eastAsia="en-AU"/>
          <w14:ligatures w14:val="standardContextual"/>
        </w:rPr>
      </w:pPr>
      <w:hyperlink w:anchor="_Toc174364157" w:history="1">
        <w:r w:rsidR="003815E3" w:rsidRPr="00B32275">
          <w:rPr>
            <w:rStyle w:val="Hyperlink"/>
            <w:noProof/>
          </w:rPr>
          <w:t>Charges</w:t>
        </w:r>
        <w:r w:rsidR="003815E3">
          <w:rPr>
            <w:noProof/>
            <w:webHidden/>
          </w:rPr>
          <w:tab/>
        </w:r>
        <w:r w:rsidR="003815E3">
          <w:rPr>
            <w:noProof/>
            <w:webHidden/>
          </w:rPr>
          <w:fldChar w:fldCharType="begin"/>
        </w:r>
        <w:r w:rsidR="003815E3">
          <w:rPr>
            <w:noProof/>
            <w:webHidden/>
          </w:rPr>
          <w:instrText xml:space="preserve"> PAGEREF _Toc174364157 \h </w:instrText>
        </w:r>
        <w:r w:rsidR="003815E3">
          <w:rPr>
            <w:noProof/>
            <w:webHidden/>
          </w:rPr>
        </w:r>
        <w:r w:rsidR="003815E3">
          <w:rPr>
            <w:noProof/>
            <w:webHidden/>
          </w:rPr>
          <w:fldChar w:fldCharType="separate"/>
        </w:r>
        <w:r w:rsidR="00C55C6E">
          <w:rPr>
            <w:noProof/>
            <w:webHidden/>
          </w:rPr>
          <w:t>7</w:t>
        </w:r>
        <w:r w:rsidR="003815E3">
          <w:rPr>
            <w:noProof/>
            <w:webHidden/>
          </w:rPr>
          <w:fldChar w:fldCharType="end"/>
        </w:r>
      </w:hyperlink>
    </w:p>
    <w:p w14:paraId="1EA56994" w14:textId="77777777" w:rsidR="00127A10" w:rsidRDefault="00127A10" w:rsidP="00127A10">
      <w:pPr>
        <w:rPr>
          <w:rFonts w:ascii="Arial" w:hAnsi="Arial"/>
          <w:sz w:val="21"/>
        </w:rPr>
      </w:pPr>
      <w:r w:rsidRPr="000B2230">
        <w:rPr>
          <w:rFonts w:ascii="Arial" w:hAnsi="Arial"/>
          <w:sz w:val="21"/>
        </w:rPr>
        <w:fldChar w:fldCharType="end"/>
      </w:r>
    </w:p>
    <w:p w14:paraId="65189559" w14:textId="77777777" w:rsidR="003815E3" w:rsidRPr="003815E3" w:rsidRDefault="003815E3" w:rsidP="003815E3"/>
    <w:p w14:paraId="0B467128" w14:textId="77777777" w:rsidR="003815E3" w:rsidRPr="003815E3" w:rsidRDefault="003815E3" w:rsidP="003815E3"/>
    <w:p w14:paraId="610E0C43" w14:textId="77777777" w:rsidR="003815E3" w:rsidRPr="003815E3" w:rsidRDefault="003815E3" w:rsidP="003815E3"/>
    <w:p w14:paraId="5F31359B" w14:textId="77777777" w:rsidR="003815E3" w:rsidRPr="003815E3" w:rsidRDefault="003815E3" w:rsidP="003815E3"/>
    <w:p w14:paraId="70E34DB6" w14:textId="77777777" w:rsidR="003815E3" w:rsidRPr="003815E3" w:rsidRDefault="003815E3" w:rsidP="003815E3"/>
    <w:p w14:paraId="58ED78D8" w14:textId="77777777" w:rsidR="003815E3" w:rsidRPr="003815E3" w:rsidRDefault="003815E3" w:rsidP="003815E3"/>
    <w:p w14:paraId="5F6DBB03" w14:textId="77777777" w:rsidR="003815E3" w:rsidRPr="003815E3" w:rsidRDefault="003815E3" w:rsidP="003815E3"/>
    <w:p w14:paraId="60FC232B" w14:textId="77777777" w:rsidR="003815E3" w:rsidRPr="003815E3" w:rsidRDefault="003815E3" w:rsidP="003815E3"/>
    <w:p w14:paraId="3BA325E7" w14:textId="77777777" w:rsidR="003815E3" w:rsidRDefault="003815E3" w:rsidP="003815E3">
      <w:pPr>
        <w:rPr>
          <w:rFonts w:ascii="Arial" w:hAnsi="Arial"/>
          <w:sz w:val="21"/>
        </w:rPr>
      </w:pPr>
    </w:p>
    <w:p w14:paraId="1D5D8FD5" w14:textId="532D7425" w:rsidR="003815E3" w:rsidRDefault="003815E3" w:rsidP="003815E3">
      <w:pPr>
        <w:tabs>
          <w:tab w:val="left" w:pos="5220"/>
        </w:tabs>
        <w:rPr>
          <w:rFonts w:ascii="Arial" w:hAnsi="Arial"/>
          <w:sz w:val="21"/>
        </w:rPr>
      </w:pPr>
      <w:r>
        <w:rPr>
          <w:rFonts w:ascii="Arial" w:hAnsi="Arial"/>
          <w:sz w:val="21"/>
        </w:rPr>
        <w:tab/>
      </w:r>
    </w:p>
    <w:p w14:paraId="69758FB0" w14:textId="31422FB8" w:rsidR="003815E3" w:rsidRPr="003815E3" w:rsidRDefault="003815E3" w:rsidP="003815E3">
      <w:pPr>
        <w:tabs>
          <w:tab w:val="left" w:pos="5220"/>
        </w:tabs>
        <w:sectPr w:rsidR="003815E3" w:rsidRPr="003815E3">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sectPr>
      </w:pPr>
      <w:r>
        <w:tab/>
      </w:r>
    </w:p>
    <w:p w14:paraId="5E162F53" w14:textId="77777777" w:rsidR="00127A10" w:rsidRPr="000B2230" w:rsidRDefault="00127A10" w:rsidP="00127A10">
      <w:pPr>
        <w:spacing w:after="240" w:line="0" w:lineRule="atLeast"/>
        <w:rPr>
          <w:rFonts w:ascii="Arial" w:hAnsi="Arial"/>
          <w:bCs/>
          <w:sz w:val="21"/>
        </w:rPr>
      </w:pPr>
      <w:bookmarkStart w:id="0" w:name="_Toc52592422"/>
      <w:r w:rsidRPr="000B2230">
        <w:rPr>
          <w:rFonts w:ascii="Arial" w:hAnsi="Arial"/>
          <w:bCs/>
          <w:sz w:val="21"/>
        </w:rPr>
        <w:lastRenderedPageBreak/>
        <w:t xml:space="preserve">Certain words are used with the specific meanings set out in </w:t>
      </w:r>
      <w:hyperlink r:id="rId18" w:history="1">
        <w:r w:rsidRPr="008C360A">
          <w:rPr>
            <w:rStyle w:val="Hyperlink"/>
            <w:rFonts w:ascii="Arial" w:hAnsi="Arial"/>
            <w:bCs/>
            <w:sz w:val="21"/>
          </w:rPr>
          <w:t>Part A – General of the Inbound Services section</w:t>
        </w:r>
      </w:hyperlink>
      <w:r w:rsidRPr="000B2230">
        <w:rPr>
          <w:rFonts w:ascii="Arial" w:hAnsi="Arial"/>
          <w:bCs/>
          <w:sz w:val="21"/>
        </w:rPr>
        <w:t xml:space="preserve"> and in the </w:t>
      </w:r>
      <w:hyperlink r:id="rId19" w:history="1">
        <w:r w:rsidRPr="008C360A">
          <w:rPr>
            <w:rStyle w:val="Hyperlink"/>
            <w:rFonts w:ascii="Arial" w:hAnsi="Arial"/>
            <w:bCs/>
            <w:sz w:val="21"/>
          </w:rPr>
          <w:t>General Terms of Our Customer Terms</w:t>
        </w:r>
      </w:hyperlink>
      <w:r w:rsidRPr="000B2230">
        <w:rPr>
          <w:rFonts w:ascii="Arial" w:hAnsi="Arial"/>
          <w:bCs/>
          <w:sz w:val="21"/>
        </w:rPr>
        <w:t>.</w:t>
      </w:r>
    </w:p>
    <w:p w14:paraId="14225B92" w14:textId="77777777" w:rsidR="00127A10" w:rsidRPr="000B2230" w:rsidRDefault="00127A10" w:rsidP="00127A10">
      <w:pPr>
        <w:pStyle w:val="Heading1"/>
        <w:widowControl w:val="0"/>
        <w:adjustRightInd w:val="0"/>
        <w:spacing w:line="0" w:lineRule="atLeast"/>
        <w:textAlignment w:val="baseline"/>
      </w:pPr>
      <w:bookmarkStart w:id="1" w:name="_Toc132016235"/>
      <w:bookmarkStart w:id="2" w:name="_Toc149571076"/>
      <w:bookmarkStart w:id="3" w:name="_Toc174364144"/>
      <w:r w:rsidRPr="000B2230">
        <w:t>About this Part</w:t>
      </w:r>
      <w:bookmarkEnd w:id="1"/>
      <w:bookmarkEnd w:id="2"/>
      <w:bookmarkEnd w:id="3"/>
    </w:p>
    <w:p w14:paraId="051FB068" w14:textId="77777777" w:rsidR="00127A10" w:rsidRPr="000B2230" w:rsidRDefault="00127A10" w:rsidP="00127A10">
      <w:pPr>
        <w:pStyle w:val="Heading2"/>
        <w:widowControl w:val="0"/>
        <w:tabs>
          <w:tab w:val="clear" w:pos="0"/>
          <w:tab w:val="num" w:pos="737"/>
        </w:tabs>
        <w:adjustRightInd w:val="0"/>
        <w:spacing w:line="0" w:lineRule="atLeast"/>
        <w:textAlignment w:val="baseline"/>
      </w:pPr>
      <w:bookmarkStart w:id="4" w:name="_Toc52674845"/>
      <w:r w:rsidRPr="000B2230">
        <w:t xml:space="preserve">This is part of the Inbound Services section of Our Customer Terms.  Provisions in other parts of the Inbound Services section, as well as in the </w:t>
      </w:r>
      <w:hyperlink r:id="rId20" w:history="1">
        <w:r w:rsidRPr="008C360A">
          <w:rPr>
            <w:rStyle w:val="Hyperlink"/>
          </w:rPr>
          <w:t>General Terms of Our Customer Terms</w:t>
        </w:r>
      </w:hyperlink>
      <w:r w:rsidRPr="000B2230">
        <w:t>, may apply to your Telstra Analyser Online.</w:t>
      </w:r>
      <w:bookmarkEnd w:id="4"/>
    </w:p>
    <w:p w14:paraId="2BBF3A62" w14:textId="77777777" w:rsidR="00127A10" w:rsidRPr="000B2230" w:rsidRDefault="00127A10" w:rsidP="00127A10">
      <w:pPr>
        <w:pStyle w:val="Heading7"/>
        <w:spacing w:line="0" w:lineRule="atLeast"/>
        <w:ind w:left="576"/>
      </w:pPr>
      <w:r w:rsidRPr="000B2230">
        <w:t xml:space="preserve">See clause 1 of </w:t>
      </w:r>
      <w:hyperlink r:id="rId21" w:history="1">
        <w:r w:rsidRPr="000B2230">
          <w:rPr>
            <w:rStyle w:val="Hyperlink"/>
          </w:rPr>
          <w:t>the General Terms of Our Customer Terms</w:t>
        </w:r>
      </w:hyperlink>
      <w:r w:rsidRPr="000B2230">
        <w:t xml:space="preserve"> for more detail on how the various sections of Our Customer Terms should be read together.</w:t>
      </w:r>
    </w:p>
    <w:p w14:paraId="622F88B5" w14:textId="77777777" w:rsidR="00127A10" w:rsidRPr="000B2230" w:rsidRDefault="00127A10" w:rsidP="00127A10">
      <w:pPr>
        <w:pStyle w:val="Heading7"/>
        <w:spacing w:line="0" w:lineRule="atLeast"/>
        <w:ind w:left="576"/>
      </w:pPr>
      <w:r w:rsidRPr="000B2230">
        <w:t>See clause 1</w:t>
      </w:r>
      <w:r w:rsidRPr="000B2230">
        <w:rPr>
          <w:color w:val="FF0000"/>
        </w:rPr>
        <w:t xml:space="preserve"> </w:t>
      </w:r>
      <w:r w:rsidRPr="000B2230">
        <w:t xml:space="preserve">of </w:t>
      </w:r>
      <w:hyperlink r:id="rId22" w:history="1">
        <w:r w:rsidRPr="008C360A">
          <w:rPr>
            <w:rStyle w:val="Hyperlink"/>
          </w:rPr>
          <w:t>Part A – General of the Inbound Services section</w:t>
        </w:r>
      </w:hyperlink>
      <w:r w:rsidRPr="000B2230">
        <w:t xml:space="preserve"> for more detail on how the various parts of the Inbound Services section should be read together.</w:t>
      </w:r>
    </w:p>
    <w:p w14:paraId="549C700E" w14:textId="77777777" w:rsidR="00127A10" w:rsidRPr="000B2230" w:rsidRDefault="00127A10" w:rsidP="00127A10">
      <w:pPr>
        <w:pStyle w:val="Heading2"/>
        <w:widowControl w:val="0"/>
        <w:tabs>
          <w:tab w:val="clear" w:pos="0"/>
          <w:tab w:val="num" w:pos="737"/>
        </w:tabs>
        <w:adjustRightInd w:val="0"/>
        <w:spacing w:line="0" w:lineRule="atLeast"/>
        <w:textAlignment w:val="baseline"/>
      </w:pPr>
      <w:r w:rsidRPr="000B2230">
        <w:t xml:space="preserve">If there is an inconsistency between this part and the other parts of the Inbound Services section of Our Customer Terms, this part prevails to the extent of the inconsistency. </w:t>
      </w:r>
      <w:bookmarkEnd w:id="0"/>
    </w:p>
    <w:p w14:paraId="10839CEF" w14:textId="77777777" w:rsidR="00127A10" w:rsidRPr="000B2230" w:rsidRDefault="00127A10" w:rsidP="00127A10">
      <w:pPr>
        <w:pStyle w:val="Heading1"/>
      </w:pPr>
      <w:bookmarkStart w:id="5" w:name="_Toc174364145"/>
      <w:r w:rsidRPr="000B2230">
        <w:t>Telstra Analyser Online</w:t>
      </w:r>
      <w:bookmarkEnd w:id="5"/>
    </w:p>
    <w:p w14:paraId="24283A1E" w14:textId="77777777" w:rsidR="00127A10" w:rsidRPr="000B2230" w:rsidRDefault="00127A10" w:rsidP="00127A10">
      <w:pPr>
        <w:pStyle w:val="Indent1"/>
        <w:rPr>
          <w:bCs w:val="0"/>
        </w:rPr>
      </w:pPr>
      <w:bookmarkStart w:id="6" w:name="_Toc174364146"/>
      <w:r w:rsidRPr="000B2230">
        <w:rPr>
          <w:bCs w:val="0"/>
        </w:rPr>
        <w:t>What is Telstra Analyser Online?</w:t>
      </w:r>
      <w:bookmarkEnd w:id="6"/>
    </w:p>
    <w:p w14:paraId="364A5AB4" w14:textId="77777777" w:rsidR="00127A10" w:rsidRPr="000B2230" w:rsidRDefault="00127A10" w:rsidP="00127A10">
      <w:pPr>
        <w:pStyle w:val="Heading2"/>
      </w:pPr>
      <w:r w:rsidRPr="000B2230">
        <w:t xml:space="preserve">Telstra Analyser Online is an online reporting and traffic analysis tool that provides you with statistical information on the way that some of your Inbound Services are used.  </w:t>
      </w:r>
    </w:p>
    <w:p w14:paraId="5D868202" w14:textId="77777777" w:rsidR="00127A10" w:rsidRPr="000B2230" w:rsidRDefault="00127A10" w:rsidP="00127A10">
      <w:pPr>
        <w:pStyle w:val="Heading2"/>
      </w:pPr>
      <w:r w:rsidRPr="000B2230">
        <w:t>Telstra Analyser Online provides statistical information and graphs relating to calls received through your Inbound Service such as the origin of incoming calls, where calls are terminated, call handing times, how many calls you receive through a particular service number and how many calls were successfully answered.</w:t>
      </w:r>
    </w:p>
    <w:p w14:paraId="0C365FAC" w14:textId="77777777" w:rsidR="00127A10" w:rsidRPr="000B2230" w:rsidRDefault="00127A10" w:rsidP="00127A10">
      <w:pPr>
        <w:pStyle w:val="Heading2"/>
      </w:pPr>
      <w:r w:rsidRPr="000B2230">
        <w:t>You acknowledge that with the exception of the InfoCall Inbound Service, no costing information relating to your Inbound Service is provided (this information is generally in your bill or available through other Telstra services).</w:t>
      </w:r>
    </w:p>
    <w:p w14:paraId="1D00EDE7" w14:textId="77777777" w:rsidR="00127A10" w:rsidRPr="000B2230" w:rsidRDefault="00127A10" w:rsidP="00127A10">
      <w:pPr>
        <w:pStyle w:val="Heading2"/>
      </w:pPr>
      <w:r w:rsidRPr="000B2230">
        <w:t>Telstra Analyser Online is available to report on the following services (some of which are Inbound Services): Freecall</w:t>
      </w:r>
      <w:r w:rsidRPr="000B2230">
        <w:rPr>
          <w:vertAlign w:val="superscript"/>
        </w:rPr>
        <w:t xml:space="preserve"> </w:t>
      </w:r>
      <w:r w:rsidRPr="000B2230">
        <w:t>One8, Freecall</w:t>
      </w:r>
      <w:r w:rsidRPr="000B2230">
        <w:rPr>
          <w:vertAlign w:val="superscript"/>
        </w:rPr>
        <w:t xml:space="preserve"> </w:t>
      </w:r>
      <w:r w:rsidRPr="000B2230">
        <w:t>1800, Priority</w:t>
      </w:r>
      <w:r w:rsidRPr="000B2230">
        <w:rPr>
          <w:vertAlign w:val="superscript"/>
        </w:rPr>
        <w:t xml:space="preserve"> </w:t>
      </w:r>
      <w:r w:rsidRPr="000B2230">
        <w:t>One3, Priority</w:t>
      </w:r>
      <w:r w:rsidRPr="000B2230">
        <w:rPr>
          <w:vertAlign w:val="superscript"/>
        </w:rPr>
        <w:t xml:space="preserve"> </w:t>
      </w:r>
      <w:r w:rsidRPr="000B2230">
        <w:t>1300, InfoCall, SecuriDial, International Freecall, Global 800, Computer Telephone Integration (CTI) and Network IVR.</w:t>
      </w:r>
    </w:p>
    <w:p w14:paraId="47B37509" w14:textId="77777777" w:rsidR="00127A10" w:rsidRPr="000B2230" w:rsidRDefault="00127A10" w:rsidP="00127A10">
      <w:pPr>
        <w:pStyle w:val="Heading2"/>
      </w:pPr>
      <w:r w:rsidRPr="000B2230">
        <w:t>You may select the Telstra Analyser Online (standard) or the Telstra Analyser Online (advanced) which are explained in the below table:</w:t>
      </w:r>
    </w:p>
    <w:tbl>
      <w:tblPr>
        <w:tblW w:w="7566"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795"/>
      </w:tblGrid>
      <w:tr w:rsidR="00127A10" w:rsidRPr="00C517C1" w14:paraId="2960B45E" w14:textId="77777777" w:rsidTr="00C517C1">
        <w:trPr>
          <w:cantSplit/>
          <w:tblHeader/>
        </w:trPr>
        <w:tc>
          <w:tcPr>
            <w:tcW w:w="3771" w:type="dxa"/>
            <w:shd w:val="clear" w:color="auto" w:fill="auto"/>
          </w:tcPr>
          <w:p w14:paraId="4A9DA400" w14:textId="77777777" w:rsidR="00127A10" w:rsidRPr="00C517C1" w:rsidRDefault="00127A10" w:rsidP="00C517C1">
            <w:pPr>
              <w:pStyle w:val="Heading2"/>
              <w:keepNext/>
              <w:numPr>
                <w:ilvl w:val="0"/>
                <w:numId w:val="0"/>
              </w:numPr>
              <w:spacing w:before="120" w:after="120"/>
              <w:rPr>
                <w:rFonts w:ascii="Arial" w:hAnsi="Arial" w:cs="Arial"/>
                <w:b/>
                <w:bCs w:val="0"/>
                <w:sz w:val="18"/>
              </w:rPr>
            </w:pPr>
            <w:r w:rsidRPr="00C517C1">
              <w:rPr>
                <w:rFonts w:ascii="Arial" w:hAnsi="Arial" w:cs="Arial"/>
                <w:b/>
                <w:bCs w:val="0"/>
                <w:sz w:val="18"/>
              </w:rPr>
              <w:lastRenderedPageBreak/>
              <w:t>Telstra Analyser Online (standard)</w:t>
            </w:r>
          </w:p>
        </w:tc>
        <w:tc>
          <w:tcPr>
            <w:tcW w:w="3795" w:type="dxa"/>
            <w:shd w:val="clear" w:color="auto" w:fill="auto"/>
          </w:tcPr>
          <w:p w14:paraId="1CA963A7" w14:textId="77777777" w:rsidR="00127A10" w:rsidRPr="00C517C1" w:rsidRDefault="00127A10" w:rsidP="00C517C1">
            <w:pPr>
              <w:pStyle w:val="Heading2"/>
              <w:keepNext/>
              <w:numPr>
                <w:ilvl w:val="0"/>
                <w:numId w:val="0"/>
              </w:numPr>
              <w:spacing w:before="120" w:after="120"/>
              <w:rPr>
                <w:rFonts w:ascii="Arial" w:hAnsi="Arial" w:cs="Arial"/>
                <w:b/>
                <w:bCs w:val="0"/>
                <w:sz w:val="18"/>
              </w:rPr>
            </w:pPr>
            <w:r w:rsidRPr="00C517C1">
              <w:rPr>
                <w:rFonts w:ascii="Arial" w:hAnsi="Arial" w:cs="Arial"/>
                <w:b/>
                <w:bCs w:val="0"/>
                <w:sz w:val="18"/>
              </w:rPr>
              <w:t>Telstra Analyser Online (advanced)</w:t>
            </w:r>
          </w:p>
        </w:tc>
      </w:tr>
      <w:tr w:rsidR="002F0FAB" w:rsidRPr="00C517C1" w14:paraId="7AC6120A" w14:textId="77777777" w:rsidTr="00C517C1">
        <w:tc>
          <w:tcPr>
            <w:tcW w:w="3771" w:type="dxa"/>
            <w:shd w:val="clear" w:color="auto" w:fill="auto"/>
          </w:tcPr>
          <w:p w14:paraId="7DF4448C" w14:textId="77777777" w:rsidR="002F0FAB" w:rsidRPr="00C517C1" w:rsidRDefault="002F0FAB"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The standard version of Telstra Analyser Online provides you with 11 pre-defined reports in a format which cannot be changed.  These reports include:</w:t>
            </w:r>
          </w:p>
        </w:tc>
        <w:tc>
          <w:tcPr>
            <w:tcW w:w="3795" w:type="dxa"/>
            <w:shd w:val="clear" w:color="auto" w:fill="auto"/>
          </w:tcPr>
          <w:p w14:paraId="1EF6BD3A" w14:textId="77777777" w:rsidR="002F0FAB" w:rsidRPr="00C517C1" w:rsidRDefault="002F0FAB"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The advanced version of Telstra Analyser Online provides you with all the reports, functions and features of the standard version, as well as an additional 8 reports and an ability to create, customise and save your own reports.  The additional reports include:</w:t>
            </w:r>
          </w:p>
        </w:tc>
      </w:tr>
      <w:tr w:rsidR="00127A10" w:rsidRPr="00C517C1" w14:paraId="6B758BF8" w14:textId="77777777" w:rsidTr="00C517C1">
        <w:tc>
          <w:tcPr>
            <w:tcW w:w="3771" w:type="dxa"/>
            <w:shd w:val="clear" w:color="auto" w:fill="auto"/>
          </w:tcPr>
          <w:p w14:paraId="1BAEFDC6" w14:textId="77777777" w:rsidR="00127A10" w:rsidRPr="00C517C1" w:rsidRDefault="00127A10" w:rsidP="00C517C1">
            <w:pPr>
              <w:pStyle w:val="Heading2"/>
              <w:numPr>
                <w:ilvl w:val="0"/>
                <w:numId w:val="0"/>
              </w:numPr>
              <w:spacing w:before="120" w:after="120"/>
              <w:rPr>
                <w:rFonts w:ascii="Arial" w:hAnsi="Arial" w:cs="Arial"/>
                <w:bCs w:val="0"/>
                <w:sz w:val="18"/>
                <w:u w:val="single"/>
              </w:rPr>
            </w:pPr>
            <w:r w:rsidRPr="00C517C1">
              <w:rPr>
                <w:rFonts w:ascii="Arial" w:hAnsi="Arial" w:cs="Arial"/>
                <w:b/>
                <w:bCs w:val="0"/>
                <w:sz w:val="18"/>
                <w:u w:val="single"/>
              </w:rPr>
              <w:t>Call Activity Reports</w:t>
            </w:r>
            <w:r w:rsidRPr="00C517C1">
              <w:rPr>
                <w:rFonts w:ascii="Arial" w:hAnsi="Arial" w:cs="Arial"/>
                <w:bCs w:val="0"/>
                <w:sz w:val="18"/>
                <w:u w:val="single"/>
              </w:rPr>
              <w:t xml:space="preserve"> - </w:t>
            </w:r>
          </w:p>
          <w:p w14:paraId="234A5D63"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Activity by Product &amp; Service; and</w:t>
            </w:r>
          </w:p>
          <w:p w14:paraId="76ED6B3D"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Activity by Product, Service &amp; Answer Point</w:t>
            </w:r>
          </w:p>
          <w:p w14:paraId="0D37FFEB" w14:textId="77777777" w:rsidR="00127A10" w:rsidRPr="00C517C1" w:rsidRDefault="00127A10" w:rsidP="00C517C1">
            <w:pPr>
              <w:pStyle w:val="Heading2"/>
              <w:numPr>
                <w:ilvl w:val="0"/>
                <w:numId w:val="0"/>
              </w:numPr>
              <w:spacing w:before="120" w:after="120"/>
              <w:rPr>
                <w:rFonts w:ascii="Arial" w:hAnsi="Arial" w:cs="Arial"/>
                <w:b/>
                <w:bCs w:val="0"/>
                <w:sz w:val="18"/>
                <w:u w:val="single"/>
              </w:rPr>
            </w:pPr>
            <w:r w:rsidRPr="00C517C1">
              <w:rPr>
                <w:rFonts w:ascii="Arial" w:hAnsi="Arial" w:cs="Arial"/>
                <w:b/>
                <w:bCs w:val="0"/>
                <w:sz w:val="18"/>
                <w:u w:val="single"/>
              </w:rPr>
              <w:t xml:space="preserve">Call Origin Reports - </w:t>
            </w:r>
          </w:p>
          <w:p w14:paraId="38619E7B"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Origin by State;</w:t>
            </w:r>
          </w:p>
          <w:p w14:paraId="1409B2CC"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Origin by State and Region; and</w:t>
            </w:r>
          </w:p>
          <w:p w14:paraId="531CF4FB"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Top Exchanges.</w:t>
            </w:r>
          </w:p>
          <w:p w14:paraId="18EF15DB" w14:textId="77777777" w:rsidR="00127A10" w:rsidRPr="00C517C1" w:rsidRDefault="00127A10" w:rsidP="00C517C1">
            <w:pPr>
              <w:pStyle w:val="Heading2"/>
              <w:numPr>
                <w:ilvl w:val="0"/>
                <w:numId w:val="0"/>
              </w:numPr>
              <w:spacing w:before="120" w:after="120"/>
              <w:rPr>
                <w:rFonts w:ascii="Arial" w:hAnsi="Arial" w:cs="Arial"/>
                <w:b/>
                <w:bCs w:val="0"/>
                <w:sz w:val="18"/>
                <w:u w:val="single"/>
              </w:rPr>
            </w:pPr>
            <w:r w:rsidRPr="00C517C1">
              <w:rPr>
                <w:rFonts w:ascii="Arial" w:hAnsi="Arial" w:cs="Arial"/>
                <w:b/>
                <w:bCs w:val="0"/>
                <w:sz w:val="18"/>
                <w:u w:val="single"/>
              </w:rPr>
              <w:t xml:space="preserve">Time of Day Reports - </w:t>
            </w:r>
          </w:p>
          <w:p w14:paraId="27262FC7"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Time of Day/Day of Week Summary;</w:t>
            </w:r>
          </w:p>
          <w:p w14:paraId="7F03A820"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Day of Week Summary; and</w:t>
            </w:r>
          </w:p>
          <w:p w14:paraId="4A55D4BA" w14:textId="77777777" w:rsidR="00127A10" w:rsidRPr="00C517C1" w:rsidRDefault="00127A10"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Hourly Call History.</w:t>
            </w:r>
          </w:p>
        </w:tc>
        <w:tc>
          <w:tcPr>
            <w:tcW w:w="3795" w:type="dxa"/>
            <w:shd w:val="clear" w:color="auto" w:fill="auto"/>
          </w:tcPr>
          <w:p w14:paraId="59CEBC36" w14:textId="77777777" w:rsidR="00127A10" w:rsidRPr="00C517C1" w:rsidRDefault="00127A10" w:rsidP="00C517C1">
            <w:pPr>
              <w:pStyle w:val="Heading2"/>
              <w:numPr>
                <w:ilvl w:val="0"/>
                <w:numId w:val="0"/>
              </w:numPr>
              <w:spacing w:before="120" w:after="120"/>
              <w:rPr>
                <w:rFonts w:ascii="Arial" w:hAnsi="Arial" w:cs="Arial"/>
                <w:bCs w:val="0"/>
                <w:sz w:val="18"/>
                <w:u w:val="single"/>
              </w:rPr>
            </w:pPr>
            <w:r w:rsidRPr="00C517C1">
              <w:rPr>
                <w:rFonts w:ascii="Arial" w:hAnsi="Arial" w:cs="Arial"/>
                <w:b/>
                <w:bCs w:val="0"/>
                <w:sz w:val="18"/>
                <w:u w:val="single"/>
              </w:rPr>
              <w:t>Call Activity Reports</w:t>
            </w:r>
            <w:r w:rsidRPr="00C517C1">
              <w:rPr>
                <w:rFonts w:ascii="Arial" w:hAnsi="Arial" w:cs="Arial"/>
                <w:bCs w:val="0"/>
                <w:sz w:val="18"/>
                <w:u w:val="single"/>
              </w:rPr>
              <w:t xml:space="preserve"> -</w:t>
            </w:r>
          </w:p>
          <w:p w14:paraId="6B1738E2"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Top Services; and</w:t>
            </w:r>
          </w:p>
          <w:p w14:paraId="74EE2B10"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Top Answer Points.</w:t>
            </w:r>
          </w:p>
          <w:p w14:paraId="6FF6F37B" w14:textId="77777777" w:rsidR="00127A10" w:rsidRPr="00C517C1" w:rsidRDefault="00127A10" w:rsidP="00C517C1">
            <w:pPr>
              <w:pStyle w:val="Heading2"/>
              <w:numPr>
                <w:ilvl w:val="0"/>
                <w:numId w:val="0"/>
              </w:numPr>
              <w:spacing w:before="120" w:after="120"/>
              <w:rPr>
                <w:rFonts w:ascii="Arial" w:hAnsi="Arial" w:cs="Arial"/>
                <w:b/>
                <w:bCs w:val="0"/>
                <w:sz w:val="18"/>
                <w:u w:val="single"/>
              </w:rPr>
            </w:pPr>
            <w:r w:rsidRPr="00C517C1">
              <w:rPr>
                <w:rFonts w:ascii="Arial" w:hAnsi="Arial" w:cs="Arial"/>
                <w:b/>
                <w:bCs w:val="0"/>
                <w:sz w:val="18"/>
                <w:u w:val="single"/>
              </w:rPr>
              <w:t xml:space="preserve">Call Origin Reports - </w:t>
            </w:r>
          </w:p>
          <w:p w14:paraId="6FE79A76" w14:textId="77777777" w:rsidR="00127A10"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Top Localities;</w:t>
            </w:r>
          </w:p>
          <w:p w14:paraId="7DA2B947" w14:textId="3988471B" w:rsidR="00257CB4" w:rsidRPr="00C517C1" w:rsidRDefault="00257CB4" w:rsidP="00C517C1">
            <w:pPr>
              <w:pStyle w:val="Heading2"/>
              <w:numPr>
                <w:ilvl w:val="0"/>
                <w:numId w:val="0"/>
              </w:numPr>
              <w:spacing w:after="120"/>
              <w:rPr>
                <w:rFonts w:ascii="Arial" w:hAnsi="Arial" w:cs="Arial"/>
                <w:bCs w:val="0"/>
                <w:sz w:val="18"/>
              </w:rPr>
            </w:pPr>
            <w:r>
              <w:rPr>
                <w:rFonts w:ascii="Arial" w:hAnsi="Arial" w:cs="Arial"/>
                <w:bCs w:val="0"/>
                <w:sz w:val="18"/>
              </w:rPr>
              <w:t>Local and World Map Views</w:t>
            </w:r>
          </w:p>
          <w:p w14:paraId="231D868C"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Call origins Maps; and</w:t>
            </w:r>
          </w:p>
          <w:p w14:paraId="3EBF6F11" w14:textId="77777777" w:rsidR="00127A10"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Top Call Origins Map.</w:t>
            </w:r>
          </w:p>
          <w:p w14:paraId="0B31F451" w14:textId="0AF43FD3" w:rsidR="00257CB4" w:rsidRPr="00C517C1" w:rsidRDefault="00257CB4" w:rsidP="00C517C1">
            <w:pPr>
              <w:pStyle w:val="Heading2"/>
              <w:numPr>
                <w:ilvl w:val="0"/>
                <w:numId w:val="0"/>
              </w:numPr>
              <w:spacing w:after="120"/>
              <w:rPr>
                <w:rFonts w:ascii="Arial" w:hAnsi="Arial" w:cs="Arial"/>
                <w:bCs w:val="0"/>
                <w:sz w:val="18"/>
              </w:rPr>
            </w:pPr>
            <w:r>
              <w:rPr>
                <w:rFonts w:ascii="Arial" w:hAnsi="Arial" w:cs="Arial"/>
                <w:bCs w:val="0"/>
                <w:sz w:val="18"/>
              </w:rPr>
              <w:t>Calls from Mobile service area (MSA)</w:t>
            </w:r>
          </w:p>
          <w:p w14:paraId="5114C095" w14:textId="77777777" w:rsidR="00127A10" w:rsidRPr="00C517C1" w:rsidRDefault="00127A10" w:rsidP="00C517C1">
            <w:pPr>
              <w:pStyle w:val="Heading2"/>
              <w:numPr>
                <w:ilvl w:val="0"/>
                <w:numId w:val="0"/>
              </w:numPr>
              <w:spacing w:before="120" w:after="120"/>
              <w:rPr>
                <w:rFonts w:ascii="Arial" w:hAnsi="Arial" w:cs="Arial"/>
                <w:b/>
                <w:bCs w:val="0"/>
                <w:sz w:val="18"/>
                <w:u w:val="single"/>
              </w:rPr>
            </w:pPr>
            <w:r w:rsidRPr="00C517C1">
              <w:rPr>
                <w:rFonts w:ascii="Arial" w:hAnsi="Arial" w:cs="Arial"/>
                <w:b/>
                <w:bCs w:val="0"/>
                <w:sz w:val="18"/>
                <w:u w:val="single"/>
              </w:rPr>
              <w:t xml:space="preserve">Time of Day Reports - </w:t>
            </w:r>
          </w:p>
          <w:p w14:paraId="242CF311" w14:textId="77777777" w:rsidR="00127A10" w:rsidRPr="00C517C1" w:rsidRDefault="00127A10" w:rsidP="00C517C1">
            <w:pPr>
              <w:pStyle w:val="Heading2"/>
              <w:numPr>
                <w:ilvl w:val="0"/>
                <w:numId w:val="0"/>
              </w:numPr>
              <w:spacing w:after="120"/>
              <w:rPr>
                <w:rFonts w:ascii="Arial" w:hAnsi="Arial" w:cs="Arial"/>
                <w:bCs w:val="0"/>
                <w:sz w:val="18"/>
              </w:rPr>
            </w:pPr>
            <w:r w:rsidRPr="00C517C1">
              <w:rPr>
                <w:rFonts w:ascii="Arial" w:hAnsi="Arial" w:cs="Arial"/>
                <w:bCs w:val="0"/>
                <w:sz w:val="18"/>
              </w:rPr>
              <w:t>Quarterly Hourly Call History.</w:t>
            </w:r>
          </w:p>
        </w:tc>
      </w:tr>
      <w:tr w:rsidR="002F0FAB" w:rsidRPr="00C517C1" w14:paraId="6053BEEC" w14:textId="77777777" w:rsidTr="00C517C1">
        <w:tc>
          <w:tcPr>
            <w:tcW w:w="3771" w:type="dxa"/>
            <w:shd w:val="clear" w:color="auto" w:fill="auto"/>
          </w:tcPr>
          <w:p w14:paraId="17879D29" w14:textId="77777777" w:rsidR="002F0FAB" w:rsidRPr="00C517C1" w:rsidRDefault="002F0FAB" w:rsidP="00C517C1">
            <w:pPr>
              <w:pStyle w:val="Heading2"/>
              <w:numPr>
                <w:ilvl w:val="0"/>
                <w:numId w:val="0"/>
              </w:numPr>
              <w:spacing w:before="120" w:after="120"/>
              <w:rPr>
                <w:rFonts w:ascii="Arial" w:hAnsi="Arial" w:cs="Arial"/>
                <w:b/>
                <w:bCs w:val="0"/>
                <w:sz w:val="18"/>
                <w:u w:val="single"/>
              </w:rPr>
            </w:pPr>
            <w:r w:rsidRPr="00C517C1">
              <w:rPr>
                <w:rFonts w:ascii="Arial" w:hAnsi="Arial" w:cs="Arial"/>
                <w:b/>
                <w:bCs w:val="0"/>
                <w:sz w:val="18"/>
                <w:u w:val="single"/>
              </w:rPr>
              <w:t xml:space="preserve">Time Series Reports - </w:t>
            </w:r>
          </w:p>
          <w:p w14:paraId="48A4EF4F" w14:textId="77777777" w:rsidR="002F0FAB" w:rsidRPr="00C517C1" w:rsidRDefault="002F0FAB" w:rsidP="00C517C1">
            <w:pPr>
              <w:pStyle w:val="Heading2"/>
              <w:numPr>
                <w:ilvl w:val="0"/>
                <w:numId w:val="0"/>
              </w:numPr>
              <w:spacing w:after="120"/>
              <w:rPr>
                <w:rFonts w:ascii="Arial" w:hAnsi="Arial" w:cs="Arial"/>
                <w:bCs w:val="0"/>
                <w:sz w:val="18"/>
              </w:rPr>
            </w:pPr>
            <w:r w:rsidRPr="00C517C1">
              <w:rPr>
                <w:rFonts w:ascii="Arial" w:hAnsi="Arial" w:cs="Arial"/>
                <w:bCs w:val="0"/>
                <w:sz w:val="18"/>
              </w:rPr>
              <w:t>Daily Call History;</w:t>
            </w:r>
          </w:p>
          <w:p w14:paraId="7A7D7320" w14:textId="77777777" w:rsidR="002F0FAB" w:rsidRPr="00C517C1" w:rsidRDefault="002F0FAB" w:rsidP="00C517C1">
            <w:pPr>
              <w:pStyle w:val="Heading2"/>
              <w:numPr>
                <w:ilvl w:val="0"/>
                <w:numId w:val="0"/>
              </w:numPr>
              <w:spacing w:after="120"/>
              <w:rPr>
                <w:rFonts w:ascii="Arial" w:hAnsi="Arial" w:cs="Arial"/>
                <w:bCs w:val="0"/>
                <w:sz w:val="18"/>
              </w:rPr>
            </w:pPr>
            <w:r w:rsidRPr="00C517C1">
              <w:rPr>
                <w:rFonts w:ascii="Arial" w:hAnsi="Arial" w:cs="Arial"/>
                <w:bCs w:val="0"/>
                <w:sz w:val="18"/>
              </w:rPr>
              <w:t>Weekly Call History; and</w:t>
            </w:r>
          </w:p>
          <w:p w14:paraId="39B69321" w14:textId="77777777" w:rsidR="002F0FAB" w:rsidRPr="00C517C1" w:rsidRDefault="002F0FAB" w:rsidP="00C517C1">
            <w:pPr>
              <w:pStyle w:val="Heading2"/>
              <w:numPr>
                <w:ilvl w:val="0"/>
                <w:numId w:val="0"/>
              </w:numPr>
              <w:spacing w:after="120"/>
              <w:rPr>
                <w:rFonts w:ascii="Arial" w:hAnsi="Arial" w:cs="Arial"/>
                <w:bCs w:val="0"/>
                <w:sz w:val="18"/>
              </w:rPr>
            </w:pPr>
            <w:r w:rsidRPr="00C517C1">
              <w:rPr>
                <w:rFonts w:ascii="Arial" w:hAnsi="Arial" w:cs="Arial"/>
                <w:bCs w:val="0"/>
                <w:sz w:val="18"/>
              </w:rPr>
              <w:t>Monthly Call History.</w:t>
            </w:r>
          </w:p>
          <w:p w14:paraId="2C37203F" w14:textId="77777777" w:rsidR="002F0FAB" w:rsidRPr="00C517C1" w:rsidRDefault="002F0FAB"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The following features are also included:</w:t>
            </w:r>
          </w:p>
          <w:p w14:paraId="59DCE0C2" w14:textId="77777777" w:rsidR="002F0FAB" w:rsidRPr="00C517C1" w:rsidRDefault="002F0FAB" w:rsidP="00C517C1">
            <w:pPr>
              <w:pStyle w:val="Heading2"/>
              <w:numPr>
                <w:ilvl w:val="0"/>
                <w:numId w:val="12"/>
              </w:numPr>
              <w:spacing w:after="120"/>
              <w:rPr>
                <w:rFonts w:ascii="Arial" w:hAnsi="Arial" w:cs="Arial"/>
                <w:bCs w:val="0"/>
                <w:sz w:val="18"/>
              </w:rPr>
            </w:pPr>
            <w:r w:rsidRPr="00C517C1">
              <w:rPr>
                <w:rFonts w:ascii="Arial" w:hAnsi="Arial" w:cs="Arial"/>
                <w:bCs w:val="0"/>
                <w:sz w:val="18"/>
              </w:rPr>
              <w:t>Schedule function enabling you to request reports in advance and have the application remind you via email when your report is ready for access through the application;</w:t>
            </w:r>
          </w:p>
          <w:p w14:paraId="09A76472" w14:textId="77777777" w:rsidR="002F0FAB" w:rsidRPr="00C517C1" w:rsidRDefault="002F0FAB" w:rsidP="00C517C1">
            <w:pPr>
              <w:pStyle w:val="Heading2"/>
              <w:numPr>
                <w:ilvl w:val="0"/>
                <w:numId w:val="12"/>
              </w:numPr>
              <w:spacing w:after="120"/>
              <w:rPr>
                <w:rFonts w:ascii="Arial" w:hAnsi="Arial" w:cs="Arial"/>
                <w:bCs w:val="0"/>
                <w:sz w:val="18"/>
              </w:rPr>
            </w:pPr>
            <w:r w:rsidRPr="00C517C1">
              <w:rPr>
                <w:rFonts w:ascii="Arial" w:hAnsi="Arial" w:cs="Arial"/>
                <w:bCs w:val="0"/>
                <w:sz w:val="18"/>
              </w:rPr>
              <w:t>Email notification sent to you when a report is available, enabling you to request reports in advance and have the system remind you via email when your report is ready for access;</w:t>
            </w:r>
          </w:p>
          <w:p w14:paraId="75C52774" w14:textId="77777777" w:rsidR="002F0FAB" w:rsidRPr="00C517C1" w:rsidRDefault="002F0FAB" w:rsidP="00C517C1">
            <w:pPr>
              <w:pStyle w:val="Heading2"/>
              <w:numPr>
                <w:ilvl w:val="0"/>
                <w:numId w:val="12"/>
              </w:numPr>
              <w:spacing w:after="120"/>
              <w:rPr>
                <w:rFonts w:ascii="Arial" w:hAnsi="Arial" w:cs="Arial"/>
                <w:bCs w:val="0"/>
                <w:sz w:val="18"/>
              </w:rPr>
            </w:pPr>
            <w:r w:rsidRPr="00C517C1">
              <w:rPr>
                <w:rFonts w:ascii="Arial" w:hAnsi="Arial" w:cs="Arial"/>
                <w:bCs w:val="0"/>
                <w:sz w:val="18"/>
              </w:rPr>
              <w:t>Export function enabling you to save reports in Excel or CSV formula  where you can format or sort your data to suit your requirements;</w:t>
            </w:r>
          </w:p>
          <w:p w14:paraId="27877644" w14:textId="77777777" w:rsidR="002F0FAB" w:rsidRPr="00C517C1" w:rsidRDefault="002F0FAB" w:rsidP="00C517C1">
            <w:pPr>
              <w:pStyle w:val="Heading2"/>
              <w:numPr>
                <w:ilvl w:val="0"/>
                <w:numId w:val="12"/>
              </w:numPr>
              <w:spacing w:after="120"/>
              <w:rPr>
                <w:rFonts w:ascii="Arial" w:hAnsi="Arial" w:cs="Arial"/>
                <w:bCs w:val="0"/>
                <w:sz w:val="18"/>
              </w:rPr>
            </w:pPr>
            <w:r w:rsidRPr="00C517C1">
              <w:rPr>
                <w:rFonts w:ascii="Arial" w:hAnsi="Arial" w:cs="Arial"/>
                <w:bCs w:val="0"/>
                <w:sz w:val="18"/>
              </w:rPr>
              <w:lastRenderedPageBreak/>
              <w:t>Print function enabling you to print required reports; and</w:t>
            </w:r>
          </w:p>
          <w:p w14:paraId="12D0E28D" w14:textId="77777777" w:rsidR="002F0FAB" w:rsidRPr="00C517C1" w:rsidRDefault="002F0FAB" w:rsidP="00C517C1">
            <w:pPr>
              <w:pStyle w:val="Heading2"/>
              <w:numPr>
                <w:ilvl w:val="0"/>
                <w:numId w:val="12"/>
              </w:numPr>
              <w:spacing w:after="120"/>
              <w:rPr>
                <w:rFonts w:ascii="Arial" w:hAnsi="Arial" w:cs="Arial"/>
                <w:bCs w:val="0"/>
                <w:sz w:val="18"/>
              </w:rPr>
            </w:pPr>
            <w:r w:rsidRPr="00C517C1">
              <w:rPr>
                <w:rFonts w:ascii="Arial" w:hAnsi="Arial" w:cs="Arial"/>
                <w:bCs w:val="0"/>
                <w:sz w:val="18"/>
              </w:rPr>
              <w:t>Online help function and user guide.</w:t>
            </w:r>
          </w:p>
          <w:p w14:paraId="728FF883" w14:textId="77777777" w:rsidR="002F0FAB" w:rsidRPr="00C517C1" w:rsidRDefault="002F0FAB" w:rsidP="00C517C1">
            <w:pPr>
              <w:pStyle w:val="Heading2"/>
              <w:numPr>
                <w:ilvl w:val="0"/>
                <w:numId w:val="0"/>
              </w:numPr>
              <w:spacing w:before="120" w:after="120"/>
              <w:rPr>
                <w:rFonts w:ascii="Arial" w:hAnsi="Arial" w:cs="Arial"/>
                <w:b/>
                <w:bCs w:val="0"/>
                <w:sz w:val="18"/>
                <w:u w:val="single"/>
              </w:rPr>
            </w:pPr>
            <w:r w:rsidRPr="00C517C1">
              <w:rPr>
                <w:rFonts w:ascii="Arial" w:hAnsi="Arial" w:cs="Arial"/>
                <w:bCs w:val="0"/>
                <w:sz w:val="18"/>
              </w:rPr>
              <w:t>We can provide you with training at an additional charge.</w:t>
            </w:r>
          </w:p>
        </w:tc>
        <w:tc>
          <w:tcPr>
            <w:tcW w:w="3795" w:type="dxa"/>
            <w:shd w:val="clear" w:color="auto" w:fill="auto"/>
          </w:tcPr>
          <w:p w14:paraId="183DA9C3" w14:textId="77777777" w:rsidR="002F0FAB" w:rsidRPr="00C517C1" w:rsidRDefault="002F0FAB" w:rsidP="00C517C1">
            <w:pPr>
              <w:pStyle w:val="Heading2"/>
              <w:numPr>
                <w:ilvl w:val="0"/>
                <w:numId w:val="0"/>
              </w:numPr>
              <w:spacing w:before="120" w:after="120"/>
              <w:rPr>
                <w:rFonts w:ascii="Arial" w:hAnsi="Arial" w:cs="Arial"/>
                <w:b/>
                <w:bCs w:val="0"/>
                <w:sz w:val="18"/>
                <w:u w:val="single"/>
              </w:rPr>
            </w:pPr>
            <w:r w:rsidRPr="00C517C1">
              <w:rPr>
                <w:rFonts w:ascii="Arial" w:hAnsi="Arial" w:cs="Arial"/>
                <w:b/>
                <w:bCs w:val="0"/>
                <w:sz w:val="18"/>
                <w:u w:val="single"/>
              </w:rPr>
              <w:lastRenderedPageBreak/>
              <w:t xml:space="preserve">Time Series Reports - </w:t>
            </w:r>
          </w:p>
          <w:p w14:paraId="10A64E2C" w14:textId="77777777" w:rsidR="002F0FAB" w:rsidRPr="00C517C1" w:rsidRDefault="002F0FAB" w:rsidP="00C517C1">
            <w:pPr>
              <w:pStyle w:val="Heading2"/>
              <w:numPr>
                <w:ilvl w:val="0"/>
                <w:numId w:val="0"/>
              </w:numPr>
              <w:spacing w:after="120"/>
              <w:rPr>
                <w:rFonts w:ascii="Arial" w:hAnsi="Arial" w:cs="Arial"/>
                <w:bCs w:val="0"/>
                <w:sz w:val="18"/>
              </w:rPr>
            </w:pPr>
            <w:r w:rsidRPr="00C517C1">
              <w:rPr>
                <w:rFonts w:ascii="Arial" w:hAnsi="Arial" w:cs="Arial"/>
                <w:bCs w:val="0"/>
                <w:sz w:val="18"/>
              </w:rPr>
              <w:t>Weekly Comparison; and</w:t>
            </w:r>
          </w:p>
          <w:p w14:paraId="5711A787" w14:textId="77777777" w:rsidR="002F0FAB" w:rsidRPr="00C517C1" w:rsidRDefault="002F0FAB" w:rsidP="00C517C1">
            <w:pPr>
              <w:pStyle w:val="Heading2"/>
              <w:numPr>
                <w:ilvl w:val="0"/>
                <w:numId w:val="0"/>
              </w:numPr>
              <w:spacing w:after="120"/>
              <w:rPr>
                <w:rFonts w:ascii="Arial" w:hAnsi="Arial" w:cs="Arial"/>
                <w:bCs w:val="0"/>
                <w:sz w:val="18"/>
              </w:rPr>
            </w:pPr>
            <w:r w:rsidRPr="00C517C1">
              <w:rPr>
                <w:rFonts w:ascii="Arial" w:hAnsi="Arial" w:cs="Arial"/>
                <w:bCs w:val="0"/>
                <w:sz w:val="18"/>
              </w:rPr>
              <w:t>Monthly Comparison.</w:t>
            </w:r>
          </w:p>
          <w:p w14:paraId="5B54D310" w14:textId="77777777" w:rsidR="002F0FAB" w:rsidRPr="00C517C1" w:rsidRDefault="002F0FAB"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Additional functions include:</w:t>
            </w:r>
          </w:p>
          <w:p w14:paraId="6031F1AA" w14:textId="77777777" w:rsidR="002F0FAB" w:rsidRPr="00C517C1" w:rsidRDefault="002F0FAB" w:rsidP="00C517C1">
            <w:pPr>
              <w:pStyle w:val="Heading2"/>
              <w:numPr>
                <w:ilvl w:val="0"/>
                <w:numId w:val="13"/>
              </w:numPr>
              <w:spacing w:after="120"/>
              <w:rPr>
                <w:rFonts w:ascii="Arial" w:hAnsi="Arial" w:cs="Arial"/>
                <w:bCs w:val="0"/>
                <w:sz w:val="18"/>
              </w:rPr>
            </w:pPr>
            <w:r w:rsidRPr="00C517C1">
              <w:rPr>
                <w:rFonts w:ascii="Arial" w:hAnsi="Arial" w:cs="Arial"/>
                <w:bCs w:val="0"/>
                <w:sz w:val="18"/>
              </w:rPr>
              <w:t>The ability to create a new report, modify it by sorting and filtering the required data; and</w:t>
            </w:r>
          </w:p>
          <w:p w14:paraId="7710F353" w14:textId="77777777" w:rsidR="002F0FAB" w:rsidRPr="00C517C1" w:rsidRDefault="002F0FAB" w:rsidP="00C517C1">
            <w:pPr>
              <w:pStyle w:val="Heading2"/>
              <w:numPr>
                <w:ilvl w:val="0"/>
                <w:numId w:val="0"/>
              </w:numPr>
              <w:spacing w:before="120" w:after="120"/>
              <w:rPr>
                <w:rFonts w:ascii="Arial" w:hAnsi="Arial" w:cs="Arial"/>
                <w:b/>
                <w:bCs w:val="0"/>
                <w:sz w:val="18"/>
                <w:u w:val="single"/>
              </w:rPr>
            </w:pPr>
            <w:r w:rsidRPr="00C517C1">
              <w:rPr>
                <w:rFonts w:ascii="Arial" w:hAnsi="Arial" w:cs="Arial"/>
                <w:bCs w:val="0"/>
                <w:sz w:val="18"/>
              </w:rPr>
              <w:t xml:space="preserve">Individual call record extract function, enabling you to identify individual calls (with the last 2 digits masked for privacy reasons).  </w:t>
            </w:r>
          </w:p>
        </w:tc>
      </w:tr>
    </w:tbl>
    <w:p w14:paraId="07D042AC" w14:textId="77777777" w:rsidR="00127A10" w:rsidRPr="000B2230" w:rsidRDefault="00127A10" w:rsidP="00127A10">
      <w:pPr>
        <w:pStyle w:val="Heading2"/>
        <w:numPr>
          <w:ilvl w:val="0"/>
          <w:numId w:val="0"/>
        </w:numPr>
      </w:pPr>
    </w:p>
    <w:p w14:paraId="5B9A7947" w14:textId="77777777" w:rsidR="00127A10" w:rsidRPr="000B2230" w:rsidRDefault="00127A10" w:rsidP="00127A10">
      <w:pPr>
        <w:pStyle w:val="Heading2"/>
      </w:pPr>
      <w:r w:rsidRPr="000B2230">
        <w:t xml:space="preserve">If you have Network IVR and or a CTI Service with your Inbound Service, you will also have to select Telstra Analyser Online advanced version to include Network IVR reporting.  This option includes all the report, functions and features of the Telstra Analyser Online advanced version, 20 additional standard reports relating to total keystroke details and summary, caller initiated transfers, abandoned calls and system initiated transfer information.  These reports are broken down into hourly, daily, day of the week and monthly reports.  </w:t>
      </w:r>
    </w:p>
    <w:p w14:paraId="502B8CDB" w14:textId="77777777" w:rsidR="00127A10" w:rsidRPr="000B2230" w:rsidRDefault="00127A10" w:rsidP="00127A10">
      <w:pPr>
        <w:pStyle w:val="Heading2"/>
        <w:tabs>
          <w:tab w:val="clear" w:pos="0"/>
          <w:tab w:val="num" w:pos="737"/>
        </w:tabs>
      </w:pPr>
      <w:r w:rsidRPr="000B2230">
        <w:t>If you have an International Freecall or a Global 800 Service, you can choose between the standard or advanced version of Telstra Analyser Online.</w:t>
      </w:r>
    </w:p>
    <w:p w14:paraId="31C79543" w14:textId="77777777" w:rsidR="00127A10" w:rsidRPr="000B2230" w:rsidRDefault="00127A10" w:rsidP="00127A10">
      <w:pPr>
        <w:pStyle w:val="Indent1"/>
      </w:pPr>
      <w:bookmarkStart w:id="7" w:name="_Toc174364147"/>
      <w:r w:rsidRPr="000B2230">
        <w:t>Access to your reports</w:t>
      </w:r>
      <w:bookmarkEnd w:id="7"/>
    </w:p>
    <w:p w14:paraId="50B5EDCD" w14:textId="77777777" w:rsidR="00127A10" w:rsidRPr="000B2230" w:rsidRDefault="00854DA8" w:rsidP="00127A10">
      <w:pPr>
        <w:pStyle w:val="Heading2"/>
      </w:pPr>
      <w:r w:rsidRPr="00B250EC">
        <w:t xml:space="preserve">You need to have a separate account for each user that wishes to have access to Telstra Analyser Online.  </w:t>
      </w:r>
      <w:r w:rsidR="00127A10" w:rsidRPr="000B2230">
        <w:t>We cannot provide you with historical data on your Inbound Service for the timeframe before you receive the Telstra Analyser Online service.  We will provide you with access to your reports for the following time periods from the date where such information is first available:</w:t>
      </w:r>
    </w:p>
    <w:tbl>
      <w:tblPr>
        <w:tblW w:w="8133"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728"/>
        <w:gridCol w:w="2645"/>
      </w:tblGrid>
      <w:tr w:rsidR="00127A10" w:rsidRPr="000B2230" w14:paraId="3AFD73A4" w14:textId="77777777" w:rsidTr="00C517C1">
        <w:tc>
          <w:tcPr>
            <w:tcW w:w="2760" w:type="dxa"/>
            <w:shd w:val="clear" w:color="auto" w:fill="auto"/>
          </w:tcPr>
          <w:p w14:paraId="6E70AFBB" w14:textId="77777777" w:rsidR="00127A10" w:rsidRPr="00C517C1" w:rsidRDefault="00127A10" w:rsidP="00C517C1">
            <w:pPr>
              <w:pStyle w:val="Heading3"/>
              <w:numPr>
                <w:ilvl w:val="0"/>
                <w:numId w:val="0"/>
              </w:numPr>
              <w:spacing w:before="120" w:after="120"/>
              <w:jc w:val="center"/>
              <w:rPr>
                <w:rFonts w:ascii="Arial" w:hAnsi="Arial" w:cs="Arial"/>
                <w:b/>
                <w:sz w:val="18"/>
                <w:szCs w:val="18"/>
              </w:rPr>
            </w:pPr>
            <w:r w:rsidRPr="00C517C1">
              <w:rPr>
                <w:rFonts w:ascii="Arial" w:hAnsi="Arial" w:cs="Arial"/>
                <w:b/>
                <w:sz w:val="18"/>
                <w:szCs w:val="18"/>
              </w:rPr>
              <w:t>Report Detail</w:t>
            </w:r>
          </w:p>
        </w:tc>
        <w:tc>
          <w:tcPr>
            <w:tcW w:w="2728" w:type="dxa"/>
            <w:shd w:val="clear" w:color="auto" w:fill="auto"/>
          </w:tcPr>
          <w:p w14:paraId="7412861A" w14:textId="77777777" w:rsidR="00127A10" w:rsidRPr="00C517C1" w:rsidRDefault="00127A10" w:rsidP="00C517C1">
            <w:pPr>
              <w:pStyle w:val="Heading3"/>
              <w:numPr>
                <w:ilvl w:val="0"/>
                <w:numId w:val="0"/>
              </w:numPr>
              <w:spacing w:before="120" w:after="120"/>
              <w:jc w:val="center"/>
              <w:rPr>
                <w:rFonts w:ascii="Arial" w:hAnsi="Arial" w:cs="Arial"/>
                <w:b/>
                <w:sz w:val="18"/>
                <w:szCs w:val="18"/>
              </w:rPr>
            </w:pPr>
            <w:r w:rsidRPr="00C517C1">
              <w:rPr>
                <w:rFonts w:ascii="Arial" w:hAnsi="Arial" w:cs="Arial"/>
                <w:b/>
                <w:sz w:val="18"/>
                <w:szCs w:val="18"/>
              </w:rPr>
              <w:t>Telstra Analyser Online (standard)</w:t>
            </w:r>
          </w:p>
          <w:p w14:paraId="05AF8650" w14:textId="77777777" w:rsidR="00127A10" w:rsidRPr="00C517C1" w:rsidRDefault="00127A10" w:rsidP="00C517C1">
            <w:pPr>
              <w:pStyle w:val="Heading3"/>
              <w:numPr>
                <w:ilvl w:val="0"/>
                <w:numId w:val="0"/>
              </w:numPr>
              <w:jc w:val="center"/>
              <w:rPr>
                <w:rFonts w:ascii="Arial" w:hAnsi="Arial" w:cs="Arial"/>
                <w:b/>
                <w:sz w:val="18"/>
                <w:szCs w:val="18"/>
              </w:rPr>
            </w:pPr>
            <w:r w:rsidRPr="00C517C1">
              <w:rPr>
                <w:rFonts w:ascii="Arial" w:hAnsi="Arial" w:cs="Arial"/>
                <w:b/>
                <w:sz w:val="18"/>
                <w:szCs w:val="18"/>
              </w:rPr>
              <w:t>Period of time for access</w:t>
            </w:r>
          </w:p>
        </w:tc>
        <w:tc>
          <w:tcPr>
            <w:tcW w:w="2645" w:type="dxa"/>
            <w:shd w:val="clear" w:color="auto" w:fill="auto"/>
          </w:tcPr>
          <w:p w14:paraId="39C07012" w14:textId="77777777" w:rsidR="00127A10" w:rsidRPr="00C517C1" w:rsidRDefault="00127A10" w:rsidP="00C517C1">
            <w:pPr>
              <w:pStyle w:val="Heading3"/>
              <w:numPr>
                <w:ilvl w:val="0"/>
                <w:numId w:val="0"/>
              </w:numPr>
              <w:spacing w:before="120" w:after="120"/>
              <w:jc w:val="center"/>
              <w:rPr>
                <w:rFonts w:ascii="Arial" w:hAnsi="Arial" w:cs="Arial"/>
                <w:b/>
                <w:sz w:val="18"/>
                <w:szCs w:val="18"/>
              </w:rPr>
            </w:pPr>
            <w:r w:rsidRPr="00C517C1">
              <w:rPr>
                <w:rFonts w:ascii="Arial" w:hAnsi="Arial" w:cs="Arial"/>
                <w:b/>
                <w:sz w:val="18"/>
                <w:szCs w:val="18"/>
              </w:rPr>
              <w:t>Telstra Analyser Online (advanced)</w:t>
            </w:r>
          </w:p>
          <w:p w14:paraId="2698478B" w14:textId="77777777" w:rsidR="00127A10" w:rsidRPr="00C517C1" w:rsidRDefault="00127A10" w:rsidP="00C517C1">
            <w:pPr>
              <w:pStyle w:val="Heading3"/>
              <w:numPr>
                <w:ilvl w:val="0"/>
                <w:numId w:val="0"/>
              </w:numPr>
              <w:jc w:val="center"/>
              <w:rPr>
                <w:rFonts w:ascii="Arial" w:hAnsi="Arial" w:cs="Arial"/>
                <w:b/>
                <w:sz w:val="18"/>
                <w:szCs w:val="18"/>
              </w:rPr>
            </w:pPr>
            <w:r w:rsidRPr="00C517C1">
              <w:rPr>
                <w:rFonts w:ascii="Arial" w:hAnsi="Arial" w:cs="Arial"/>
                <w:b/>
                <w:sz w:val="18"/>
                <w:szCs w:val="18"/>
              </w:rPr>
              <w:t>Period of time for access</w:t>
            </w:r>
          </w:p>
        </w:tc>
      </w:tr>
      <w:tr w:rsidR="00127A10" w:rsidRPr="000B2230" w14:paraId="331607DE" w14:textId="77777777" w:rsidTr="00C517C1">
        <w:tc>
          <w:tcPr>
            <w:tcW w:w="2760" w:type="dxa"/>
            <w:shd w:val="clear" w:color="auto" w:fill="auto"/>
          </w:tcPr>
          <w:p w14:paraId="284A33BF" w14:textId="77777777" w:rsidR="00127A10" w:rsidRPr="00C517C1" w:rsidRDefault="00127A10" w:rsidP="00C517C1">
            <w:pPr>
              <w:pStyle w:val="Heading3"/>
              <w:numPr>
                <w:ilvl w:val="0"/>
                <w:numId w:val="0"/>
              </w:numPr>
              <w:spacing w:before="120" w:after="120"/>
              <w:rPr>
                <w:rFonts w:ascii="Arial" w:hAnsi="Arial" w:cs="Arial"/>
                <w:sz w:val="18"/>
                <w:szCs w:val="18"/>
              </w:rPr>
            </w:pPr>
            <w:r w:rsidRPr="00C517C1">
              <w:rPr>
                <w:rFonts w:ascii="Arial" w:hAnsi="Arial" w:cs="Arial"/>
                <w:sz w:val="18"/>
                <w:szCs w:val="18"/>
              </w:rPr>
              <w:t>Where reports are in minute intervals or where period is a range of minutes or individual call records</w:t>
            </w:r>
          </w:p>
        </w:tc>
        <w:tc>
          <w:tcPr>
            <w:tcW w:w="2728" w:type="dxa"/>
            <w:shd w:val="clear" w:color="auto" w:fill="auto"/>
            <w:vAlign w:val="center"/>
          </w:tcPr>
          <w:p w14:paraId="41AFDFB5"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N/A</w:t>
            </w:r>
          </w:p>
        </w:tc>
        <w:tc>
          <w:tcPr>
            <w:tcW w:w="2645" w:type="dxa"/>
            <w:shd w:val="clear" w:color="auto" w:fill="auto"/>
            <w:vAlign w:val="center"/>
          </w:tcPr>
          <w:p w14:paraId="1325FADF"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2 months</w:t>
            </w:r>
          </w:p>
        </w:tc>
      </w:tr>
      <w:tr w:rsidR="00127A10" w:rsidRPr="000B2230" w14:paraId="43294ABF" w14:textId="77777777" w:rsidTr="00C517C1">
        <w:tc>
          <w:tcPr>
            <w:tcW w:w="2760" w:type="dxa"/>
            <w:shd w:val="clear" w:color="auto" w:fill="auto"/>
          </w:tcPr>
          <w:p w14:paraId="6F3894BB" w14:textId="77777777" w:rsidR="00127A10" w:rsidRPr="00C517C1" w:rsidRDefault="00127A10" w:rsidP="00C517C1">
            <w:pPr>
              <w:pStyle w:val="Heading3"/>
              <w:numPr>
                <w:ilvl w:val="0"/>
                <w:numId w:val="0"/>
              </w:numPr>
              <w:spacing w:before="120" w:after="120"/>
              <w:rPr>
                <w:rFonts w:ascii="Arial" w:hAnsi="Arial" w:cs="Arial"/>
                <w:sz w:val="18"/>
                <w:szCs w:val="18"/>
              </w:rPr>
            </w:pPr>
            <w:r w:rsidRPr="00C517C1">
              <w:rPr>
                <w:rFonts w:ascii="Arial" w:hAnsi="Arial" w:cs="Arial"/>
                <w:sz w:val="18"/>
                <w:szCs w:val="18"/>
              </w:rPr>
              <w:t>Where reports are in 15 minute intervals or where the period is a range of 15 minute intervals</w:t>
            </w:r>
          </w:p>
        </w:tc>
        <w:tc>
          <w:tcPr>
            <w:tcW w:w="2728" w:type="dxa"/>
            <w:shd w:val="clear" w:color="auto" w:fill="auto"/>
            <w:vAlign w:val="center"/>
          </w:tcPr>
          <w:p w14:paraId="68AEB5E7"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N/A</w:t>
            </w:r>
          </w:p>
        </w:tc>
        <w:tc>
          <w:tcPr>
            <w:tcW w:w="2645" w:type="dxa"/>
            <w:shd w:val="clear" w:color="auto" w:fill="auto"/>
            <w:vAlign w:val="center"/>
          </w:tcPr>
          <w:p w14:paraId="11855562"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4 months</w:t>
            </w:r>
          </w:p>
        </w:tc>
      </w:tr>
      <w:tr w:rsidR="00127A10" w:rsidRPr="000B2230" w14:paraId="49D3CEDE" w14:textId="77777777" w:rsidTr="00C517C1">
        <w:tc>
          <w:tcPr>
            <w:tcW w:w="2760" w:type="dxa"/>
            <w:shd w:val="clear" w:color="auto" w:fill="auto"/>
          </w:tcPr>
          <w:p w14:paraId="2225596E" w14:textId="77777777" w:rsidR="00127A10" w:rsidRPr="00C517C1" w:rsidRDefault="00127A10" w:rsidP="00C517C1">
            <w:pPr>
              <w:pStyle w:val="Heading3"/>
              <w:numPr>
                <w:ilvl w:val="0"/>
                <w:numId w:val="0"/>
              </w:numPr>
              <w:spacing w:before="120" w:after="120"/>
              <w:rPr>
                <w:rFonts w:ascii="Arial" w:hAnsi="Arial" w:cs="Arial"/>
                <w:sz w:val="18"/>
                <w:szCs w:val="18"/>
              </w:rPr>
            </w:pPr>
            <w:r w:rsidRPr="00C517C1">
              <w:rPr>
                <w:rFonts w:ascii="Arial" w:hAnsi="Arial" w:cs="Arial"/>
                <w:sz w:val="18"/>
                <w:szCs w:val="18"/>
              </w:rPr>
              <w:t>Where reports are in hourly intervals or where period is a range of hours</w:t>
            </w:r>
          </w:p>
        </w:tc>
        <w:tc>
          <w:tcPr>
            <w:tcW w:w="2728" w:type="dxa"/>
            <w:shd w:val="clear" w:color="auto" w:fill="auto"/>
            <w:vAlign w:val="center"/>
          </w:tcPr>
          <w:p w14:paraId="0DE494D9"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6 months</w:t>
            </w:r>
          </w:p>
        </w:tc>
        <w:tc>
          <w:tcPr>
            <w:tcW w:w="2645" w:type="dxa"/>
            <w:shd w:val="clear" w:color="auto" w:fill="auto"/>
            <w:vAlign w:val="center"/>
          </w:tcPr>
          <w:p w14:paraId="152F120A"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6 months</w:t>
            </w:r>
          </w:p>
        </w:tc>
      </w:tr>
      <w:tr w:rsidR="00127A10" w:rsidRPr="000B2230" w14:paraId="0BAF5903" w14:textId="77777777" w:rsidTr="00C517C1">
        <w:tc>
          <w:tcPr>
            <w:tcW w:w="2760" w:type="dxa"/>
            <w:shd w:val="clear" w:color="auto" w:fill="auto"/>
          </w:tcPr>
          <w:p w14:paraId="5DB3EE31" w14:textId="77777777" w:rsidR="00127A10" w:rsidRPr="00C517C1" w:rsidRDefault="00127A10" w:rsidP="00C517C1">
            <w:pPr>
              <w:pStyle w:val="Heading3"/>
              <w:numPr>
                <w:ilvl w:val="0"/>
                <w:numId w:val="0"/>
              </w:numPr>
              <w:spacing w:before="120" w:after="120"/>
              <w:rPr>
                <w:rFonts w:ascii="Arial" w:hAnsi="Arial" w:cs="Arial"/>
                <w:sz w:val="18"/>
                <w:szCs w:val="18"/>
              </w:rPr>
            </w:pPr>
            <w:r w:rsidRPr="00C517C1">
              <w:rPr>
                <w:rFonts w:ascii="Arial" w:hAnsi="Arial" w:cs="Arial"/>
                <w:sz w:val="18"/>
                <w:szCs w:val="18"/>
              </w:rPr>
              <w:lastRenderedPageBreak/>
              <w:t>Where reports are in daily intervals or where period is a range of days</w:t>
            </w:r>
          </w:p>
        </w:tc>
        <w:tc>
          <w:tcPr>
            <w:tcW w:w="2728" w:type="dxa"/>
            <w:shd w:val="clear" w:color="auto" w:fill="auto"/>
            <w:vAlign w:val="center"/>
          </w:tcPr>
          <w:p w14:paraId="5AC5BBF2"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24 months</w:t>
            </w:r>
          </w:p>
        </w:tc>
        <w:tc>
          <w:tcPr>
            <w:tcW w:w="2645" w:type="dxa"/>
            <w:shd w:val="clear" w:color="auto" w:fill="auto"/>
            <w:vAlign w:val="center"/>
          </w:tcPr>
          <w:p w14:paraId="6EC80D33"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24 months</w:t>
            </w:r>
          </w:p>
        </w:tc>
      </w:tr>
      <w:tr w:rsidR="00127A10" w:rsidRPr="000B2230" w14:paraId="34811132" w14:textId="77777777" w:rsidTr="00C517C1">
        <w:tc>
          <w:tcPr>
            <w:tcW w:w="2760" w:type="dxa"/>
            <w:shd w:val="clear" w:color="auto" w:fill="auto"/>
          </w:tcPr>
          <w:p w14:paraId="60F688C0" w14:textId="77777777" w:rsidR="00127A10" w:rsidRPr="00C517C1" w:rsidRDefault="00127A10" w:rsidP="00C517C1">
            <w:pPr>
              <w:pStyle w:val="Heading3"/>
              <w:numPr>
                <w:ilvl w:val="0"/>
                <w:numId w:val="0"/>
              </w:numPr>
              <w:spacing w:before="120" w:after="120"/>
              <w:rPr>
                <w:rFonts w:ascii="Arial" w:hAnsi="Arial" w:cs="Arial"/>
                <w:sz w:val="18"/>
                <w:szCs w:val="18"/>
              </w:rPr>
            </w:pPr>
            <w:r w:rsidRPr="00C517C1">
              <w:rPr>
                <w:rFonts w:ascii="Arial" w:hAnsi="Arial" w:cs="Arial"/>
                <w:sz w:val="18"/>
                <w:szCs w:val="18"/>
              </w:rPr>
              <w:t>Where reports are in monthly intervals</w:t>
            </w:r>
          </w:p>
        </w:tc>
        <w:tc>
          <w:tcPr>
            <w:tcW w:w="2728" w:type="dxa"/>
            <w:shd w:val="clear" w:color="auto" w:fill="auto"/>
            <w:vAlign w:val="center"/>
          </w:tcPr>
          <w:p w14:paraId="6CE92495"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24 months</w:t>
            </w:r>
          </w:p>
        </w:tc>
        <w:tc>
          <w:tcPr>
            <w:tcW w:w="2645" w:type="dxa"/>
            <w:shd w:val="clear" w:color="auto" w:fill="auto"/>
            <w:vAlign w:val="center"/>
          </w:tcPr>
          <w:p w14:paraId="472D6B7A" w14:textId="77777777" w:rsidR="00127A10" w:rsidRPr="00C517C1" w:rsidRDefault="00127A10" w:rsidP="00C517C1">
            <w:pPr>
              <w:pStyle w:val="Heading3"/>
              <w:numPr>
                <w:ilvl w:val="0"/>
                <w:numId w:val="0"/>
              </w:numPr>
              <w:spacing w:before="120" w:after="120"/>
              <w:jc w:val="center"/>
              <w:rPr>
                <w:rFonts w:ascii="Arial" w:hAnsi="Arial" w:cs="Arial"/>
                <w:sz w:val="18"/>
                <w:szCs w:val="18"/>
              </w:rPr>
            </w:pPr>
            <w:r w:rsidRPr="00C517C1">
              <w:rPr>
                <w:rFonts w:ascii="Arial" w:hAnsi="Arial" w:cs="Arial"/>
                <w:sz w:val="18"/>
                <w:szCs w:val="18"/>
              </w:rPr>
              <w:t>24 months</w:t>
            </w:r>
          </w:p>
        </w:tc>
      </w:tr>
    </w:tbl>
    <w:p w14:paraId="567D77E4" w14:textId="77777777" w:rsidR="00127A10" w:rsidRPr="000B2230" w:rsidRDefault="00127A10" w:rsidP="00127A10">
      <w:pPr>
        <w:pStyle w:val="Heading3"/>
        <w:numPr>
          <w:ilvl w:val="0"/>
          <w:numId w:val="0"/>
        </w:numPr>
        <w:ind w:left="737"/>
      </w:pPr>
    </w:p>
    <w:p w14:paraId="266D3FAB" w14:textId="77777777" w:rsidR="00127A10" w:rsidRPr="000B2230" w:rsidRDefault="00127A10" w:rsidP="00127A10">
      <w:pPr>
        <w:pStyle w:val="Indent1"/>
      </w:pPr>
      <w:bookmarkStart w:id="8" w:name="_Toc174364148"/>
      <w:r w:rsidRPr="000B2230">
        <w:t>What you need for Telstra Analyser Online</w:t>
      </w:r>
      <w:bookmarkEnd w:id="8"/>
    </w:p>
    <w:p w14:paraId="483054CB" w14:textId="77777777" w:rsidR="00127A10" w:rsidRPr="000B2230" w:rsidRDefault="00127A10" w:rsidP="00127A10">
      <w:pPr>
        <w:pStyle w:val="Heading2"/>
      </w:pPr>
      <w:r w:rsidRPr="000B2230">
        <w:t xml:space="preserve">You need to have a Telstra Inbound Service to obtain Telstra Analyser Online. </w:t>
      </w:r>
    </w:p>
    <w:p w14:paraId="0131C924" w14:textId="77777777" w:rsidR="00127A10" w:rsidRPr="000B2230" w:rsidRDefault="00127A10" w:rsidP="00127A10">
      <w:pPr>
        <w:pStyle w:val="Heading2"/>
      </w:pPr>
      <w:r w:rsidRPr="000B2230">
        <w:t xml:space="preserve">You need to have internet access for Telstra Analyser Online and you acknowledge that Telstra Analyser Online is only accessible through the internet. </w:t>
      </w:r>
    </w:p>
    <w:p w14:paraId="6DFE11F0" w14:textId="77777777" w:rsidR="00127A10" w:rsidRPr="000B2230" w:rsidRDefault="00127A10" w:rsidP="00127A10">
      <w:pPr>
        <w:pStyle w:val="Heading2"/>
      </w:pPr>
      <w:r w:rsidRPr="000B2230">
        <w:t>You need to have certain equipment to obtain Telstra Analyser Online including:</w:t>
      </w:r>
    </w:p>
    <w:p w14:paraId="4703164E" w14:textId="77777777" w:rsidR="00127A10" w:rsidRPr="000B2230" w:rsidRDefault="00127A10" w:rsidP="00127A10">
      <w:pPr>
        <w:pStyle w:val="Heading3"/>
      </w:pPr>
      <w:r w:rsidRPr="000B2230">
        <w:t>Windows operating system running Internet Explorer version 5 or later or Netscape Navigator 6.2 or later (Note that Macintosh systems will be supported when using Netscape Navigator 6.2);</w:t>
      </w:r>
    </w:p>
    <w:p w14:paraId="5C7B85ED" w14:textId="77777777" w:rsidR="00127A10" w:rsidRPr="000B2230" w:rsidRDefault="00127A10" w:rsidP="00127A10">
      <w:pPr>
        <w:pStyle w:val="Heading3"/>
      </w:pPr>
      <w:r w:rsidRPr="000B2230">
        <w:t>modem (56 kbps or above recommended); and</w:t>
      </w:r>
    </w:p>
    <w:p w14:paraId="09CDBBE7" w14:textId="77777777" w:rsidR="00127A10" w:rsidRPr="000B2230" w:rsidRDefault="00127A10" w:rsidP="00127A10">
      <w:pPr>
        <w:pStyle w:val="Heading3"/>
      </w:pPr>
      <w:r w:rsidRPr="000B2230">
        <w:t>monitor with a minimum screen resolution of 800 x 600 pixels.</w:t>
      </w:r>
    </w:p>
    <w:p w14:paraId="34AE487D" w14:textId="77777777" w:rsidR="00127A10" w:rsidRPr="000B2230" w:rsidRDefault="00127A10" w:rsidP="00127A10">
      <w:pPr>
        <w:pStyle w:val="Indent1"/>
      </w:pPr>
      <w:bookmarkStart w:id="9" w:name="_Toc174364149"/>
      <w:r w:rsidRPr="000B2230">
        <w:t xml:space="preserve">Obtaining access to </w:t>
      </w:r>
      <w:r w:rsidRPr="000B2230">
        <w:rPr>
          <w:bCs w:val="0"/>
        </w:rPr>
        <w:t>Telstra Analyser Online</w:t>
      </w:r>
      <w:bookmarkEnd w:id="9"/>
    </w:p>
    <w:p w14:paraId="1D1FA666" w14:textId="7B906C3E" w:rsidR="00127A10" w:rsidRPr="000B2230" w:rsidRDefault="00127A10" w:rsidP="00127A10">
      <w:pPr>
        <w:pStyle w:val="Heading2"/>
      </w:pPr>
      <w:r w:rsidRPr="000B2230">
        <w:t xml:space="preserve">You can only use your Telstra Analyser Online if you have a Telstra digital </w:t>
      </w:r>
      <w:r w:rsidR="00C945F8">
        <w:t xml:space="preserve">ID </w:t>
      </w:r>
      <w:r w:rsidRPr="000B2230">
        <w:t xml:space="preserve">.  We will provide you with this when we arrange for you to have access to your Telstra Analyser Online.  </w:t>
      </w:r>
    </w:p>
    <w:p w14:paraId="623F595D" w14:textId="6E9577BD" w:rsidR="00127A10" w:rsidRPr="000B2230" w:rsidRDefault="00127A10" w:rsidP="00127A10">
      <w:pPr>
        <w:pStyle w:val="Heading2"/>
      </w:pPr>
      <w:r w:rsidRPr="000B2230">
        <w:t xml:space="preserve">If you have an existing Telstra digital </w:t>
      </w:r>
      <w:r w:rsidR="00C945F8">
        <w:t xml:space="preserve">ID </w:t>
      </w:r>
      <w:r w:rsidRPr="000B2230">
        <w:t xml:space="preserve">, you may be able to use this for your Telstra Analyser Online.  You must provide us with these details before we can give you access to your Telstra Analyser Online. </w:t>
      </w:r>
    </w:p>
    <w:p w14:paraId="33543B79" w14:textId="77777777" w:rsidR="00127A10" w:rsidRPr="000B2230" w:rsidRDefault="00127A10" w:rsidP="00127A10">
      <w:pPr>
        <w:pStyle w:val="Indent1"/>
      </w:pPr>
      <w:bookmarkStart w:id="10" w:name="_Toc174364150"/>
      <w:r w:rsidRPr="000B2230">
        <w:t>Eligibility</w:t>
      </w:r>
      <w:bookmarkEnd w:id="10"/>
    </w:p>
    <w:p w14:paraId="417A6002" w14:textId="77777777" w:rsidR="00127A10" w:rsidRPr="000B2230" w:rsidRDefault="00127A10" w:rsidP="00127A10">
      <w:pPr>
        <w:pStyle w:val="Heading2"/>
        <w:rPr>
          <w:b/>
          <w:i/>
        </w:rPr>
      </w:pPr>
      <w:r w:rsidRPr="000B2230">
        <w:t xml:space="preserve">Telstra Analyser Online is not available to Telstra wholesale customers or for resale. </w:t>
      </w:r>
      <w:bookmarkStart w:id="11" w:name="_Toc131330013"/>
      <w:bookmarkEnd w:id="11"/>
    </w:p>
    <w:p w14:paraId="0EC1F868" w14:textId="77777777" w:rsidR="00127A10" w:rsidRPr="000B2230" w:rsidRDefault="00127A10" w:rsidP="00127A10">
      <w:pPr>
        <w:pStyle w:val="Indent1"/>
      </w:pPr>
      <w:bookmarkStart w:id="12" w:name="_Toc174364151"/>
      <w:r w:rsidRPr="000B2230">
        <w:t>Your obligations</w:t>
      </w:r>
      <w:bookmarkEnd w:id="12"/>
    </w:p>
    <w:p w14:paraId="426372CA" w14:textId="77777777" w:rsidR="00127A10" w:rsidRPr="000B2230" w:rsidRDefault="00127A10" w:rsidP="00127A10">
      <w:pPr>
        <w:pStyle w:val="Heading2"/>
      </w:pPr>
      <w:r w:rsidRPr="000B2230">
        <w:t xml:space="preserve">You may only use Telstra Analyser Online for internal business purposes, unless otherwise agreed with us.  </w:t>
      </w:r>
    </w:p>
    <w:p w14:paraId="7C379462" w14:textId="77777777" w:rsidR="00127A10" w:rsidRPr="000B2230" w:rsidRDefault="00127A10" w:rsidP="00127A10">
      <w:pPr>
        <w:pStyle w:val="Heading2"/>
      </w:pPr>
      <w:r w:rsidRPr="000B2230">
        <w:t>You must not allow a third party to use Telstra Analyser Online unless you have our prior written consent.</w:t>
      </w:r>
    </w:p>
    <w:p w14:paraId="7B446E1B" w14:textId="77777777" w:rsidR="00127A10" w:rsidRPr="000B2230" w:rsidRDefault="00127A10" w:rsidP="00127A10">
      <w:pPr>
        <w:pStyle w:val="Heading2"/>
      </w:pPr>
      <w:r w:rsidRPr="000B2230">
        <w:lastRenderedPageBreak/>
        <w:t xml:space="preserve">You must provide us with any changes to your details.  </w:t>
      </w:r>
    </w:p>
    <w:p w14:paraId="0B41016A" w14:textId="77777777" w:rsidR="00127A10" w:rsidRPr="000B2230" w:rsidRDefault="00127A10" w:rsidP="00127A10">
      <w:pPr>
        <w:pStyle w:val="Heading2"/>
      </w:pPr>
      <w:r w:rsidRPr="000B2230">
        <w:t>You warrant that you will not use the information that we provide you to identify individuals making calls.</w:t>
      </w:r>
    </w:p>
    <w:p w14:paraId="57DFFFDF" w14:textId="77777777" w:rsidR="00127A10" w:rsidRPr="000B2230" w:rsidRDefault="00127A10" w:rsidP="00127A10">
      <w:pPr>
        <w:pStyle w:val="Indent1"/>
      </w:pPr>
      <w:bookmarkStart w:id="13" w:name="_Toc174364152"/>
      <w:r w:rsidRPr="000B2230">
        <w:t>Billing data</w:t>
      </w:r>
      <w:bookmarkEnd w:id="13"/>
    </w:p>
    <w:p w14:paraId="4767E8F9" w14:textId="77777777" w:rsidR="00127A10" w:rsidRPr="000B2230" w:rsidRDefault="00127A10" w:rsidP="00127A10">
      <w:pPr>
        <w:pStyle w:val="Heading2"/>
      </w:pPr>
      <w:r w:rsidRPr="000B2230">
        <w:t>While we exercise reasonable care in providing historical statistical reports, you may not rely on the information you receive from the historical statistical reports as a basis for what you will be charged for your Telstra Analyser Online.  We comply with all mandatory industry codes and applicable laws in relation to billing and if there is any discrepancy between the data contained in your bill (except where the bill contains a manifest error) and the data contained in historical statistical reports, the data in your bill will prevail.</w:t>
      </w:r>
    </w:p>
    <w:p w14:paraId="786185ED" w14:textId="77777777" w:rsidR="00127A10" w:rsidRPr="000B2230" w:rsidRDefault="00127A10" w:rsidP="00127A10">
      <w:pPr>
        <w:pStyle w:val="Indent1"/>
      </w:pPr>
      <w:bookmarkStart w:id="14" w:name="_Toc174364153"/>
      <w:r w:rsidRPr="000B2230">
        <w:t>Termination</w:t>
      </w:r>
      <w:bookmarkEnd w:id="14"/>
    </w:p>
    <w:p w14:paraId="505BBD66" w14:textId="77777777" w:rsidR="00127A10" w:rsidRPr="000B2230" w:rsidRDefault="00127A10" w:rsidP="00127A10">
      <w:pPr>
        <w:pStyle w:val="Heading2"/>
      </w:pPr>
      <w:r w:rsidRPr="000B2230">
        <w:t xml:space="preserve">We may cancel your Telstra Analyser Online if you have not used the service for more than six consecutive months but will </w:t>
      </w:r>
      <w:r w:rsidR="007E6383">
        <w:t>give you reasonable notice</w:t>
      </w:r>
      <w:r w:rsidRPr="000B2230">
        <w:t xml:space="preserve"> before we do so.</w:t>
      </w:r>
      <w:r w:rsidRPr="000B2230">
        <w:rPr>
          <w:b/>
          <w:bCs w:val="0"/>
          <w:iCs/>
        </w:rPr>
        <w:t xml:space="preserve">  </w:t>
      </w:r>
      <w:r w:rsidRPr="000B2230">
        <w:t xml:space="preserve">If you provide us with notice that you will not be using your Telstra Analyser Online for six months but you still want your service to continue, we will not cancel your Telstra Analyser Online. </w:t>
      </w:r>
    </w:p>
    <w:p w14:paraId="6A7DC5E6" w14:textId="77777777" w:rsidR="00127A10" w:rsidRPr="000B2230" w:rsidRDefault="00127A10" w:rsidP="00127A10">
      <w:pPr>
        <w:pStyle w:val="Indent1"/>
      </w:pPr>
      <w:bookmarkStart w:id="15" w:name="_Toc174364154"/>
      <w:r w:rsidRPr="000B2230">
        <w:t>Service Assurance</w:t>
      </w:r>
      <w:bookmarkEnd w:id="15"/>
    </w:p>
    <w:p w14:paraId="761DEC35" w14:textId="77777777" w:rsidR="00127A10" w:rsidRPr="000B2230" w:rsidRDefault="00127A10" w:rsidP="00127A10">
      <w:pPr>
        <w:pStyle w:val="Heading2"/>
      </w:pPr>
      <w:r w:rsidRPr="000B2230">
        <w:t>You acknowledge that the performance of your Telstra Analyser Online and the response time for reports to be downloaded is dependent on:</w:t>
      </w:r>
    </w:p>
    <w:p w14:paraId="74FB9D6B" w14:textId="77777777" w:rsidR="00127A10" w:rsidRPr="000B2230" w:rsidRDefault="00127A10" w:rsidP="00127A10">
      <w:pPr>
        <w:pStyle w:val="Heading3"/>
      </w:pPr>
      <w:r w:rsidRPr="000B2230">
        <w:t>the size of the report that you are downloading;</w:t>
      </w:r>
    </w:p>
    <w:p w14:paraId="73D30EEC" w14:textId="77777777" w:rsidR="00127A10" w:rsidRPr="000B2230" w:rsidRDefault="00127A10" w:rsidP="00127A10">
      <w:pPr>
        <w:pStyle w:val="Heading3"/>
      </w:pPr>
      <w:r w:rsidRPr="000B2230">
        <w:t>the number of users that are accessing Telstra Analyser Online; and</w:t>
      </w:r>
    </w:p>
    <w:p w14:paraId="02F07A16" w14:textId="77777777" w:rsidR="00127A10" w:rsidRPr="000B2230" w:rsidRDefault="00127A10" w:rsidP="00127A10">
      <w:pPr>
        <w:pStyle w:val="Heading3"/>
      </w:pPr>
      <w:r w:rsidRPr="000B2230">
        <w:t>the access speed and connection of your internet service.</w:t>
      </w:r>
    </w:p>
    <w:p w14:paraId="5E884554" w14:textId="77777777" w:rsidR="00127A10" w:rsidRPr="000B2230" w:rsidRDefault="00127A10" w:rsidP="00127A10">
      <w:pPr>
        <w:pStyle w:val="Heading2"/>
      </w:pPr>
      <w:r w:rsidRPr="000B2230">
        <w:t>We aim to have data available in your Telstra Analyser Online within the following time frames and</w:t>
      </w:r>
      <w:r w:rsidR="006E26C1">
        <w:t>,</w:t>
      </w:r>
      <w:r w:rsidRPr="000B2230">
        <w:t xml:space="preserve"> </w:t>
      </w:r>
      <w:r w:rsidR="006E26C1">
        <w:t>s</w:t>
      </w:r>
      <w:r w:rsidR="006E26C1" w:rsidRPr="006E26C1">
        <w:t>ubject to the Australian Consumer Law provisions in the General Terms of Our Customer Terms</w:t>
      </w:r>
      <w:r w:rsidR="006E26C1">
        <w:t>,</w:t>
      </w:r>
      <w:r w:rsidR="006E26C1" w:rsidRPr="006E26C1">
        <w:t xml:space="preserve"> </w:t>
      </w:r>
      <w:r w:rsidRPr="000B2230">
        <w:t>we are not responsible for any failure to meet the proposed targets.</w:t>
      </w:r>
    </w:p>
    <w:tbl>
      <w:tblPr>
        <w:tblW w:w="719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680"/>
      </w:tblGrid>
      <w:tr w:rsidR="00127A10" w:rsidRPr="000B2230" w14:paraId="618C4A64" w14:textId="77777777" w:rsidTr="00C517C1">
        <w:tc>
          <w:tcPr>
            <w:tcW w:w="3511" w:type="dxa"/>
            <w:shd w:val="clear" w:color="auto" w:fill="auto"/>
          </w:tcPr>
          <w:p w14:paraId="2CD88F38" w14:textId="77777777" w:rsidR="00127A10" w:rsidRPr="00C517C1" w:rsidRDefault="00127A10"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For Inbound Services apart from International Freecall and Global 800</w:t>
            </w:r>
          </w:p>
        </w:tc>
        <w:tc>
          <w:tcPr>
            <w:tcW w:w="3680" w:type="dxa"/>
            <w:shd w:val="clear" w:color="auto" w:fill="auto"/>
          </w:tcPr>
          <w:p w14:paraId="0AFB30D0" w14:textId="77777777" w:rsidR="00127A10" w:rsidRPr="00C517C1" w:rsidRDefault="00127A10"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Available next day of a call being made to your Inbound Service</w:t>
            </w:r>
          </w:p>
        </w:tc>
      </w:tr>
      <w:tr w:rsidR="00127A10" w:rsidRPr="000B2230" w14:paraId="2C6D2A3A" w14:textId="77777777" w:rsidTr="00C517C1">
        <w:tc>
          <w:tcPr>
            <w:tcW w:w="3511" w:type="dxa"/>
            <w:shd w:val="clear" w:color="auto" w:fill="auto"/>
          </w:tcPr>
          <w:p w14:paraId="5E0ECC52" w14:textId="77777777" w:rsidR="00127A10" w:rsidRPr="00C517C1" w:rsidRDefault="00127A10"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For International Freecall and Global 800</w:t>
            </w:r>
          </w:p>
        </w:tc>
        <w:tc>
          <w:tcPr>
            <w:tcW w:w="3680" w:type="dxa"/>
            <w:shd w:val="clear" w:color="auto" w:fill="auto"/>
          </w:tcPr>
          <w:p w14:paraId="78C15880" w14:textId="77777777" w:rsidR="00127A10" w:rsidRPr="00C517C1" w:rsidRDefault="00127A10"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Within 3 days of a call being made to your Inbound Service</w:t>
            </w:r>
          </w:p>
        </w:tc>
      </w:tr>
    </w:tbl>
    <w:p w14:paraId="72F9B322" w14:textId="77777777" w:rsidR="00127A10" w:rsidRPr="000B2230" w:rsidRDefault="00127A10" w:rsidP="00127A10"/>
    <w:p w14:paraId="705A04CD" w14:textId="77777777" w:rsidR="00127A10" w:rsidRPr="000B2230" w:rsidRDefault="00127A10" w:rsidP="00127A10">
      <w:pPr>
        <w:pStyle w:val="Heading2"/>
      </w:pPr>
      <w:r w:rsidRPr="000B2230">
        <w:lastRenderedPageBreak/>
        <w:t xml:space="preserve">We will provide you with support for your Telstra Analyser Online during the hours of 7am - 7pm Monday to Friday (excluding public holidays).  You can contact the help desk on 1800 200 121 for support that you require. </w:t>
      </w:r>
    </w:p>
    <w:p w14:paraId="48772A94" w14:textId="77777777" w:rsidR="00127A10" w:rsidRPr="000B2230" w:rsidRDefault="00127A10" w:rsidP="00127A10">
      <w:pPr>
        <w:pStyle w:val="Heading2"/>
      </w:pPr>
      <w:r w:rsidRPr="000B2230">
        <w:t>You will not have access to Telstra Analyser Online between midnight and 8am.</w:t>
      </w:r>
    </w:p>
    <w:p w14:paraId="1EA93E38" w14:textId="77777777" w:rsidR="00127A10" w:rsidRPr="000B2230" w:rsidRDefault="00127A10" w:rsidP="00127A10">
      <w:pPr>
        <w:pStyle w:val="Indent1"/>
      </w:pPr>
      <w:bookmarkStart w:id="16" w:name="_Toc174364155"/>
      <w:r w:rsidRPr="000B2230">
        <w:t>Security</w:t>
      </w:r>
      <w:bookmarkEnd w:id="16"/>
    </w:p>
    <w:p w14:paraId="5DC4A4A3" w14:textId="77777777" w:rsidR="00127A10" w:rsidRPr="000B2230" w:rsidRDefault="00127A10" w:rsidP="00127A10">
      <w:pPr>
        <w:pStyle w:val="Heading2"/>
      </w:pPr>
      <w:r w:rsidRPr="000B2230">
        <w:t>For security reasons, you must log-off the Telstra Analyser Online via the User Information page and keep your digital certificate secure.</w:t>
      </w:r>
    </w:p>
    <w:p w14:paraId="5BECE731" w14:textId="77777777" w:rsidR="00127A10" w:rsidRPr="000B2230" w:rsidRDefault="00127A10" w:rsidP="00127A10">
      <w:pPr>
        <w:pStyle w:val="Indent1"/>
      </w:pPr>
      <w:bookmarkStart w:id="17" w:name="_Toc174364156"/>
      <w:r w:rsidRPr="000B2230">
        <w:t>Intellectual</w:t>
      </w:r>
      <w:r w:rsidRPr="000B2230">
        <w:rPr>
          <w:b w:val="0"/>
          <w:bCs w:val="0"/>
        </w:rPr>
        <w:t xml:space="preserve"> </w:t>
      </w:r>
      <w:r w:rsidRPr="000B2230">
        <w:rPr>
          <w:bCs w:val="0"/>
        </w:rPr>
        <w:t>Property</w:t>
      </w:r>
      <w:bookmarkEnd w:id="17"/>
    </w:p>
    <w:p w14:paraId="2A6E24CF" w14:textId="77777777" w:rsidR="00127A10" w:rsidRPr="000B2230" w:rsidRDefault="00127A10" w:rsidP="00127A10">
      <w:pPr>
        <w:pStyle w:val="Heading2"/>
        <w:rPr>
          <w:rFonts w:ascii="Arial" w:hAnsi="Arial" w:cs="Arial"/>
          <w:b/>
          <w:sz w:val="21"/>
        </w:rPr>
      </w:pPr>
      <w:r w:rsidRPr="000B2230">
        <w:t>We or our suppliers own all the intellectual property rights in the reports and other data that is provided to you as part of your Telstra Analyser Online.  We grant you a licence to use the reports and data for the purpose of analysing your Inbound Service.</w:t>
      </w:r>
    </w:p>
    <w:p w14:paraId="5E86E327" w14:textId="77777777" w:rsidR="00127A10" w:rsidRPr="000B2230" w:rsidRDefault="00127A10" w:rsidP="00127A10">
      <w:pPr>
        <w:pStyle w:val="Indent1"/>
      </w:pPr>
      <w:bookmarkStart w:id="18" w:name="_Toc174364157"/>
      <w:r w:rsidRPr="000B2230">
        <w:t>Charges</w:t>
      </w:r>
      <w:bookmarkEnd w:id="18"/>
    </w:p>
    <w:p w14:paraId="77C533B8" w14:textId="77777777" w:rsidR="00854DA8" w:rsidRDefault="00854DA8" w:rsidP="00127A10">
      <w:pPr>
        <w:pStyle w:val="Heading2"/>
      </w:pPr>
      <w:r w:rsidRPr="00B250EC">
        <w:t xml:space="preserve">On and from </w:t>
      </w:r>
      <w:r>
        <w:t>1 September 2008</w:t>
      </w:r>
      <w:r w:rsidRPr="00B250EC">
        <w:t xml:space="preserve"> Telstra will charge you for Telstra Analyser Online on a per user basis.  This charging structure will only apply to new users that you add from </w:t>
      </w:r>
      <w:r>
        <w:t>1 September 2008</w:t>
      </w:r>
      <w:r w:rsidRPr="00B250EC">
        <w:t>.</w:t>
      </w:r>
    </w:p>
    <w:p w14:paraId="635E10E7" w14:textId="77777777" w:rsidR="00127A10" w:rsidRPr="000B2230" w:rsidRDefault="00127A10" w:rsidP="00127A10">
      <w:pPr>
        <w:pStyle w:val="Heading2"/>
      </w:pPr>
      <w:r w:rsidRPr="000B2230">
        <w:t>You must pay the following connection charge for your Telstra Analyser Online:</w:t>
      </w:r>
    </w:p>
    <w:tbl>
      <w:tblPr>
        <w:tblW w:w="7151"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2791"/>
      </w:tblGrid>
      <w:tr w:rsidR="00127A10" w:rsidRPr="00C517C1" w14:paraId="2F294EFD" w14:textId="77777777" w:rsidTr="00C517C1">
        <w:tc>
          <w:tcPr>
            <w:tcW w:w="4360" w:type="dxa"/>
            <w:shd w:val="clear" w:color="auto" w:fill="auto"/>
          </w:tcPr>
          <w:p w14:paraId="2ABB5FE3" w14:textId="77777777" w:rsidR="00127A10" w:rsidRPr="00C517C1" w:rsidRDefault="00127A10" w:rsidP="00C517C1">
            <w:pPr>
              <w:pStyle w:val="Heading2"/>
              <w:keepNext/>
              <w:numPr>
                <w:ilvl w:val="0"/>
                <w:numId w:val="0"/>
              </w:numPr>
              <w:spacing w:before="120" w:after="120"/>
              <w:rPr>
                <w:rFonts w:ascii="Arial" w:hAnsi="Arial" w:cs="Arial"/>
                <w:bCs w:val="0"/>
                <w:sz w:val="18"/>
              </w:rPr>
            </w:pPr>
          </w:p>
        </w:tc>
        <w:tc>
          <w:tcPr>
            <w:tcW w:w="2791" w:type="dxa"/>
            <w:shd w:val="clear" w:color="auto" w:fill="auto"/>
          </w:tcPr>
          <w:p w14:paraId="715A4581" w14:textId="77777777" w:rsidR="00127A10" w:rsidRPr="00C517C1" w:rsidRDefault="00127A10" w:rsidP="00C517C1">
            <w:pPr>
              <w:pStyle w:val="Heading2"/>
              <w:keepNext/>
              <w:numPr>
                <w:ilvl w:val="0"/>
                <w:numId w:val="0"/>
              </w:numPr>
              <w:spacing w:before="120" w:after="120"/>
              <w:rPr>
                <w:rFonts w:ascii="Arial" w:hAnsi="Arial" w:cs="Arial"/>
                <w:bCs w:val="0"/>
                <w:sz w:val="18"/>
              </w:rPr>
            </w:pPr>
            <w:r w:rsidRPr="00C517C1">
              <w:rPr>
                <w:rFonts w:ascii="Arial" w:hAnsi="Arial" w:cs="Arial"/>
                <w:b/>
                <w:bCs w:val="0"/>
                <w:sz w:val="18"/>
                <w:szCs w:val="18"/>
              </w:rPr>
              <w:t>GST excl.</w:t>
            </w:r>
          </w:p>
        </w:tc>
      </w:tr>
      <w:tr w:rsidR="00854DA8" w:rsidRPr="00C517C1" w14:paraId="7C326D5E" w14:textId="77777777" w:rsidTr="00C517C1">
        <w:tc>
          <w:tcPr>
            <w:tcW w:w="4360" w:type="dxa"/>
            <w:shd w:val="clear" w:color="auto" w:fill="auto"/>
          </w:tcPr>
          <w:p w14:paraId="5EC813C1" w14:textId="77777777" w:rsidR="00854DA8" w:rsidRPr="00C517C1" w:rsidRDefault="00854DA8"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 xml:space="preserve">Connection Charge </w:t>
            </w:r>
          </w:p>
        </w:tc>
        <w:tc>
          <w:tcPr>
            <w:tcW w:w="2791" w:type="dxa"/>
            <w:shd w:val="clear" w:color="auto" w:fill="auto"/>
          </w:tcPr>
          <w:p w14:paraId="3CAAB6C5" w14:textId="77777777" w:rsidR="00854DA8" w:rsidRPr="00C517C1" w:rsidRDefault="00854DA8" w:rsidP="00C517C1">
            <w:pPr>
              <w:pStyle w:val="Heading2"/>
              <w:numPr>
                <w:ilvl w:val="0"/>
                <w:numId w:val="0"/>
              </w:numPr>
              <w:spacing w:before="120" w:after="120"/>
              <w:jc w:val="right"/>
              <w:rPr>
                <w:rFonts w:ascii="Arial" w:hAnsi="Arial" w:cs="Arial"/>
                <w:bCs w:val="0"/>
                <w:sz w:val="18"/>
              </w:rPr>
            </w:pPr>
            <w:r w:rsidRPr="00C517C1">
              <w:rPr>
                <w:rFonts w:ascii="Arial" w:hAnsi="Arial" w:cs="Arial"/>
                <w:bCs w:val="0"/>
                <w:sz w:val="18"/>
              </w:rPr>
              <w:t>$85.00</w:t>
            </w:r>
            <w:r w:rsidRPr="00C517C1">
              <w:rPr>
                <w:rFonts w:ascii="Arial" w:hAnsi="Arial" w:cs="Arial"/>
                <w:bCs w:val="0"/>
                <w:sz w:val="18"/>
              </w:rPr>
              <w:br/>
              <w:t>(once off charge per user ID)</w:t>
            </w:r>
          </w:p>
        </w:tc>
      </w:tr>
    </w:tbl>
    <w:p w14:paraId="359AAC21" w14:textId="77777777" w:rsidR="00127A10" w:rsidRPr="000B2230" w:rsidRDefault="00127A10" w:rsidP="00127A10">
      <w:pPr>
        <w:pStyle w:val="Heading2"/>
        <w:numPr>
          <w:ilvl w:val="0"/>
          <w:numId w:val="0"/>
        </w:numPr>
      </w:pPr>
    </w:p>
    <w:p w14:paraId="09CA46EF" w14:textId="77777777" w:rsidR="00127A10" w:rsidRPr="000B2230" w:rsidRDefault="00127A10" w:rsidP="00127A10">
      <w:pPr>
        <w:pStyle w:val="Heading2"/>
      </w:pPr>
      <w:r w:rsidRPr="000B2230">
        <w:t>You must pay the following monthly fees for your Telstra Analyser Online:</w:t>
      </w:r>
    </w:p>
    <w:tbl>
      <w:tblPr>
        <w:tblW w:w="713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2777"/>
      </w:tblGrid>
      <w:tr w:rsidR="00127A10" w:rsidRPr="00C517C1" w14:paraId="0B668050" w14:textId="77777777" w:rsidTr="00C517C1">
        <w:tc>
          <w:tcPr>
            <w:tcW w:w="4360" w:type="dxa"/>
            <w:shd w:val="clear" w:color="auto" w:fill="auto"/>
          </w:tcPr>
          <w:p w14:paraId="300FE33E" w14:textId="77777777" w:rsidR="00127A10" w:rsidRPr="00C517C1" w:rsidRDefault="00127A10" w:rsidP="00C517C1">
            <w:pPr>
              <w:pStyle w:val="Heading2"/>
              <w:keepNext/>
              <w:numPr>
                <w:ilvl w:val="0"/>
                <w:numId w:val="0"/>
              </w:numPr>
              <w:spacing w:before="120" w:after="120"/>
              <w:rPr>
                <w:rFonts w:ascii="Arial" w:hAnsi="Arial" w:cs="Arial"/>
                <w:bCs w:val="0"/>
                <w:sz w:val="18"/>
              </w:rPr>
            </w:pPr>
          </w:p>
        </w:tc>
        <w:tc>
          <w:tcPr>
            <w:tcW w:w="2777" w:type="dxa"/>
            <w:shd w:val="clear" w:color="auto" w:fill="auto"/>
          </w:tcPr>
          <w:p w14:paraId="6C8D7FA3" w14:textId="77777777" w:rsidR="00127A10" w:rsidRPr="00C517C1" w:rsidRDefault="00127A10" w:rsidP="00C517C1">
            <w:pPr>
              <w:pStyle w:val="Heading2"/>
              <w:keepNext/>
              <w:numPr>
                <w:ilvl w:val="0"/>
                <w:numId w:val="0"/>
              </w:numPr>
              <w:spacing w:before="120" w:after="120"/>
              <w:rPr>
                <w:rFonts w:ascii="Arial" w:hAnsi="Arial" w:cs="Arial"/>
                <w:bCs w:val="0"/>
                <w:sz w:val="18"/>
              </w:rPr>
            </w:pPr>
            <w:r w:rsidRPr="00C517C1">
              <w:rPr>
                <w:rFonts w:ascii="Arial" w:hAnsi="Arial" w:cs="Arial"/>
                <w:b/>
                <w:bCs w:val="0"/>
                <w:sz w:val="18"/>
                <w:szCs w:val="18"/>
              </w:rPr>
              <w:t>GST excl.</w:t>
            </w:r>
          </w:p>
        </w:tc>
      </w:tr>
      <w:tr w:rsidR="00854DA8" w:rsidRPr="00C517C1" w14:paraId="771B4A3E" w14:textId="77777777" w:rsidTr="00C517C1">
        <w:tc>
          <w:tcPr>
            <w:tcW w:w="4360" w:type="dxa"/>
            <w:shd w:val="clear" w:color="auto" w:fill="auto"/>
          </w:tcPr>
          <w:p w14:paraId="76552658" w14:textId="77777777" w:rsidR="00854DA8" w:rsidRPr="00C517C1" w:rsidRDefault="00854DA8"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 xml:space="preserve">Standard Telstra Analyser Online </w:t>
            </w:r>
          </w:p>
        </w:tc>
        <w:tc>
          <w:tcPr>
            <w:tcW w:w="2777" w:type="dxa"/>
            <w:shd w:val="clear" w:color="auto" w:fill="auto"/>
          </w:tcPr>
          <w:p w14:paraId="3BAD0165" w14:textId="58325507" w:rsidR="00854DA8" w:rsidRPr="00C517C1" w:rsidRDefault="00854B40" w:rsidP="00C517C1">
            <w:pPr>
              <w:pStyle w:val="Heading2"/>
              <w:numPr>
                <w:ilvl w:val="0"/>
                <w:numId w:val="0"/>
              </w:numPr>
              <w:spacing w:before="120" w:after="120"/>
              <w:jc w:val="right"/>
              <w:rPr>
                <w:rFonts w:ascii="Arial" w:hAnsi="Arial" w:cs="Arial"/>
                <w:bCs w:val="0"/>
                <w:sz w:val="18"/>
              </w:rPr>
            </w:pPr>
            <w:r>
              <w:rPr>
                <w:rFonts w:ascii="Arial" w:hAnsi="Arial" w:cs="Arial"/>
                <w:bCs w:val="0"/>
                <w:sz w:val="18"/>
              </w:rPr>
              <w:t>$30</w:t>
            </w:r>
            <w:r w:rsidR="00854DA8" w:rsidRPr="00C517C1">
              <w:rPr>
                <w:rFonts w:ascii="Arial" w:hAnsi="Arial" w:cs="Arial"/>
                <w:bCs w:val="0"/>
                <w:sz w:val="18"/>
              </w:rPr>
              <w:br/>
              <w:t>(monthly charge per user ID)</w:t>
            </w:r>
          </w:p>
        </w:tc>
      </w:tr>
      <w:tr w:rsidR="00854DA8" w:rsidRPr="00C517C1" w14:paraId="11F611B6" w14:textId="77777777" w:rsidTr="00C517C1">
        <w:tc>
          <w:tcPr>
            <w:tcW w:w="4360" w:type="dxa"/>
            <w:shd w:val="clear" w:color="auto" w:fill="auto"/>
          </w:tcPr>
          <w:p w14:paraId="6CFC2275" w14:textId="77777777" w:rsidR="00854DA8" w:rsidRPr="00C517C1" w:rsidRDefault="00854DA8" w:rsidP="00C517C1">
            <w:pPr>
              <w:pStyle w:val="Heading2"/>
              <w:numPr>
                <w:ilvl w:val="0"/>
                <w:numId w:val="0"/>
              </w:numPr>
              <w:spacing w:before="120" w:after="120"/>
              <w:rPr>
                <w:rFonts w:ascii="Arial" w:hAnsi="Arial" w:cs="Arial"/>
                <w:bCs w:val="0"/>
                <w:sz w:val="18"/>
              </w:rPr>
            </w:pPr>
            <w:r w:rsidRPr="00C517C1">
              <w:rPr>
                <w:rFonts w:ascii="Arial" w:hAnsi="Arial" w:cs="Arial"/>
                <w:bCs w:val="0"/>
                <w:sz w:val="18"/>
              </w:rPr>
              <w:t>Advance Telstra Analyser Online</w:t>
            </w:r>
          </w:p>
        </w:tc>
        <w:tc>
          <w:tcPr>
            <w:tcW w:w="2777" w:type="dxa"/>
            <w:shd w:val="clear" w:color="auto" w:fill="auto"/>
          </w:tcPr>
          <w:p w14:paraId="1FC2DF1D" w14:textId="568B5E7E" w:rsidR="00854DA8" w:rsidRPr="00C517C1" w:rsidRDefault="00854B40" w:rsidP="00C517C1">
            <w:pPr>
              <w:pStyle w:val="Heading2"/>
              <w:numPr>
                <w:ilvl w:val="0"/>
                <w:numId w:val="0"/>
              </w:numPr>
              <w:spacing w:before="120" w:after="120"/>
              <w:jc w:val="right"/>
              <w:rPr>
                <w:rFonts w:ascii="Arial" w:hAnsi="Arial" w:cs="Arial"/>
                <w:bCs w:val="0"/>
                <w:sz w:val="18"/>
              </w:rPr>
            </w:pPr>
            <w:r>
              <w:rPr>
                <w:rFonts w:ascii="Arial" w:hAnsi="Arial" w:cs="Arial"/>
                <w:bCs w:val="0"/>
                <w:sz w:val="18"/>
              </w:rPr>
              <w:t>$80</w:t>
            </w:r>
            <w:r w:rsidR="00854DA8" w:rsidRPr="00C517C1">
              <w:rPr>
                <w:rFonts w:ascii="Arial" w:hAnsi="Arial" w:cs="Arial"/>
                <w:bCs w:val="0"/>
                <w:sz w:val="18"/>
              </w:rPr>
              <w:br/>
              <w:t>(monthly charge per user ID)</w:t>
            </w:r>
          </w:p>
        </w:tc>
      </w:tr>
    </w:tbl>
    <w:p w14:paraId="2812331C" w14:textId="77777777" w:rsidR="00127A10" w:rsidRPr="000B2230" w:rsidRDefault="00127A10" w:rsidP="00127A10">
      <w:pPr>
        <w:pStyle w:val="Heading2"/>
        <w:numPr>
          <w:ilvl w:val="0"/>
          <w:numId w:val="0"/>
        </w:numPr>
      </w:pPr>
    </w:p>
    <w:p w14:paraId="35033AD9" w14:textId="79C97AB6" w:rsidR="00766C55" w:rsidRDefault="00127A10" w:rsidP="00127A10">
      <w:pPr>
        <w:pStyle w:val="Heading2"/>
      </w:pPr>
      <w:r w:rsidRPr="000B2230">
        <w:t>If you request training for Telstra Online Analyser, you must pay the following fee.  The training fee is for a training session that is limited to</w:t>
      </w:r>
      <w:r w:rsidR="006D7351">
        <w:t xml:space="preserve"> either</w:t>
      </w:r>
      <w:r w:rsidR="00766C55">
        <w:t>:</w:t>
      </w:r>
    </w:p>
    <w:p w14:paraId="12958552" w14:textId="41759386" w:rsidR="00766C55" w:rsidRDefault="00127A10" w:rsidP="00766C55">
      <w:pPr>
        <w:pStyle w:val="Heading3"/>
      </w:pPr>
      <w:r w:rsidRPr="000B2230">
        <w:t xml:space="preserve">one </w:t>
      </w:r>
      <w:r w:rsidR="0078444B">
        <w:t>half day (</w:t>
      </w:r>
      <w:r w:rsidRPr="000B2230">
        <w:t>three hour</w:t>
      </w:r>
      <w:r w:rsidR="0078444B">
        <w:t>s)</w:t>
      </w:r>
      <w:r w:rsidRPr="000B2230">
        <w:t xml:space="preserve"> </w:t>
      </w:r>
      <w:r w:rsidR="0039086A">
        <w:t>remote</w:t>
      </w:r>
      <w:r w:rsidRPr="000B2230">
        <w:t xml:space="preserve"> training</w:t>
      </w:r>
      <w:r w:rsidR="006D7351">
        <w:t xml:space="preserve"> </w:t>
      </w:r>
      <w:r w:rsidR="00766C55">
        <w:t xml:space="preserve">session; </w:t>
      </w:r>
      <w:r w:rsidR="006D7351">
        <w:t xml:space="preserve">or </w:t>
      </w:r>
    </w:p>
    <w:p w14:paraId="5D3F714B" w14:textId="7B41A21D" w:rsidR="00127A10" w:rsidRPr="000B2230" w:rsidRDefault="006D7351" w:rsidP="0078444B">
      <w:pPr>
        <w:pStyle w:val="Heading3"/>
      </w:pPr>
      <w:r>
        <w:lastRenderedPageBreak/>
        <w:t>a full day training</w:t>
      </w:r>
      <w:r w:rsidR="00127A10" w:rsidRPr="000B2230">
        <w:t xml:space="preserve"> </w:t>
      </w:r>
      <w:r w:rsidR="00766C55">
        <w:t xml:space="preserve">session </w:t>
      </w:r>
      <w:r w:rsidR="00127A10" w:rsidRPr="000B2230">
        <w:t xml:space="preserve">with a maximum of </w:t>
      </w:r>
      <w:r>
        <w:t>five</w:t>
      </w:r>
      <w:r w:rsidRPr="000B2230">
        <w:t xml:space="preserve"> </w:t>
      </w:r>
      <w:r w:rsidR="00127A10" w:rsidRPr="000B2230">
        <w:t>people employed by you</w:t>
      </w:r>
      <w:r>
        <w:t xml:space="preserve"> </w:t>
      </w:r>
      <w:r w:rsidR="00766C55">
        <w:t>that</w:t>
      </w:r>
      <w:r>
        <w:t xml:space="preserve"> already </w:t>
      </w:r>
      <w:r w:rsidR="00766C55">
        <w:t xml:space="preserve">have </w:t>
      </w:r>
      <w:r>
        <w:t>access to Telstra Analyser Online</w:t>
      </w:r>
      <w:r w:rsidR="00127A10" w:rsidRPr="000B2230">
        <w:t>.</w:t>
      </w:r>
    </w:p>
    <w:tbl>
      <w:tblPr>
        <w:tblW w:w="633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1974"/>
      </w:tblGrid>
      <w:tr w:rsidR="00127A10" w:rsidRPr="00C517C1" w14:paraId="5699776A" w14:textId="77777777" w:rsidTr="00C517C1">
        <w:tc>
          <w:tcPr>
            <w:tcW w:w="4360" w:type="dxa"/>
            <w:shd w:val="clear" w:color="auto" w:fill="auto"/>
          </w:tcPr>
          <w:p w14:paraId="65EA25F5" w14:textId="77777777" w:rsidR="00127A10" w:rsidRPr="00C517C1" w:rsidRDefault="00127A10" w:rsidP="00C517C1">
            <w:pPr>
              <w:pStyle w:val="Heading2"/>
              <w:keepNext/>
              <w:numPr>
                <w:ilvl w:val="0"/>
                <w:numId w:val="0"/>
              </w:numPr>
              <w:spacing w:before="120" w:after="120"/>
              <w:rPr>
                <w:rFonts w:ascii="Arial" w:hAnsi="Arial" w:cs="Arial"/>
                <w:bCs w:val="0"/>
                <w:sz w:val="18"/>
              </w:rPr>
            </w:pPr>
          </w:p>
        </w:tc>
        <w:tc>
          <w:tcPr>
            <w:tcW w:w="1974" w:type="dxa"/>
            <w:shd w:val="clear" w:color="auto" w:fill="auto"/>
          </w:tcPr>
          <w:p w14:paraId="62BF0E6E" w14:textId="77777777" w:rsidR="00127A10" w:rsidRPr="00C517C1" w:rsidRDefault="00127A10" w:rsidP="00C517C1">
            <w:pPr>
              <w:pStyle w:val="Heading2"/>
              <w:keepNext/>
              <w:numPr>
                <w:ilvl w:val="0"/>
                <w:numId w:val="0"/>
              </w:numPr>
              <w:spacing w:before="120" w:after="120"/>
              <w:rPr>
                <w:rFonts w:ascii="Arial" w:hAnsi="Arial" w:cs="Arial"/>
                <w:bCs w:val="0"/>
                <w:sz w:val="18"/>
              </w:rPr>
            </w:pPr>
            <w:r w:rsidRPr="00C517C1">
              <w:rPr>
                <w:rFonts w:ascii="Arial" w:hAnsi="Arial" w:cs="Arial"/>
                <w:b/>
                <w:bCs w:val="0"/>
                <w:sz w:val="18"/>
                <w:szCs w:val="18"/>
              </w:rPr>
              <w:t>GST excl.</w:t>
            </w:r>
          </w:p>
        </w:tc>
      </w:tr>
      <w:tr w:rsidR="00127A10" w:rsidRPr="00C517C1" w14:paraId="58900E08" w14:textId="77777777" w:rsidTr="00C517C1">
        <w:tc>
          <w:tcPr>
            <w:tcW w:w="4360" w:type="dxa"/>
            <w:shd w:val="clear" w:color="auto" w:fill="auto"/>
          </w:tcPr>
          <w:p w14:paraId="5886F519" w14:textId="19E24E47" w:rsidR="00127A10" w:rsidRPr="00C517C1" w:rsidRDefault="00787139" w:rsidP="00C517C1">
            <w:pPr>
              <w:pStyle w:val="Heading2"/>
              <w:numPr>
                <w:ilvl w:val="0"/>
                <w:numId w:val="0"/>
              </w:numPr>
              <w:spacing w:before="120" w:after="120"/>
              <w:rPr>
                <w:rFonts w:ascii="Arial" w:hAnsi="Arial" w:cs="Arial"/>
                <w:bCs w:val="0"/>
                <w:sz w:val="18"/>
              </w:rPr>
            </w:pPr>
            <w:r>
              <w:rPr>
                <w:rFonts w:ascii="Arial" w:hAnsi="Arial" w:cs="Arial"/>
                <w:bCs w:val="0"/>
                <w:sz w:val="18"/>
              </w:rPr>
              <w:t xml:space="preserve">Remote </w:t>
            </w:r>
            <w:r w:rsidR="00127A10" w:rsidRPr="00C517C1">
              <w:rPr>
                <w:rFonts w:ascii="Arial" w:hAnsi="Arial" w:cs="Arial"/>
                <w:bCs w:val="0"/>
                <w:sz w:val="18"/>
              </w:rPr>
              <w:t xml:space="preserve">Training fee per session </w:t>
            </w:r>
            <w:r w:rsidR="006F1B26">
              <w:rPr>
                <w:rFonts w:ascii="Arial" w:hAnsi="Arial" w:cs="Arial"/>
                <w:bCs w:val="0"/>
                <w:sz w:val="18"/>
              </w:rPr>
              <w:t xml:space="preserve"> </w:t>
            </w:r>
            <w:r w:rsidR="00766C55">
              <w:rPr>
                <w:rFonts w:ascii="Arial" w:hAnsi="Arial" w:cs="Arial"/>
                <w:bCs w:val="0"/>
                <w:sz w:val="18"/>
              </w:rPr>
              <w:t>(</w:t>
            </w:r>
            <w:r>
              <w:rPr>
                <w:rFonts w:ascii="Arial" w:hAnsi="Arial" w:cs="Arial"/>
                <w:bCs w:val="0"/>
                <w:sz w:val="18"/>
              </w:rPr>
              <w:t xml:space="preserve">minimum </w:t>
            </w:r>
            <w:r w:rsidR="006D7351">
              <w:rPr>
                <w:rFonts w:ascii="Arial" w:hAnsi="Arial" w:cs="Arial"/>
                <w:bCs w:val="0"/>
                <w:sz w:val="18"/>
              </w:rPr>
              <w:t>5</w:t>
            </w:r>
            <w:r>
              <w:rPr>
                <w:rFonts w:ascii="Arial" w:hAnsi="Arial" w:cs="Arial"/>
                <w:bCs w:val="0"/>
                <w:sz w:val="18"/>
              </w:rPr>
              <w:t xml:space="preserve"> people</w:t>
            </w:r>
            <w:r w:rsidR="00766C55">
              <w:rPr>
                <w:rFonts w:ascii="Arial" w:hAnsi="Arial" w:cs="Arial"/>
                <w:bCs w:val="0"/>
                <w:sz w:val="18"/>
              </w:rPr>
              <w:t>)</w:t>
            </w:r>
          </w:p>
        </w:tc>
        <w:tc>
          <w:tcPr>
            <w:tcW w:w="1974" w:type="dxa"/>
            <w:shd w:val="clear" w:color="auto" w:fill="auto"/>
          </w:tcPr>
          <w:p w14:paraId="4C75A6E2" w14:textId="19E1C147" w:rsidR="00127A10" w:rsidRPr="00C517C1" w:rsidRDefault="00127A10" w:rsidP="00C517C1">
            <w:pPr>
              <w:pStyle w:val="Heading2"/>
              <w:numPr>
                <w:ilvl w:val="0"/>
                <w:numId w:val="0"/>
              </w:numPr>
              <w:spacing w:before="120" w:after="120"/>
              <w:jc w:val="right"/>
              <w:rPr>
                <w:rFonts w:ascii="Arial" w:hAnsi="Arial" w:cs="Arial"/>
                <w:b/>
                <w:bCs w:val="0"/>
                <w:i/>
                <w:sz w:val="18"/>
              </w:rPr>
            </w:pPr>
            <w:r w:rsidRPr="00C517C1">
              <w:rPr>
                <w:rFonts w:ascii="Arial" w:hAnsi="Arial" w:cs="Arial"/>
                <w:bCs w:val="0"/>
                <w:sz w:val="18"/>
              </w:rPr>
              <w:t>$</w:t>
            </w:r>
            <w:r w:rsidR="00787139">
              <w:rPr>
                <w:rFonts w:ascii="Arial" w:hAnsi="Arial" w:cs="Arial"/>
                <w:bCs w:val="0"/>
                <w:sz w:val="18"/>
              </w:rPr>
              <w:t>750 per half day</w:t>
            </w:r>
            <w:r w:rsidR="0078444B">
              <w:rPr>
                <w:rFonts w:ascii="Arial" w:hAnsi="Arial" w:cs="Arial"/>
                <w:bCs w:val="0"/>
                <w:sz w:val="18"/>
              </w:rPr>
              <w:t xml:space="preserve"> (3 hours)</w:t>
            </w:r>
          </w:p>
        </w:tc>
      </w:tr>
    </w:tbl>
    <w:p w14:paraId="29773242" w14:textId="77777777" w:rsidR="00127A10" w:rsidRPr="000B2230" w:rsidRDefault="00127A10" w:rsidP="00127A10">
      <w:pPr>
        <w:pStyle w:val="Heading2"/>
        <w:numPr>
          <w:ilvl w:val="0"/>
          <w:numId w:val="0"/>
        </w:numPr>
        <w:rPr>
          <w:rFonts w:ascii="Arial" w:hAnsi="Arial" w:cs="Arial"/>
          <w:bCs w:val="0"/>
          <w:sz w:val="18"/>
        </w:rPr>
      </w:pPr>
    </w:p>
    <w:p w14:paraId="5CCFD049" w14:textId="77777777" w:rsidR="00B94AA0" w:rsidRPr="00127A10" w:rsidRDefault="00B94AA0" w:rsidP="00127A10"/>
    <w:sectPr w:rsidR="00B94AA0" w:rsidRPr="00127A10">
      <w:headerReference w:type="default" r:id="rId23"/>
      <w:footerReference w:type="even" r:id="rId24"/>
      <w:footerReference w:type="default" r:id="rId25"/>
      <w:headerReference w:type="first" r:id="rId26"/>
      <w:footerReference w:type="first" r:id="rId27"/>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8A9A3" w14:textId="77777777" w:rsidR="001726C5" w:rsidRDefault="001726C5">
      <w:r>
        <w:separator/>
      </w:r>
    </w:p>
  </w:endnote>
  <w:endnote w:type="continuationSeparator" w:id="0">
    <w:p w14:paraId="6B0A69CE" w14:textId="77777777" w:rsidR="001726C5" w:rsidRDefault="0017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944B" w14:textId="77777777" w:rsidR="00127A10" w:rsidRPr="000B2230" w:rsidRDefault="002F2CB8">
    <w:pPr>
      <w:pStyle w:val="Footer"/>
      <w:framePr w:wrap="around" w:vAnchor="text" w:hAnchor="margin" w:xAlign="right" w:y="1"/>
      <w:rPr>
        <w:rStyle w:val="PageNumber"/>
      </w:rPr>
    </w:pPr>
    <w:r>
      <w:rPr>
        <w:noProof/>
      </w:rPr>
      <mc:AlternateContent>
        <mc:Choice Requires="wps">
          <w:drawing>
            <wp:anchor distT="0" distB="0" distL="0" distR="0" simplePos="0" relativeHeight="251662848" behindDoc="0" locked="0" layoutInCell="1" allowOverlap="1" wp14:anchorId="273C917F" wp14:editId="53E8270A">
              <wp:simplePos x="635" y="635"/>
              <wp:positionH relativeFrom="page">
                <wp:align>center</wp:align>
              </wp:positionH>
              <wp:positionV relativeFrom="page">
                <wp:align>bottom</wp:align>
              </wp:positionV>
              <wp:extent cx="443865" cy="443865"/>
              <wp:effectExtent l="0" t="0" r="11430" b="0"/>
              <wp:wrapNone/>
              <wp:docPr id="99235126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E3505"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C917F"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02E3505"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v:textbox>
              <w10:wrap anchorx="page" anchory="page"/>
            </v:shape>
          </w:pict>
        </mc:Fallback>
      </mc:AlternateContent>
    </w:r>
    <w:r w:rsidR="00127A10" w:rsidRPr="000B2230">
      <w:rPr>
        <w:rStyle w:val="PageNumber"/>
      </w:rPr>
      <w:fldChar w:fldCharType="begin"/>
    </w:r>
    <w:r w:rsidR="00127A10" w:rsidRPr="000B2230">
      <w:rPr>
        <w:rStyle w:val="PageNumber"/>
      </w:rPr>
      <w:instrText xml:space="preserve">PAGE  </w:instrText>
    </w:r>
    <w:r w:rsidR="00127A10" w:rsidRPr="000B2230">
      <w:rPr>
        <w:rStyle w:val="PageNumber"/>
      </w:rPr>
      <w:fldChar w:fldCharType="separate"/>
    </w:r>
    <w:r w:rsidR="00127A10" w:rsidRPr="000B2230">
      <w:rPr>
        <w:rStyle w:val="PageNumber"/>
        <w:noProof/>
      </w:rPr>
      <w:t>7</w:t>
    </w:r>
    <w:r w:rsidR="00127A10" w:rsidRPr="000B2230">
      <w:rPr>
        <w:rStyle w:val="PageNumber"/>
      </w:rPr>
      <w:fldChar w:fldCharType="end"/>
    </w:r>
  </w:p>
  <w:p w14:paraId="6315DA8F" w14:textId="77777777" w:rsidR="00127A10" w:rsidRPr="000B2230" w:rsidRDefault="00127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9E9EA" w14:textId="683AF7E9" w:rsidR="00127A10" w:rsidRPr="00126270" w:rsidRDefault="003815E3" w:rsidP="003815E3">
    <w:pPr>
      <w:pStyle w:val="Footer"/>
      <w:ind w:right="360"/>
      <w:jc w:val="center"/>
      <w:rPr>
        <w:sz w:val="18"/>
        <w:szCs w:val="16"/>
      </w:rPr>
    </w:pPr>
    <w:r w:rsidRPr="00126270">
      <w:rPr>
        <w:noProof/>
        <w:sz w:val="18"/>
        <w:szCs w:val="16"/>
      </w:rPr>
      <w:t xml:space="preserve">Inbound Services Part C – Analyser Online </w:t>
    </w:r>
    <w:r w:rsidR="00127A10" w:rsidRPr="00126270">
      <w:rPr>
        <w:sz w:val="18"/>
        <w:szCs w:val="16"/>
      </w:rPr>
      <w:t xml:space="preserve">section was last changed on </w:t>
    </w:r>
    <w:r w:rsidR="00126270" w:rsidRPr="00126270">
      <w:rPr>
        <w:sz w:val="18"/>
        <w:szCs w:val="16"/>
      </w:rPr>
      <w:t>03 September</w:t>
    </w:r>
    <w:r w:rsidRPr="00126270">
      <w:rPr>
        <w:sz w:val="18"/>
        <w:szCs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D4AD" w14:textId="77777777" w:rsidR="002F2CB8" w:rsidRDefault="002F2CB8">
    <w:pPr>
      <w:pStyle w:val="Footer"/>
    </w:pPr>
    <w:r>
      <w:rPr>
        <w:noProof/>
      </w:rPr>
      <mc:AlternateContent>
        <mc:Choice Requires="wps">
          <w:drawing>
            <wp:anchor distT="0" distB="0" distL="0" distR="0" simplePos="0" relativeHeight="251661824" behindDoc="0" locked="0" layoutInCell="1" allowOverlap="1" wp14:anchorId="1AF382E3" wp14:editId="4DDC9B8D">
              <wp:simplePos x="635" y="635"/>
              <wp:positionH relativeFrom="page">
                <wp:align>center</wp:align>
              </wp:positionH>
              <wp:positionV relativeFrom="page">
                <wp:align>bottom</wp:align>
              </wp:positionV>
              <wp:extent cx="443865" cy="443865"/>
              <wp:effectExtent l="0" t="0" r="11430" b="0"/>
              <wp:wrapNone/>
              <wp:docPr id="1563031101"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E3706"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382E3" id="_x0000_t202" coordsize="21600,21600" o:spt="202" path="m,l,21600r21600,l21600,xe">
              <v:stroke joinstyle="miter"/>
              <v:path gradientshapeok="t" o:connecttype="rect"/>
            </v:shapetype>
            <v:shape id="Text Box 2" o:spid="_x0000_s1030"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B6E3706"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3339" w14:textId="77777777" w:rsidR="002452D3" w:rsidRPr="000B2230" w:rsidRDefault="002F2CB8">
    <w:pPr>
      <w:pStyle w:val="Footer"/>
      <w:framePr w:wrap="around" w:vAnchor="text" w:hAnchor="margin" w:xAlign="right" w:y="1"/>
      <w:rPr>
        <w:rStyle w:val="PageNumber"/>
      </w:rPr>
    </w:pPr>
    <w:r>
      <w:rPr>
        <w:noProof/>
      </w:rPr>
      <mc:AlternateContent>
        <mc:Choice Requires="wps">
          <w:drawing>
            <wp:anchor distT="0" distB="0" distL="0" distR="0" simplePos="0" relativeHeight="251665920" behindDoc="0" locked="0" layoutInCell="1" allowOverlap="1" wp14:anchorId="058A8C95" wp14:editId="03B6F7C2">
              <wp:simplePos x="635" y="635"/>
              <wp:positionH relativeFrom="page">
                <wp:align>center</wp:align>
              </wp:positionH>
              <wp:positionV relativeFrom="page">
                <wp:align>bottom</wp:align>
              </wp:positionV>
              <wp:extent cx="443865" cy="443865"/>
              <wp:effectExtent l="0" t="0" r="11430" b="0"/>
              <wp:wrapNone/>
              <wp:docPr id="398584417"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3F698"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A8C95"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903F698"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v:textbox>
              <w10:wrap anchorx="page" anchory="page"/>
            </v:shape>
          </w:pict>
        </mc:Fallback>
      </mc:AlternateContent>
    </w:r>
    <w:r w:rsidR="002452D3" w:rsidRPr="000B2230">
      <w:rPr>
        <w:rStyle w:val="PageNumber"/>
      </w:rPr>
      <w:fldChar w:fldCharType="begin"/>
    </w:r>
    <w:r w:rsidR="002452D3" w:rsidRPr="000B2230">
      <w:rPr>
        <w:rStyle w:val="PageNumber"/>
      </w:rPr>
      <w:instrText xml:space="preserve">PAGE  </w:instrText>
    </w:r>
    <w:r w:rsidR="002452D3" w:rsidRPr="000B2230">
      <w:rPr>
        <w:rStyle w:val="PageNumber"/>
      </w:rPr>
      <w:fldChar w:fldCharType="separate"/>
    </w:r>
    <w:r w:rsidR="002452D3" w:rsidRPr="000B2230">
      <w:rPr>
        <w:rStyle w:val="PageNumber"/>
        <w:noProof/>
      </w:rPr>
      <w:t>7</w:t>
    </w:r>
    <w:r w:rsidR="002452D3" w:rsidRPr="000B2230">
      <w:rPr>
        <w:rStyle w:val="PageNumber"/>
      </w:rPr>
      <w:fldChar w:fldCharType="end"/>
    </w:r>
  </w:p>
  <w:p w14:paraId="0B160134" w14:textId="77777777" w:rsidR="002452D3" w:rsidRPr="000B2230" w:rsidRDefault="002452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11A2" w14:textId="305BA12C" w:rsidR="002452D3" w:rsidRPr="00126270" w:rsidRDefault="00126270" w:rsidP="00126270">
    <w:pPr>
      <w:pStyle w:val="Footer"/>
      <w:ind w:right="360"/>
      <w:jc w:val="center"/>
      <w:rPr>
        <w:sz w:val="18"/>
        <w:szCs w:val="16"/>
      </w:rPr>
    </w:pPr>
    <w:r w:rsidRPr="00126270">
      <w:rPr>
        <w:noProof/>
        <w:sz w:val="18"/>
        <w:szCs w:val="16"/>
      </w:rPr>
      <w:t xml:space="preserve">Inbound Services Part C – Analyser Online </w:t>
    </w:r>
    <w:r w:rsidRPr="00126270">
      <w:rPr>
        <w:sz w:val="18"/>
        <w:szCs w:val="16"/>
      </w:rPr>
      <w:t>section was last changed on 03 September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78FCB" w14:textId="77777777" w:rsidR="002F2CB8" w:rsidRDefault="002F2CB8">
    <w:pPr>
      <w:pStyle w:val="Footer"/>
    </w:pPr>
    <w:r>
      <w:rPr>
        <w:noProof/>
      </w:rPr>
      <mc:AlternateContent>
        <mc:Choice Requires="wps">
          <w:drawing>
            <wp:anchor distT="0" distB="0" distL="0" distR="0" simplePos="0" relativeHeight="251664896" behindDoc="0" locked="0" layoutInCell="1" allowOverlap="1" wp14:anchorId="6EA8687B" wp14:editId="6C7350F9">
              <wp:simplePos x="635" y="635"/>
              <wp:positionH relativeFrom="page">
                <wp:align>center</wp:align>
              </wp:positionH>
              <wp:positionV relativeFrom="page">
                <wp:align>bottom</wp:align>
              </wp:positionV>
              <wp:extent cx="443865" cy="443865"/>
              <wp:effectExtent l="0" t="0" r="11430" b="0"/>
              <wp:wrapNone/>
              <wp:docPr id="1508739198"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F780A"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8687B" id="_x0000_t202" coordsize="21600,21600" o:spt="202" path="m,l,21600r21600,l21600,xe">
              <v:stroke joinstyle="miter"/>
              <v:path gradientshapeok="t" o:connecttype="rect"/>
            </v:shapetype>
            <v:shape id="Text Box 5" o:spid="_x0000_s1035" type="#_x0000_t202" alt="&quot;&quot;"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56F780A" w14:textId="77777777" w:rsidR="002F2CB8" w:rsidRPr="002F2CB8" w:rsidRDefault="002F2CB8" w:rsidP="002F2CB8">
                    <w:pPr>
                      <w:rPr>
                        <w:rFonts w:ascii="Calibri" w:eastAsia="Calibri" w:hAnsi="Calibri" w:cs="Calibri"/>
                        <w:noProof/>
                        <w:color w:val="000000"/>
                        <w:sz w:val="20"/>
                      </w:rPr>
                    </w:pPr>
                    <w:r w:rsidRPr="002F2CB8">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5D85D" w14:textId="77777777" w:rsidR="001726C5" w:rsidRDefault="001726C5">
      <w:r>
        <w:separator/>
      </w:r>
    </w:p>
  </w:footnote>
  <w:footnote w:type="continuationSeparator" w:id="0">
    <w:p w14:paraId="5E374297" w14:textId="77777777" w:rsidR="001726C5" w:rsidRDefault="0017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6C32" w14:textId="77777777" w:rsidR="00284B43" w:rsidRDefault="0028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9D99" w14:textId="77777777" w:rsidR="00127A10" w:rsidRPr="000B2230" w:rsidRDefault="0014450C" w:rsidP="00425FF0">
    <w:pPr>
      <w:pStyle w:val="Header"/>
      <w:tabs>
        <w:tab w:val="right" w:pos="8505"/>
      </w:tabs>
      <w:rPr>
        <w:rStyle w:val="PageNumber"/>
      </w:rPr>
    </w:pPr>
    <w:r w:rsidRPr="000B2230">
      <w:rPr>
        <w:rFonts w:ascii="Times New Roman" w:hAnsi="Times New Roman"/>
        <w:noProof/>
      </w:rPr>
      <mc:AlternateContent>
        <mc:Choice Requires="wps">
          <w:drawing>
            <wp:anchor distT="0" distB="0" distL="114300" distR="114300" simplePos="0" relativeHeight="251659776" behindDoc="0" locked="0" layoutInCell="0" allowOverlap="1" wp14:anchorId="64626027" wp14:editId="7AD15172">
              <wp:simplePos x="0" y="0"/>
              <wp:positionH relativeFrom="column">
                <wp:posOffset>2498090</wp:posOffset>
              </wp:positionH>
              <wp:positionV relativeFrom="paragraph">
                <wp:posOffset>-1347470</wp:posOffset>
              </wp:positionV>
              <wp:extent cx="2835275" cy="549275"/>
              <wp:effectExtent l="0" t="0" r="0" b="0"/>
              <wp:wrapNone/>
              <wp:docPr id="141294945" name="Rectangl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09D593" w14:textId="77777777" w:rsidR="00127A10" w:rsidRDefault="00127A10">
                          <w:pPr>
                            <w:jc w:val="right"/>
                            <w:rPr>
                              <w:rFonts w:ascii="Arial" w:hAnsi="Arial"/>
                              <w:sz w:val="18"/>
                            </w:rPr>
                          </w:pPr>
                          <w:r>
                            <w:rPr>
                              <w:rFonts w:ascii="Arial" w:hAnsi="Arial"/>
                              <w:sz w:val="18"/>
                            </w:rPr>
                            <w:t>DRAFT [NO.]: [Date]</w:t>
                          </w:r>
                        </w:p>
                        <w:p w14:paraId="5053642F" w14:textId="77777777" w:rsidR="00127A10" w:rsidRDefault="00127A1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6027" id="Rectangle 110" o:spid="_x0000_s1026" alt="&quot;&quot;" style="position:absolute;margin-left:196.7pt;margin-top:-106.1pt;width:223.2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6C09D593" w14:textId="77777777" w:rsidR="00127A10" w:rsidRDefault="00127A10">
                    <w:pPr>
                      <w:jc w:val="right"/>
                      <w:rPr>
                        <w:rFonts w:ascii="Arial" w:hAnsi="Arial"/>
                        <w:sz w:val="18"/>
                      </w:rPr>
                    </w:pPr>
                    <w:r>
                      <w:rPr>
                        <w:rFonts w:ascii="Arial" w:hAnsi="Arial"/>
                        <w:sz w:val="18"/>
                      </w:rPr>
                      <w:t>DRAFT [NO.]: [Date]</w:t>
                    </w:r>
                  </w:p>
                  <w:p w14:paraId="5053642F" w14:textId="77777777" w:rsidR="00127A10" w:rsidRDefault="00127A10">
                    <w:pPr>
                      <w:jc w:val="right"/>
                      <w:rPr>
                        <w:rFonts w:ascii="Arial" w:hAnsi="Arial"/>
                        <w:sz w:val="18"/>
                      </w:rPr>
                    </w:pPr>
                    <w:r>
                      <w:rPr>
                        <w:rFonts w:ascii="Arial" w:hAnsi="Arial"/>
                        <w:sz w:val="18"/>
                      </w:rPr>
                      <w:t>Marked to show changes from draft [No.]: [Date]</w:t>
                    </w:r>
                  </w:p>
                </w:txbxContent>
              </v:textbox>
            </v:rect>
          </w:pict>
        </mc:Fallback>
      </mc:AlternateContent>
    </w:r>
    <w:r w:rsidRPr="000B2230">
      <w:rPr>
        <w:rFonts w:ascii="Times New Roman" w:hAnsi="Times New Roman"/>
        <w:noProof/>
      </w:rPr>
      <mc:AlternateContent>
        <mc:Choice Requires="wps">
          <w:drawing>
            <wp:anchor distT="0" distB="0" distL="114300" distR="114300" simplePos="0" relativeHeight="251660800" behindDoc="0" locked="0" layoutInCell="0" allowOverlap="1" wp14:anchorId="4E774DD0" wp14:editId="4B2E8D1B">
              <wp:simplePos x="0" y="0"/>
              <wp:positionH relativeFrom="column">
                <wp:posOffset>2498090</wp:posOffset>
              </wp:positionH>
              <wp:positionV relativeFrom="paragraph">
                <wp:posOffset>-1347470</wp:posOffset>
              </wp:positionV>
              <wp:extent cx="2835275" cy="549275"/>
              <wp:effectExtent l="0" t="0" r="0" b="0"/>
              <wp:wrapNone/>
              <wp:docPr id="192125680" name="Rectangl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F6B607" w14:textId="77777777" w:rsidR="00127A10" w:rsidRDefault="00127A10" w:rsidP="00425FF0">
                          <w:pPr>
                            <w:jc w:val="right"/>
                            <w:rPr>
                              <w:rFonts w:ascii="Arial" w:hAnsi="Arial"/>
                              <w:sz w:val="18"/>
                            </w:rPr>
                          </w:pPr>
                          <w:r>
                            <w:rPr>
                              <w:rFonts w:ascii="Arial" w:hAnsi="Arial"/>
                              <w:sz w:val="18"/>
                            </w:rPr>
                            <w:t>DRAFT [NO.]: [Date]</w:t>
                          </w:r>
                        </w:p>
                        <w:p w14:paraId="4AB1E2AA" w14:textId="77777777" w:rsidR="00127A10" w:rsidRDefault="00127A10" w:rsidP="00425FF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74DD0" id="Rectangle 112" o:spid="_x0000_s1027" alt="&quot;&quot;" style="position:absolute;margin-left:196.7pt;margin-top:-106.1pt;width:223.25pt;height:4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" o:allowincell="f" filled="f" stroked="f">
              <v:textbox inset="1pt,1pt,1pt,1pt">
                <w:txbxContent>
                  <w:p w14:paraId="23F6B607" w14:textId="77777777" w:rsidR="00127A10" w:rsidRDefault="00127A10" w:rsidP="00425FF0">
                    <w:pPr>
                      <w:jc w:val="right"/>
                      <w:rPr>
                        <w:rFonts w:ascii="Arial" w:hAnsi="Arial"/>
                        <w:sz w:val="18"/>
                      </w:rPr>
                    </w:pPr>
                    <w:r>
                      <w:rPr>
                        <w:rFonts w:ascii="Arial" w:hAnsi="Arial"/>
                        <w:sz w:val="18"/>
                      </w:rPr>
                      <w:t>DRAFT [NO.]: [Date]</w:t>
                    </w:r>
                  </w:p>
                  <w:p w14:paraId="4AB1E2AA" w14:textId="77777777" w:rsidR="00127A10" w:rsidRDefault="00127A10" w:rsidP="00425FF0">
                    <w:pPr>
                      <w:jc w:val="right"/>
                      <w:rPr>
                        <w:rFonts w:ascii="Arial" w:hAnsi="Arial"/>
                        <w:sz w:val="18"/>
                      </w:rPr>
                    </w:pPr>
                    <w:r>
                      <w:rPr>
                        <w:rFonts w:ascii="Arial" w:hAnsi="Arial"/>
                        <w:sz w:val="18"/>
                      </w:rPr>
                      <w:t>Marked to show changes from draft [No.]: [Date]</w:t>
                    </w:r>
                  </w:p>
                </w:txbxContent>
              </v:textbox>
            </v:rect>
          </w:pict>
        </mc:Fallback>
      </mc:AlternateContent>
    </w:r>
    <w:r w:rsidR="00127A10" w:rsidRPr="000B2230">
      <w:rPr>
        <w:rStyle w:val="PageNumber"/>
      </w:rPr>
      <w:t>Our Customer Terms</w:t>
    </w:r>
  </w:p>
  <w:p w14:paraId="74DCAF73" w14:textId="77777777" w:rsidR="00127A10" w:rsidRPr="000B2230" w:rsidRDefault="00127A10" w:rsidP="00425FF0">
    <w:pPr>
      <w:pStyle w:val="Headersub"/>
      <w:spacing w:after="720"/>
      <w:rPr>
        <w:rStyle w:val="PageNumber"/>
        <w:szCs w:val="36"/>
      </w:rPr>
    </w:pPr>
    <w:r w:rsidRPr="000B2230">
      <w:rPr>
        <w:rStyle w:val="PageNumber"/>
        <w:szCs w:val="36"/>
      </w:rPr>
      <w:t>Inbound Services Section</w:t>
    </w:r>
  </w:p>
  <w:p w14:paraId="5143C9CF" w14:textId="77777777" w:rsidR="00127A10" w:rsidRPr="000B2230" w:rsidRDefault="00127A10" w:rsidP="00425FF0">
    <w:pPr>
      <w:pStyle w:val="Headersub"/>
      <w:spacing w:after="480"/>
      <w:rPr>
        <w:rStyle w:val="PageNumber"/>
        <w:szCs w:val="36"/>
      </w:rPr>
    </w:pPr>
    <w:r w:rsidRPr="000B2230">
      <w:rPr>
        <w:rStyle w:val="PageNumber"/>
        <w:szCs w:val="36"/>
      </w:rPr>
      <w:t xml:space="preserve">Part C - Analyser Online </w:t>
    </w:r>
  </w:p>
  <w:p w14:paraId="30A1EDEE" w14:textId="77777777" w:rsidR="00127A10" w:rsidRPr="000B2230" w:rsidRDefault="00127A10">
    <w:pPr>
      <w:pStyle w:val="Header"/>
      <w:tabs>
        <w:tab w:val="right" w:pos="8505"/>
      </w:tabs>
      <w:rPr>
        <w:rStyle w:val="PageNumber"/>
        <w:b w:val="0"/>
        <w:bCs/>
        <w:sz w:val="20"/>
      </w:rPr>
    </w:pPr>
    <w:r w:rsidRPr="000B2230">
      <w:rPr>
        <w:rStyle w:val="PageNumber"/>
        <w:szCs w:val="36"/>
      </w:rPr>
      <w:tab/>
    </w:r>
    <w:r w:rsidRPr="000B2230">
      <w:rPr>
        <w:rStyle w:val="PageNumber"/>
        <w:b w:val="0"/>
        <w:bCs/>
        <w:sz w:val="20"/>
      </w:rPr>
      <w:t xml:space="preserve">Page </w:t>
    </w:r>
    <w:r w:rsidRPr="000B2230">
      <w:rPr>
        <w:rStyle w:val="PageNumber"/>
        <w:b w:val="0"/>
        <w:bCs/>
        <w:sz w:val="20"/>
      </w:rPr>
      <w:fldChar w:fldCharType="begin"/>
    </w:r>
    <w:r w:rsidRPr="000B2230">
      <w:rPr>
        <w:rStyle w:val="PageNumber"/>
        <w:b w:val="0"/>
        <w:bCs/>
        <w:sz w:val="20"/>
      </w:rPr>
      <w:instrText xml:space="preserve"> PAGE </w:instrText>
    </w:r>
    <w:r w:rsidRPr="000B2230">
      <w:rPr>
        <w:rStyle w:val="PageNumber"/>
        <w:b w:val="0"/>
        <w:bCs/>
        <w:sz w:val="20"/>
      </w:rPr>
      <w:fldChar w:fldCharType="separate"/>
    </w:r>
    <w:r w:rsidR="009E27AE">
      <w:rPr>
        <w:rStyle w:val="PageNumber"/>
        <w:b w:val="0"/>
        <w:bCs/>
        <w:noProof/>
        <w:sz w:val="20"/>
      </w:rPr>
      <w:t>1</w:t>
    </w:r>
    <w:r w:rsidRPr="000B2230">
      <w:rPr>
        <w:rStyle w:val="PageNumber"/>
        <w:b w:val="0"/>
        <w:bCs/>
        <w:sz w:val="20"/>
      </w:rPr>
      <w:fldChar w:fldCharType="end"/>
    </w:r>
    <w:r w:rsidRPr="000B2230">
      <w:rPr>
        <w:rStyle w:val="PageNumber"/>
        <w:b w:val="0"/>
        <w:bCs/>
        <w:sz w:val="20"/>
      </w:rPr>
      <w:t xml:space="preserve"> of </w:t>
    </w:r>
    <w:r w:rsidRPr="000B2230">
      <w:rPr>
        <w:rStyle w:val="PageNumber"/>
        <w:b w:val="0"/>
        <w:bCs/>
        <w:sz w:val="20"/>
      </w:rPr>
      <w:fldChar w:fldCharType="begin"/>
    </w:r>
    <w:r w:rsidRPr="000B2230">
      <w:rPr>
        <w:rStyle w:val="PageNumber"/>
        <w:b w:val="0"/>
        <w:bCs/>
        <w:sz w:val="20"/>
      </w:rPr>
      <w:instrText xml:space="preserve"> NUMPAGES </w:instrText>
    </w:r>
    <w:r w:rsidRPr="000B2230">
      <w:rPr>
        <w:rStyle w:val="PageNumber"/>
        <w:b w:val="0"/>
        <w:bCs/>
        <w:sz w:val="20"/>
      </w:rPr>
      <w:fldChar w:fldCharType="separate"/>
    </w:r>
    <w:r w:rsidR="009E27AE">
      <w:rPr>
        <w:rStyle w:val="PageNumber"/>
        <w:b w:val="0"/>
        <w:bCs/>
        <w:noProof/>
        <w:sz w:val="20"/>
      </w:rPr>
      <w:t>8</w:t>
    </w:r>
    <w:r w:rsidRPr="000B2230">
      <w:rPr>
        <w:rStyle w:val="PageNumber"/>
        <w:b w:val="0"/>
        <w:bCs/>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2214" w14:textId="77777777" w:rsidR="00127A10" w:rsidRPr="000B2230" w:rsidRDefault="0014450C">
    <w:pPr>
      <w:pStyle w:val="Header"/>
      <w:pBdr>
        <w:bottom w:val="single" w:sz="8" w:space="1" w:color="auto"/>
      </w:pBdr>
      <w:tabs>
        <w:tab w:val="right" w:pos="8505"/>
      </w:tabs>
      <w:rPr>
        <w:rStyle w:val="PageNumber"/>
        <w:szCs w:val="36"/>
      </w:rPr>
    </w:pPr>
    <w:r w:rsidRPr="000B2230">
      <w:rPr>
        <w:rFonts w:ascii="Times New Roman" w:hAnsi="Times New Roman"/>
        <w:noProof/>
        <w:szCs w:val="36"/>
      </w:rPr>
      <mc:AlternateContent>
        <mc:Choice Requires="wps">
          <w:drawing>
            <wp:anchor distT="0" distB="0" distL="114300" distR="114300" simplePos="0" relativeHeight="251658752" behindDoc="0" locked="0" layoutInCell="0" allowOverlap="1" wp14:anchorId="0002C3BD" wp14:editId="705D7EF6">
              <wp:simplePos x="0" y="0"/>
              <wp:positionH relativeFrom="column">
                <wp:posOffset>2498090</wp:posOffset>
              </wp:positionH>
              <wp:positionV relativeFrom="paragraph">
                <wp:posOffset>-1347470</wp:posOffset>
              </wp:positionV>
              <wp:extent cx="2835275" cy="549275"/>
              <wp:effectExtent l="0" t="0" r="0" b="0"/>
              <wp:wrapNone/>
              <wp:docPr id="842749803" name="Rectangl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355051" w14:textId="77777777" w:rsidR="00127A10" w:rsidRDefault="00127A10">
                          <w:pPr>
                            <w:jc w:val="right"/>
                            <w:rPr>
                              <w:rFonts w:ascii="Arial" w:hAnsi="Arial"/>
                              <w:sz w:val="18"/>
                            </w:rPr>
                          </w:pPr>
                          <w:r>
                            <w:rPr>
                              <w:rFonts w:ascii="Arial" w:hAnsi="Arial"/>
                              <w:sz w:val="18"/>
                            </w:rPr>
                            <w:t>DRAFT [NO.]: [Date]</w:t>
                          </w:r>
                        </w:p>
                        <w:p w14:paraId="5B56E70D" w14:textId="77777777" w:rsidR="00127A10" w:rsidRDefault="00127A1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2C3BD" id="Rectangle 109" o:spid="_x0000_s1029" alt="&quot;&quot;" style="position:absolute;margin-left:196.7pt;margin-top:-106.1pt;width:223.25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1F355051" w14:textId="77777777" w:rsidR="00127A10" w:rsidRDefault="00127A10">
                    <w:pPr>
                      <w:jc w:val="right"/>
                      <w:rPr>
                        <w:rFonts w:ascii="Arial" w:hAnsi="Arial"/>
                        <w:sz w:val="18"/>
                      </w:rPr>
                    </w:pPr>
                    <w:r>
                      <w:rPr>
                        <w:rFonts w:ascii="Arial" w:hAnsi="Arial"/>
                        <w:sz w:val="18"/>
                      </w:rPr>
                      <w:t>DRAFT [NO.]: [Date]</w:t>
                    </w:r>
                  </w:p>
                  <w:p w14:paraId="5B56E70D" w14:textId="77777777" w:rsidR="00127A10" w:rsidRDefault="00127A10">
                    <w:pPr>
                      <w:jc w:val="right"/>
                      <w:rPr>
                        <w:rFonts w:ascii="Arial" w:hAnsi="Arial"/>
                        <w:sz w:val="18"/>
                      </w:rPr>
                    </w:pPr>
                    <w:r>
                      <w:rPr>
                        <w:rFonts w:ascii="Arial" w:hAnsi="Arial"/>
                        <w:sz w:val="18"/>
                      </w:rPr>
                      <w:t>Marked to show changes from draft [No.]: [Date]</w:t>
                    </w:r>
                  </w:p>
                </w:txbxContent>
              </v:textbox>
            </v:rect>
          </w:pict>
        </mc:Fallback>
      </mc:AlternateContent>
    </w:r>
    <w:r w:rsidR="00127A10" w:rsidRPr="000B2230">
      <w:rPr>
        <w:rStyle w:val="PageNumber"/>
        <w:szCs w:val="36"/>
      </w:rPr>
      <w:t>Our Customer Terms</w:t>
    </w:r>
  </w:p>
  <w:p w14:paraId="29A41C07" w14:textId="77777777" w:rsidR="00127A10" w:rsidRPr="000B2230" w:rsidRDefault="00127A10">
    <w:pPr>
      <w:pStyle w:val="Header"/>
      <w:pBdr>
        <w:bottom w:val="single" w:sz="8" w:space="1" w:color="auto"/>
      </w:pBdr>
      <w:tabs>
        <w:tab w:val="right" w:pos="8505"/>
      </w:tabs>
      <w:rPr>
        <w:rStyle w:val="PageNumber"/>
        <w:b w:val="0"/>
        <w:bCs/>
        <w:szCs w:val="36"/>
      </w:rPr>
    </w:pPr>
    <w:r w:rsidRPr="000B2230">
      <w:rPr>
        <w:rStyle w:val="PageNumber"/>
        <w:b w:val="0"/>
        <w:bCs/>
        <w:szCs w:val="36"/>
      </w:rPr>
      <w:t>General Terms</w:t>
    </w:r>
  </w:p>
  <w:p w14:paraId="17D40C51" w14:textId="77777777" w:rsidR="00127A10" w:rsidRPr="000B2230" w:rsidRDefault="00127A10">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899D0" w14:textId="77777777" w:rsidR="002452D3" w:rsidRPr="000B2230" w:rsidRDefault="0014450C" w:rsidP="00425FF0">
    <w:pPr>
      <w:pStyle w:val="Header"/>
      <w:tabs>
        <w:tab w:val="right" w:pos="8505"/>
      </w:tabs>
      <w:rPr>
        <w:rStyle w:val="PageNumber"/>
      </w:rPr>
    </w:pPr>
    <w:r w:rsidRPr="000B2230">
      <w:rPr>
        <w:rFonts w:ascii="Times New Roman" w:hAnsi="Times New Roman"/>
        <w:noProof/>
      </w:rPr>
      <mc:AlternateContent>
        <mc:Choice Requires="wps">
          <w:drawing>
            <wp:anchor distT="0" distB="0" distL="114300" distR="114300" simplePos="0" relativeHeight="251655680" behindDoc="0" locked="0" layoutInCell="0" allowOverlap="1" wp14:anchorId="5C461CAD" wp14:editId="2348578D">
              <wp:simplePos x="0" y="0"/>
              <wp:positionH relativeFrom="column">
                <wp:posOffset>2498090</wp:posOffset>
              </wp:positionH>
              <wp:positionV relativeFrom="paragraph">
                <wp:posOffset>-1347470</wp:posOffset>
              </wp:positionV>
              <wp:extent cx="2835275" cy="549275"/>
              <wp:effectExtent l="0" t="0" r="0" b="0"/>
              <wp:wrapNone/>
              <wp:docPr id="123347019" name="Rectangl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F7107" w14:textId="77777777" w:rsidR="002452D3" w:rsidRDefault="002452D3">
                          <w:pPr>
                            <w:jc w:val="right"/>
                            <w:rPr>
                              <w:rFonts w:ascii="Arial" w:hAnsi="Arial"/>
                              <w:sz w:val="18"/>
                            </w:rPr>
                          </w:pPr>
                          <w:r>
                            <w:rPr>
                              <w:rFonts w:ascii="Arial" w:hAnsi="Arial"/>
                              <w:sz w:val="18"/>
                            </w:rPr>
                            <w:t>DRAFT [NO.]: [Date]</w:t>
                          </w:r>
                        </w:p>
                        <w:p w14:paraId="672FE2AC" w14:textId="77777777" w:rsidR="002452D3" w:rsidRDefault="002452D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61CAD" id="Rectangle 103" o:spid="_x0000_s1031"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T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yu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v0yuU9kBAACsAwAADgAAAAAAAAAAAAAAAAAuAgAAZHJzL2Uyb0RvYy54bWxQSwECLQAUAAYA&#10;CAAAACEAJoVEG+MAAAANAQAADwAAAAAAAAAAAAAAAAAzBAAAZHJzL2Rvd25yZXYueG1sUEsFBgAA&#10;AAAEAAQA8wAAAEMFAAAAAA==&#10;" o:allowincell="f" filled="f" stroked="f">
              <v:textbox inset="1pt,1pt,1pt,1pt">
                <w:txbxContent>
                  <w:p w14:paraId="2ECF7107" w14:textId="77777777" w:rsidR="002452D3" w:rsidRDefault="002452D3">
                    <w:pPr>
                      <w:jc w:val="right"/>
                      <w:rPr>
                        <w:rFonts w:ascii="Arial" w:hAnsi="Arial"/>
                        <w:sz w:val="18"/>
                      </w:rPr>
                    </w:pPr>
                    <w:r>
                      <w:rPr>
                        <w:rFonts w:ascii="Arial" w:hAnsi="Arial"/>
                        <w:sz w:val="18"/>
                      </w:rPr>
                      <w:t>DRAFT [NO.]: [Date]</w:t>
                    </w:r>
                  </w:p>
                  <w:p w14:paraId="672FE2AC" w14:textId="77777777" w:rsidR="002452D3" w:rsidRDefault="002452D3">
                    <w:pPr>
                      <w:jc w:val="right"/>
                      <w:rPr>
                        <w:rFonts w:ascii="Arial" w:hAnsi="Arial"/>
                        <w:sz w:val="18"/>
                      </w:rPr>
                    </w:pPr>
                    <w:r>
                      <w:rPr>
                        <w:rFonts w:ascii="Arial" w:hAnsi="Arial"/>
                        <w:sz w:val="18"/>
                      </w:rPr>
                      <w:t>Marked to show changes from draft [No.]: [Date]</w:t>
                    </w:r>
                  </w:p>
                </w:txbxContent>
              </v:textbox>
            </v:rect>
          </w:pict>
        </mc:Fallback>
      </mc:AlternateContent>
    </w:r>
    <w:r w:rsidRPr="000B2230">
      <w:rPr>
        <w:rFonts w:ascii="Times New Roman" w:hAnsi="Times New Roman"/>
        <w:noProof/>
      </w:rPr>
      <mc:AlternateContent>
        <mc:Choice Requires="wps">
          <w:drawing>
            <wp:anchor distT="0" distB="0" distL="114300" distR="114300" simplePos="0" relativeHeight="251657728" behindDoc="0" locked="0" layoutInCell="0" allowOverlap="1" wp14:anchorId="57F96653" wp14:editId="29538235">
              <wp:simplePos x="0" y="0"/>
              <wp:positionH relativeFrom="column">
                <wp:posOffset>2498090</wp:posOffset>
              </wp:positionH>
              <wp:positionV relativeFrom="paragraph">
                <wp:posOffset>-1347470</wp:posOffset>
              </wp:positionV>
              <wp:extent cx="2835275" cy="549275"/>
              <wp:effectExtent l="0" t="0" r="0" b="0"/>
              <wp:wrapNone/>
              <wp:docPr id="75961518" name="Rectangl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F1C134" w14:textId="77777777" w:rsidR="002452D3" w:rsidRDefault="002452D3" w:rsidP="00425FF0">
                          <w:pPr>
                            <w:jc w:val="right"/>
                            <w:rPr>
                              <w:rFonts w:ascii="Arial" w:hAnsi="Arial"/>
                              <w:sz w:val="18"/>
                            </w:rPr>
                          </w:pPr>
                          <w:r>
                            <w:rPr>
                              <w:rFonts w:ascii="Arial" w:hAnsi="Arial"/>
                              <w:sz w:val="18"/>
                            </w:rPr>
                            <w:t>DRAFT [NO.]: [Date]</w:t>
                          </w:r>
                        </w:p>
                        <w:p w14:paraId="228DAF4D" w14:textId="77777777" w:rsidR="002452D3" w:rsidRDefault="002452D3" w:rsidP="00425FF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96653" id="Rectangle 108" o:spid="_x0000_s1032"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6ZwL3aAQAArAMAAA4AAAAAAAAAAAAAAAAALgIAAGRycy9lMm9Eb2MueG1sUEsBAi0AFAAG&#10;AAgAAAAhACaFRBvjAAAADQEAAA8AAAAAAAAAAAAAAAAANAQAAGRycy9kb3ducmV2LnhtbFBLBQYA&#10;AAAABAAEAPMAAABEBQAAAAA=&#10;" o:allowincell="f" filled="f" stroked="f">
              <v:textbox inset="1pt,1pt,1pt,1pt">
                <w:txbxContent>
                  <w:p w14:paraId="31F1C134" w14:textId="77777777" w:rsidR="002452D3" w:rsidRDefault="002452D3" w:rsidP="00425FF0">
                    <w:pPr>
                      <w:jc w:val="right"/>
                      <w:rPr>
                        <w:rFonts w:ascii="Arial" w:hAnsi="Arial"/>
                        <w:sz w:val="18"/>
                      </w:rPr>
                    </w:pPr>
                    <w:r>
                      <w:rPr>
                        <w:rFonts w:ascii="Arial" w:hAnsi="Arial"/>
                        <w:sz w:val="18"/>
                      </w:rPr>
                      <w:t>DRAFT [NO.]: [Date]</w:t>
                    </w:r>
                  </w:p>
                  <w:p w14:paraId="228DAF4D" w14:textId="77777777" w:rsidR="002452D3" w:rsidRDefault="002452D3" w:rsidP="00425FF0">
                    <w:pPr>
                      <w:jc w:val="right"/>
                      <w:rPr>
                        <w:rFonts w:ascii="Arial" w:hAnsi="Arial"/>
                        <w:sz w:val="18"/>
                      </w:rPr>
                    </w:pPr>
                    <w:r>
                      <w:rPr>
                        <w:rFonts w:ascii="Arial" w:hAnsi="Arial"/>
                        <w:sz w:val="18"/>
                      </w:rPr>
                      <w:t>Marked to show changes from draft [No.]: [Date]</w:t>
                    </w:r>
                  </w:p>
                </w:txbxContent>
              </v:textbox>
            </v:rect>
          </w:pict>
        </mc:Fallback>
      </mc:AlternateContent>
    </w:r>
    <w:r w:rsidR="002452D3" w:rsidRPr="000B2230">
      <w:rPr>
        <w:rStyle w:val="PageNumber"/>
      </w:rPr>
      <w:t>Our Customer Terms</w:t>
    </w:r>
  </w:p>
  <w:p w14:paraId="2271C650" w14:textId="77777777" w:rsidR="002452D3" w:rsidRPr="000B2230" w:rsidRDefault="002452D3" w:rsidP="00425FF0">
    <w:pPr>
      <w:pStyle w:val="Headersub"/>
      <w:spacing w:after="720"/>
      <w:rPr>
        <w:rStyle w:val="PageNumber"/>
        <w:szCs w:val="36"/>
      </w:rPr>
    </w:pPr>
    <w:r w:rsidRPr="000B2230">
      <w:rPr>
        <w:rStyle w:val="PageNumber"/>
        <w:szCs w:val="36"/>
      </w:rPr>
      <w:t>Inbound Services Section</w:t>
    </w:r>
  </w:p>
  <w:p w14:paraId="01D1A762" w14:textId="77777777" w:rsidR="002452D3" w:rsidRPr="000B2230" w:rsidRDefault="002452D3" w:rsidP="00425FF0">
    <w:pPr>
      <w:pStyle w:val="Headersub"/>
      <w:spacing w:after="480"/>
      <w:rPr>
        <w:rStyle w:val="PageNumber"/>
        <w:szCs w:val="36"/>
      </w:rPr>
    </w:pPr>
    <w:r w:rsidRPr="000B2230">
      <w:rPr>
        <w:rStyle w:val="PageNumber"/>
        <w:szCs w:val="36"/>
      </w:rPr>
      <w:t xml:space="preserve">Part C - Analyser Online </w:t>
    </w:r>
  </w:p>
  <w:p w14:paraId="630F168B" w14:textId="77777777" w:rsidR="002452D3" w:rsidRPr="000B2230" w:rsidRDefault="002452D3">
    <w:pPr>
      <w:pStyle w:val="Header"/>
      <w:tabs>
        <w:tab w:val="right" w:pos="8505"/>
      </w:tabs>
      <w:rPr>
        <w:rStyle w:val="PageNumber"/>
        <w:b w:val="0"/>
        <w:bCs/>
        <w:sz w:val="20"/>
      </w:rPr>
    </w:pPr>
    <w:r w:rsidRPr="000B2230">
      <w:rPr>
        <w:rStyle w:val="PageNumber"/>
        <w:szCs w:val="36"/>
      </w:rPr>
      <w:tab/>
    </w:r>
    <w:r w:rsidRPr="000B2230">
      <w:rPr>
        <w:rStyle w:val="PageNumber"/>
        <w:b w:val="0"/>
        <w:bCs/>
        <w:sz w:val="20"/>
      </w:rPr>
      <w:t xml:space="preserve">Page </w:t>
    </w:r>
    <w:r w:rsidRPr="000B2230">
      <w:rPr>
        <w:rStyle w:val="PageNumber"/>
        <w:b w:val="0"/>
        <w:bCs/>
        <w:sz w:val="20"/>
      </w:rPr>
      <w:fldChar w:fldCharType="begin"/>
    </w:r>
    <w:r w:rsidRPr="000B2230">
      <w:rPr>
        <w:rStyle w:val="PageNumber"/>
        <w:b w:val="0"/>
        <w:bCs/>
        <w:sz w:val="20"/>
      </w:rPr>
      <w:instrText xml:space="preserve"> PAGE </w:instrText>
    </w:r>
    <w:r w:rsidRPr="000B2230">
      <w:rPr>
        <w:rStyle w:val="PageNumber"/>
        <w:b w:val="0"/>
        <w:bCs/>
        <w:sz w:val="20"/>
      </w:rPr>
      <w:fldChar w:fldCharType="separate"/>
    </w:r>
    <w:r w:rsidR="009E27AE">
      <w:rPr>
        <w:rStyle w:val="PageNumber"/>
        <w:b w:val="0"/>
        <w:bCs/>
        <w:noProof/>
        <w:sz w:val="20"/>
      </w:rPr>
      <w:t>8</w:t>
    </w:r>
    <w:r w:rsidRPr="000B2230">
      <w:rPr>
        <w:rStyle w:val="PageNumber"/>
        <w:b w:val="0"/>
        <w:bCs/>
        <w:sz w:val="20"/>
      </w:rPr>
      <w:fldChar w:fldCharType="end"/>
    </w:r>
    <w:r w:rsidRPr="000B2230">
      <w:rPr>
        <w:rStyle w:val="PageNumber"/>
        <w:b w:val="0"/>
        <w:bCs/>
        <w:sz w:val="20"/>
      </w:rPr>
      <w:t xml:space="preserve"> of </w:t>
    </w:r>
    <w:r w:rsidRPr="000B2230">
      <w:rPr>
        <w:rStyle w:val="PageNumber"/>
        <w:b w:val="0"/>
        <w:bCs/>
        <w:sz w:val="20"/>
      </w:rPr>
      <w:fldChar w:fldCharType="begin"/>
    </w:r>
    <w:r w:rsidRPr="000B2230">
      <w:rPr>
        <w:rStyle w:val="PageNumber"/>
        <w:b w:val="0"/>
        <w:bCs/>
        <w:sz w:val="20"/>
      </w:rPr>
      <w:instrText xml:space="preserve"> NUMPAGES </w:instrText>
    </w:r>
    <w:r w:rsidRPr="000B2230">
      <w:rPr>
        <w:rStyle w:val="PageNumber"/>
        <w:b w:val="0"/>
        <w:bCs/>
        <w:sz w:val="20"/>
      </w:rPr>
      <w:fldChar w:fldCharType="separate"/>
    </w:r>
    <w:r w:rsidR="009E27AE">
      <w:rPr>
        <w:rStyle w:val="PageNumber"/>
        <w:b w:val="0"/>
        <w:bCs/>
        <w:noProof/>
        <w:sz w:val="20"/>
      </w:rPr>
      <w:t>8</w:t>
    </w:r>
    <w:r w:rsidRPr="000B2230">
      <w:rPr>
        <w:rStyle w:val="PageNumber"/>
        <w:b w:val="0"/>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1B58E" w14:textId="77777777" w:rsidR="002452D3" w:rsidRPr="000B2230" w:rsidRDefault="0014450C">
    <w:pPr>
      <w:pStyle w:val="Header"/>
      <w:pBdr>
        <w:bottom w:val="single" w:sz="8" w:space="1" w:color="auto"/>
      </w:pBdr>
      <w:tabs>
        <w:tab w:val="right" w:pos="8505"/>
      </w:tabs>
      <w:rPr>
        <w:rStyle w:val="PageNumber"/>
        <w:szCs w:val="36"/>
      </w:rPr>
    </w:pPr>
    <w:r w:rsidRPr="000B2230">
      <w:rPr>
        <w:rFonts w:ascii="Times New Roman" w:hAnsi="Times New Roman"/>
        <w:noProof/>
        <w:szCs w:val="36"/>
      </w:rPr>
      <mc:AlternateContent>
        <mc:Choice Requires="wps">
          <w:drawing>
            <wp:anchor distT="0" distB="0" distL="114300" distR="114300" simplePos="0" relativeHeight="251654656" behindDoc="0" locked="0" layoutInCell="0" allowOverlap="1" wp14:anchorId="4C60B229" wp14:editId="773CA42D">
              <wp:simplePos x="0" y="0"/>
              <wp:positionH relativeFrom="column">
                <wp:posOffset>2498090</wp:posOffset>
              </wp:positionH>
              <wp:positionV relativeFrom="paragraph">
                <wp:posOffset>-1347470</wp:posOffset>
              </wp:positionV>
              <wp:extent cx="2835275" cy="549275"/>
              <wp:effectExtent l="0" t="0" r="0" b="0"/>
              <wp:wrapNone/>
              <wp:docPr id="381590035" name="Rectangl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93D83" w14:textId="77777777" w:rsidR="002452D3" w:rsidRDefault="002452D3">
                          <w:pPr>
                            <w:jc w:val="right"/>
                            <w:rPr>
                              <w:rFonts w:ascii="Arial" w:hAnsi="Arial"/>
                              <w:sz w:val="18"/>
                            </w:rPr>
                          </w:pPr>
                          <w:r>
                            <w:rPr>
                              <w:rFonts w:ascii="Arial" w:hAnsi="Arial"/>
                              <w:sz w:val="18"/>
                            </w:rPr>
                            <w:t>DRAFT [NO.]: [Date]</w:t>
                          </w:r>
                        </w:p>
                        <w:p w14:paraId="1DC99BAA" w14:textId="77777777" w:rsidR="002452D3" w:rsidRDefault="002452D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0B229" id="Rectangle 102" o:spid="_x0000_s1034" alt="&quot;&quot;"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lYArDaAQAArAMAAA4AAAAAAAAAAAAAAAAALgIAAGRycy9lMm9Eb2MueG1sUEsBAi0AFAAG&#10;AAgAAAAhACaFRBvjAAAADQEAAA8AAAAAAAAAAAAAAAAANAQAAGRycy9kb3ducmV2LnhtbFBLBQYA&#10;AAAABAAEAPMAAABEBQAAAAA=&#10;" o:allowincell="f" filled="f" stroked="f">
              <v:textbox inset="1pt,1pt,1pt,1pt">
                <w:txbxContent>
                  <w:p w14:paraId="1D493D83" w14:textId="77777777" w:rsidR="002452D3" w:rsidRDefault="002452D3">
                    <w:pPr>
                      <w:jc w:val="right"/>
                      <w:rPr>
                        <w:rFonts w:ascii="Arial" w:hAnsi="Arial"/>
                        <w:sz w:val="18"/>
                      </w:rPr>
                    </w:pPr>
                    <w:r>
                      <w:rPr>
                        <w:rFonts w:ascii="Arial" w:hAnsi="Arial"/>
                        <w:sz w:val="18"/>
                      </w:rPr>
                      <w:t>DRAFT [NO.]: [Date]</w:t>
                    </w:r>
                  </w:p>
                  <w:p w14:paraId="1DC99BAA" w14:textId="77777777" w:rsidR="002452D3" w:rsidRDefault="002452D3">
                    <w:pPr>
                      <w:jc w:val="right"/>
                      <w:rPr>
                        <w:rFonts w:ascii="Arial" w:hAnsi="Arial"/>
                        <w:sz w:val="18"/>
                      </w:rPr>
                    </w:pPr>
                    <w:r>
                      <w:rPr>
                        <w:rFonts w:ascii="Arial" w:hAnsi="Arial"/>
                        <w:sz w:val="18"/>
                      </w:rPr>
                      <w:t>Marked to show changes from draft [No.]: [Date]</w:t>
                    </w:r>
                  </w:p>
                </w:txbxContent>
              </v:textbox>
            </v:rect>
          </w:pict>
        </mc:Fallback>
      </mc:AlternateContent>
    </w:r>
    <w:r w:rsidR="002452D3" w:rsidRPr="000B2230">
      <w:rPr>
        <w:rStyle w:val="PageNumber"/>
        <w:szCs w:val="36"/>
      </w:rPr>
      <w:t>Our Customer Terms</w:t>
    </w:r>
  </w:p>
  <w:p w14:paraId="751EEAAA" w14:textId="77777777" w:rsidR="002452D3" w:rsidRPr="000B2230" w:rsidRDefault="002452D3">
    <w:pPr>
      <w:pStyle w:val="Header"/>
      <w:pBdr>
        <w:bottom w:val="single" w:sz="8" w:space="1" w:color="auto"/>
      </w:pBdr>
      <w:tabs>
        <w:tab w:val="right" w:pos="8505"/>
      </w:tabs>
      <w:rPr>
        <w:rStyle w:val="PageNumber"/>
        <w:b w:val="0"/>
        <w:bCs/>
        <w:szCs w:val="36"/>
      </w:rPr>
    </w:pPr>
    <w:r w:rsidRPr="000B2230">
      <w:rPr>
        <w:rStyle w:val="PageNumber"/>
        <w:b w:val="0"/>
        <w:bCs/>
        <w:szCs w:val="36"/>
      </w:rPr>
      <w:t>General Terms</w:t>
    </w:r>
  </w:p>
  <w:p w14:paraId="3E1D731E" w14:textId="77777777" w:rsidR="002452D3" w:rsidRPr="000B2230" w:rsidRDefault="002452D3">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5094"/>
    <w:multiLevelType w:val="multilevel"/>
    <w:tmpl w:val="B3008D1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ascii="Times New Roman" w:hAnsi="Times New Roman" w:cs="Times New Roman" w:hint="default"/>
        <w:b w:val="0"/>
        <w:i w:val="0"/>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20300C7B"/>
    <w:multiLevelType w:val="singleLevel"/>
    <w:tmpl w:val="0212E92E"/>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23861412"/>
    <w:multiLevelType w:val="singleLevel"/>
    <w:tmpl w:val="E752E5A4"/>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474F5A06"/>
    <w:multiLevelType w:val="multilevel"/>
    <w:tmpl w:val="B3008D1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ascii="Times New Roman" w:hAnsi="Times New Roman" w:cs="Times New Roman" w:hint="default"/>
        <w:b w:val="0"/>
        <w:i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6" w15:restartNumberingAfterBreak="0">
    <w:nsid w:val="73321112"/>
    <w:multiLevelType w:val="hybridMultilevel"/>
    <w:tmpl w:val="A71A3A44"/>
    <w:lvl w:ilvl="0" w:tplc="0409000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6848875">
    <w:abstractNumId w:val="5"/>
  </w:num>
  <w:num w:numId="2" w16cid:durableId="1258178414">
    <w:abstractNumId w:val="0"/>
  </w:num>
  <w:num w:numId="3" w16cid:durableId="452023707">
    <w:abstractNumId w:val="4"/>
  </w:num>
  <w:num w:numId="4" w16cid:durableId="1489402793">
    <w:abstractNumId w:val="6"/>
  </w:num>
  <w:num w:numId="5" w16cid:durableId="1452242006">
    <w:abstractNumId w:val="0"/>
  </w:num>
  <w:num w:numId="6" w16cid:durableId="1328632714">
    <w:abstractNumId w:val="0"/>
  </w:num>
  <w:num w:numId="7" w16cid:durableId="437870276">
    <w:abstractNumId w:val="0"/>
  </w:num>
  <w:num w:numId="8" w16cid:durableId="1486967636">
    <w:abstractNumId w:val="0"/>
  </w:num>
  <w:num w:numId="9" w16cid:durableId="2125030490">
    <w:abstractNumId w:val="0"/>
  </w:num>
  <w:num w:numId="10" w16cid:durableId="738862245">
    <w:abstractNumId w:val="0"/>
  </w:num>
  <w:num w:numId="11" w16cid:durableId="2133280627">
    <w:abstractNumId w:val="0"/>
  </w:num>
  <w:num w:numId="12" w16cid:durableId="1421171409">
    <w:abstractNumId w:val="1"/>
  </w:num>
  <w:num w:numId="13" w16cid:durableId="1332830552">
    <w:abstractNumId w:val="2"/>
  </w:num>
  <w:num w:numId="14" w16cid:durableId="976493621">
    <w:abstractNumId w:val="0"/>
  </w:num>
  <w:num w:numId="15" w16cid:durableId="1343169826">
    <w:abstractNumId w:val="0"/>
  </w:num>
  <w:num w:numId="16" w16cid:durableId="898630795">
    <w:abstractNumId w:val="0"/>
  </w:num>
  <w:num w:numId="17" w16cid:durableId="1932347494">
    <w:abstractNumId w:val="0"/>
  </w:num>
  <w:num w:numId="18" w16cid:durableId="753867382">
    <w:abstractNumId w:val="0"/>
  </w:num>
  <w:num w:numId="19" w16cid:durableId="1373534031">
    <w:abstractNumId w:val="0"/>
  </w:num>
  <w:num w:numId="20" w16cid:durableId="1766269315">
    <w:abstractNumId w:val="0"/>
  </w:num>
  <w:num w:numId="21" w16cid:durableId="1315331142">
    <w:abstractNumId w:val="0"/>
  </w:num>
  <w:num w:numId="22" w16cid:durableId="88691999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743399"/>
    <w:docVar w:name="FirstTime" w:val="No"/>
    <w:docVar w:name="M_BRAND" w:val="YES"/>
    <w:docVar w:name="S4S_TemplateSet" w:val="Yes"/>
    <w:docVar w:name="Template" w:val="fdeedn.dot"/>
  </w:docVars>
  <w:rsids>
    <w:rsidRoot w:val="00A306B7"/>
    <w:rsid w:val="0000132A"/>
    <w:rsid w:val="00006AF5"/>
    <w:rsid w:val="00012E87"/>
    <w:rsid w:val="00027149"/>
    <w:rsid w:val="00034FE7"/>
    <w:rsid w:val="00036A7D"/>
    <w:rsid w:val="00037BE8"/>
    <w:rsid w:val="0004147C"/>
    <w:rsid w:val="00051E84"/>
    <w:rsid w:val="000573D6"/>
    <w:rsid w:val="00063C25"/>
    <w:rsid w:val="00065521"/>
    <w:rsid w:val="00073EDB"/>
    <w:rsid w:val="00081B08"/>
    <w:rsid w:val="00082D12"/>
    <w:rsid w:val="00091F6D"/>
    <w:rsid w:val="000933AE"/>
    <w:rsid w:val="000B1268"/>
    <w:rsid w:val="000B206A"/>
    <w:rsid w:val="000B2230"/>
    <w:rsid w:val="000B59AA"/>
    <w:rsid w:val="000C0A2A"/>
    <w:rsid w:val="000C2633"/>
    <w:rsid w:val="000C58F5"/>
    <w:rsid w:val="000E00C6"/>
    <w:rsid w:val="000E5220"/>
    <w:rsid w:val="000E5622"/>
    <w:rsid w:val="000E73AE"/>
    <w:rsid w:val="000E7588"/>
    <w:rsid w:val="000F066A"/>
    <w:rsid w:val="000F12EC"/>
    <w:rsid w:val="00103258"/>
    <w:rsid w:val="00107478"/>
    <w:rsid w:val="001131B4"/>
    <w:rsid w:val="00121364"/>
    <w:rsid w:val="001220F2"/>
    <w:rsid w:val="001250FC"/>
    <w:rsid w:val="00126270"/>
    <w:rsid w:val="00127A10"/>
    <w:rsid w:val="00131766"/>
    <w:rsid w:val="00135F19"/>
    <w:rsid w:val="00135F93"/>
    <w:rsid w:val="00141051"/>
    <w:rsid w:val="00142DB2"/>
    <w:rsid w:val="0014450C"/>
    <w:rsid w:val="00146945"/>
    <w:rsid w:val="00152A74"/>
    <w:rsid w:val="0015637C"/>
    <w:rsid w:val="00156F41"/>
    <w:rsid w:val="00157D3C"/>
    <w:rsid w:val="00163E01"/>
    <w:rsid w:val="00167D36"/>
    <w:rsid w:val="0017029C"/>
    <w:rsid w:val="001726C5"/>
    <w:rsid w:val="00185800"/>
    <w:rsid w:val="00195E40"/>
    <w:rsid w:val="001A0C92"/>
    <w:rsid w:val="001A4E60"/>
    <w:rsid w:val="001B298D"/>
    <w:rsid w:val="001B4DC7"/>
    <w:rsid w:val="001C552B"/>
    <w:rsid w:val="001E34D6"/>
    <w:rsid w:val="001F1965"/>
    <w:rsid w:val="001F1A31"/>
    <w:rsid w:val="00200485"/>
    <w:rsid w:val="00202114"/>
    <w:rsid w:val="0020673F"/>
    <w:rsid w:val="00211EA4"/>
    <w:rsid w:val="002244AC"/>
    <w:rsid w:val="002314FA"/>
    <w:rsid w:val="00241533"/>
    <w:rsid w:val="00242DD8"/>
    <w:rsid w:val="002438C6"/>
    <w:rsid w:val="002452D3"/>
    <w:rsid w:val="00246AD5"/>
    <w:rsid w:val="002475D2"/>
    <w:rsid w:val="00247ED5"/>
    <w:rsid w:val="00257898"/>
    <w:rsid w:val="00257CB4"/>
    <w:rsid w:val="0026036E"/>
    <w:rsid w:val="00261400"/>
    <w:rsid w:val="00263B15"/>
    <w:rsid w:val="00280B06"/>
    <w:rsid w:val="0028132A"/>
    <w:rsid w:val="00282F40"/>
    <w:rsid w:val="00283820"/>
    <w:rsid w:val="00283FC9"/>
    <w:rsid w:val="00284B43"/>
    <w:rsid w:val="00290BD4"/>
    <w:rsid w:val="00291AD6"/>
    <w:rsid w:val="00294E4C"/>
    <w:rsid w:val="00297972"/>
    <w:rsid w:val="00297A29"/>
    <w:rsid w:val="002A1B52"/>
    <w:rsid w:val="002B4A98"/>
    <w:rsid w:val="002B4F2F"/>
    <w:rsid w:val="002C3281"/>
    <w:rsid w:val="002C6005"/>
    <w:rsid w:val="002C69A4"/>
    <w:rsid w:val="002D4756"/>
    <w:rsid w:val="002D538A"/>
    <w:rsid w:val="002D63E5"/>
    <w:rsid w:val="002D68B3"/>
    <w:rsid w:val="002E49FA"/>
    <w:rsid w:val="002F0FAB"/>
    <w:rsid w:val="002F1516"/>
    <w:rsid w:val="002F2CB8"/>
    <w:rsid w:val="002F4B0C"/>
    <w:rsid w:val="00301303"/>
    <w:rsid w:val="00327B5B"/>
    <w:rsid w:val="00327D80"/>
    <w:rsid w:val="003310F6"/>
    <w:rsid w:val="00336CEC"/>
    <w:rsid w:val="00336F17"/>
    <w:rsid w:val="00373382"/>
    <w:rsid w:val="0037384E"/>
    <w:rsid w:val="00374FD1"/>
    <w:rsid w:val="00377D3B"/>
    <w:rsid w:val="003815E3"/>
    <w:rsid w:val="00385A47"/>
    <w:rsid w:val="00390723"/>
    <w:rsid w:val="0039086A"/>
    <w:rsid w:val="003912CB"/>
    <w:rsid w:val="00392D7D"/>
    <w:rsid w:val="0039502C"/>
    <w:rsid w:val="00395DAD"/>
    <w:rsid w:val="003A610F"/>
    <w:rsid w:val="003C4458"/>
    <w:rsid w:val="003C4AF3"/>
    <w:rsid w:val="003D78A6"/>
    <w:rsid w:val="003E3BA1"/>
    <w:rsid w:val="003E469E"/>
    <w:rsid w:val="003E5473"/>
    <w:rsid w:val="003F3388"/>
    <w:rsid w:val="004019D2"/>
    <w:rsid w:val="00407F3E"/>
    <w:rsid w:val="004137AF"/>
    <w:rsid w:val="00422BA8"/>
    <w:rsid w:val="00422F7E"/>
    <w:rsid w:val="004253DE"/>
    <w:rsid w:val="00425FF0"/>
    <w:rsid w:val="00435D5F"/>
    <w:rsid w:val="00435E6C"/>
    <w:rsid w:val="0045192C"/>
    <w:rsid w:val="004527F1"/>
    <w:rsid w:val="00453EF5"/>
    <w:rsid w:val="00461716"/>
    <w:rsid w:val="00465088"/>
    <w:rsid w:val="00467976"/>
    <w:rsid w:val="00467FAA"/>
    <w:rsid w:val="0047040A"/>
    <w:rsid w:val="00473642"/>
    <w:rsid w:val="00474C28"/>
    <w:rsid w:val="0047627B"/>
    <w:rsid w:val="00477D05"/>
    <w:rsid w:val="00482232"/>
    <w:rsid w:val="0048293B"/>
    <w:rsid w:val="0048682A"/>
    <w:rsid w:val="00487863"/>
    <w:rsid w:val="00487DF5"/>
    <w:rsid w:val="00491059"/>
    <w:rsid w:val="00493C99"/>
    <w:rsid w:val="00497990"/>
    <w:rsid w:val="004A5D10"/>
    <w:rsid w:val="004A7F2A"/>
    <w:rsid w:val="004B3BC5"/>
    <w:rsid w:val="004B6DDA"/>
    <w:rsid w:val="004C4B05"/>
    <w:rsid w:val="004C5375"/>
    <w:rsid w:val="004C5467"/>
    <w:rsid w:val="004C5752"/>
    <w:rsid w:val="004C6390"/>
    <w:rsid w:val="004D2CDC"/>
    <w:rsid w:val="004D2E8C"/>
    <w:rsid w:val="004D6209"/>
    <w:rsid w:val="004E4B92"/>
    <w:rsid w:val="004F4444"/>
    <w:rsid w:val="004F604B"/>
    <w:rsid w:val="005017AA"/>
    <w:rsid w:val="00513197"/>
    <w:rsid w:val="0051320C"/>
    <w:rsid w:val="00517209"/>
    <w:rsid w:val="00521B7A"/>
    <w:rsid w:val="00524047"/>
    <w:rsid w:val="00527213"/>
    <w:rsid w:val="00532B4D"/>
    <w:rsid w:val="00534763"/>
    <w:rsid w:val="00536B26"/>
    <w:rsid w:val="005438F5"/>
    <w:rsid w:val="00547AD2"/>
    <w:rsid w:val="00552A2F"/>
    <w:rsid w:val="00554574"/>
    <w:rsid w:val="00565693"/>
    <w:rsid w:val="005762DC"/>
    <w:rsid w:val="0058124C"/>
    <w:rsid w:val="0058143A"/>
    <w:rsid w:val="00587A78"/>
    <w:rsid w:val="005925D2"/>
    <w:rsid w:val="005933A6"/>
    <w:rsid w:val="00595BAA"/>
    <w:rsid w:val="005A12E7"/>
    <w:rsid w:val="005A413A"/>
    <w:rsid w:val="005A4A08"/>
    <w:rsid w:val="005B13FF"/>
    <w:rsid w:val="005B17BC"/>
    <w:rsid w:val="005B792C"/>
    <w:rsid w:val="005C7764"/>
    <w:rsid w:val="005D120E"/>
    <w:rsid w:val="005D2602"/>
    <w:rsid w:val="005D3B1D"/>
    <w:rsid w:val="005D4058"/>
    <w:rsid w:val="005D4896"/>
    <w:rsid w:val="005D5964"/>
    <w:rsid w:val="005E1C41"/>
    <w:rsid w:val="005E3C47"/>
    <w:rsid w:val="005E42D9"/>
    <w:rsid w:val="005F0CFB"/>
    <w:rsid w:val="005F4658"/>
    <w:rsid w:val="005F74B2"/>
    <w:rsid w:val="00601620"/>
    <w:rsid w:val="006105E8"/>
    <w:rsid w:val="00615E54"/>
    <w:rsid w:val="006239AE"/>
    <w:rsid w:val="00627494"/>
    <w:rsid w:val="00631B41"/>
    <w:rsid w:val="00633342"/>
    <w:rsid w:val="006355C0"/>
    <w:rsid w:val="00637209"/>
    <w:rsid w:val="00644FE3"/>
    <w:rsid w:val="00647985"/>
    <w:rsid w:val="006520B3"/>
    <w:rsid w:val="0065270C"/>
    <w:rsid w:val="0066144B"/>
    <w:rsid w:val="00663B8E"/>
    <w:rsid w:val="00665DB5"/>
    <w:rsid w:val="006753E7"/>
    <w:rsid w:val="00676112"/>
    <w:rsid w:val="006852E6"/>
    <w:rsid w:val="0069113A"/>
    <w:rsid w:val="00691276"/>
    <w:rsid w:val="00692D77"/>
    <w:rsid w:val="00693475"/>
    <w:rsid w:val="006A0B82"/>
    <w:rsid w:val="006A5EDB"/>
    <w:rsid w:val="006B1C7C"/>
    <w:rsid w:val="006C5A0D"/>
    <w:rsid w:val="006D0C63"/>
    <w:rsid w:val="006D1349"/>
    <w:rsid w:val="006D7351"/>
    <w:rsid w:val="006E26C1"/>
    <w:rsid w:val="006E6EA9"/>
    <w:rsid w:val="006F1B26"/>
    <w:rsid w:val="006F3510"/>
    <w:rsid w:val="006F4577"/>
    <w:rsid w:val="006F64A8"/>
    <w:rsid w:val="007060FD"/>
    <w:rsid w:val="00710728"/>
    <w:rsid w:val="00713666"/>
    <w:rsid w:val="00713D20"/>
    <w:rsid w:val="00714D61"/>
    <w:rsid w:val="0071560E"/>
    <w:rsid w:val="00716413"/>
    <w:rsid w:val="007245E6"/>
    <w:rsid w:val="00726518"/>
    <w:rsid w:val="00735862"/>
    <w:rsid w:val="0074044B"/>
    <w:rsid w:val="00740619"/>
    <w:rsid w:val="007454CE"/>
    <w:rsid w:val="00750105"/>
    <w:rsid w:val="00752296"/>
    <w:rsid w:val="007555CE"/>
    <w:rsid w:val="007572B1"/>
    <w:rsid w:val="00757B36"/>
    <w:rsid w:val="00760A82"/>
    <w:rsid w:val="00765561"/>
    <w:rsid w:val="00766C55"/>
    <w:rsid w:val="00770BB0"/>
    <w:rsid w:val="007732D7"/>
    <w:rsid w:val="007757FE"/>
    <w:rsid w:val="00781AE4"/>
    <w:rsid w:val="0078444B"/>
    <w:rsid w:val="00785A8F"/>
    <w:rsid w:val="00787139"/>
    <w:rsid w:val="00790E24"/>
    <w:rsid w:val="007A5AFF"/>
    <w:rsid w:val="007B1E14"/>
    <w:rsid w:val="007B7F6E"/>
    <w:rsid w:val="007C0DBE"/>
    <w:rsid w:val="007C1F47"/>
    <w:rsid w:val="007C5DAB"/>
    <w:rsid w:val="007C7151"/>
    <w:rsid w:val="007C7A47"/>
    <w:rsid w:val="007D5575"/>
    <w:rsid w:val="007E12A3"/>
    <w:rsid w:val="007E5125"/>
    <w:rsid w:val="007E53F1"/>
    <w:rsid w:val="007E6383"/>
    <w:rsid w:val="007E656D"/>
    <w:rsid w:val="007E6AE0"/>
    <w:rsid w:val="007F2584"/>
    <w:rsid w:val="007F27BE"/>
    <w:rsid w:val="007F288F"/>
    <w:rsid w:val="007F6026"/>
    <w:rsid w:val="008026AA"/>
    <w:rsid w:val="0080517F"/>
    <w:rsid w:val="00811013"/>
    <w:rsid w:val="00842A74"/>
    <w:rsid w:val="0085443A"/>
    <w:rsid w:val="00854B40"/>
    <w:rsid w:val="00854C09"/>
    <w:rsid w:val="00854DA8"/>
    <w:rsid w:val="00860ECD"/>
    <w:rsid w:val="008707E2"/>
    <w:rsid w:val="0087273B"/>
    <w:rsid w:val="0087636F"/>
    <w:rsid w:val="00880B6C"/>
    <w:rsid w:val="0088394A"/>
    <w:rsid w:val="00883FBA"/>
    <w:rsid w:val="008916CB"/>
    <w:rsid w:val="00895338"/>
    <w:rsid w:val="008B0776"/>
    <w:rsid w:val="008B2BA5"/>
    <w:rsid w:val="008B3083"/>
    <w:rsid w:val="008B47BE"/>
    <w:rsid w:val="008C1E6F"/>
    <w:rsid w:val="008C360A"/>
    <w:rsid w:val="008C3D2A"/>
    <w:rsid w:val="008C500A"/>
    <w:rsid w:val="008C650B"/>
    <w:rsid w:val="008C7EB1"/>
    <w:rsid w:val="008E01A5"/>
    <w:rsid w:val="008E02E9"/>
    <w:rsid w:val="008E173C"/>
    <w:rsid w:val="008E3D5F"/>
    <w:rsid w:val="008F227A"/>
    <w:rsid w:val="008F5741"/>
    <w:rsid w:val="008F5CF1"/>
    <w:rsid w:val="009011FB"/>
    <w:rsid w:val="00901666"/>
    <w:rsid w:val="00901BBA"/>
    <w:rsid w:val="009038ED"/>
    <w:rsid w:val="00905587"/>
    <w:rsid w:val="00916A82"/>
    <w:rsid w:val="009247D3"/>
    <w:rsid w:val="00930B8A"/>
    <w:rsid w:val="00933015"/>
    <w:rsid w:val="00935AFE"/>
    <w:rsid w:val="0093698C"/>
    <w:rsid w:val="0094340B"/>
    <w:rsid w:val="0094400E"/>
    <w:rsid w:val="0094470D"/>
    <w:rsid w:val="009462C5"/>
    <w:rsid w:val="00947664"/>
    <w:rsid w:val="00963D23"/>
    <w:rsid w:val="00965D1B"/>
    <w:rsid w:val="0097606C"/>
    <w:rsid w:val="00986614"/>
    <w:rsid w:val="00987062"/>
    <w:rsid w:val="009972B3"/>
    <w:rsid w:val="009A1243"/>
    <w:rsid w:val="009A6E02"/>
    <w:rsid w:val="009B03EA"/>
    <w:rsid w:val="009B21DA"/>
    <w:rsid w:val="009B5ABD"/>
    <w:rsid w:val="009C2595"/>
    <w:rsid w:val="009C712D"/>
    <w:rsid w:val="009D08F5"/>
    <w:rsid w:val="009D2771"/>
    <w:rsid w:val="009D2E27"/>
    <w:rsid w:val="009D525F"/>
    <w:rsid w:val="009E1916"/>
    <w:rsid w:val="009E27AE"/>
    <w:rsid w:val="009E5478"/>
    <w:rsid w:val="009E64C5"/>
    <w:rsid w:val="009E6CD3"/>
    <w:rsid w:val="009F2CBF"/>
    <w:rsid w:val="009F3AA8"/>
    <w:rsid w:val="009F49DD"/>
    <w:rsid w:val="00A04438"/>
    <w:rsid w:val="00A100C3"/>
    <w:rsid w:val="00A13DC6"/>
    <w:rsid w:val="00A25DB3"/>
    <w:rsid w:val="00A26394"/>
    <w:rsid w:val="00A266D5"/>
    <w:rsid w:val="00A306B7"/>
    <w:rsid w:val="00A30906"/>
    <w:rsid w:val="00A350BE"/>
    <w:rsid w:val="00A3633F"/>
    <w:rsid w:val="00A40653"/>
    <w:rsid w:val="00A440DA"/>
    <w:rsid w:val="00A44160"/>
    <w:rsid w:val="00A45738"/>
    <w:rsid w:val="00A462BC"/>
    <w:rsid w:val="00A47A1D"/>
    <w:rsid w:val="00A605A1"/>
    <w:rsid w:val="00A60D81"/>
    <w:rsid w:val="00A67A12"/>
    <w:rsid w:val="00A80BB4"/>
    <w:rsid w:val="00A819D6"/>
    <w:rsid w:val="00A85882"/>
    <w:rsid w:val="00A93B50"/>
    <w:rsid w:val="00A96395"/>
    <w:rsid w:val="00A97765"/>
    <w:rsid w:val="00AA5E13"/>
    <w:rsid w:val="00AA7B76"/>
    <w:rsid w:val="00AB050B"/>
    <w:rsid w:val="00AD18E8"/>
    <w:rsid w:val="00AE0949"/>
    <w:rsid w:val="00AE54DA"/>
    <w:rsid w:val="00AE6DB9"/>
    <w:rsid w:val="00AE6DE6"/>
    <w:rsid w:val="00AF260A"/>
    <w:rsid w:val="00AF403A"/>
    <w:rsid w:val="00AF59B3"/>
    <w:rsid w:val="00B062C8"/>
    <w:rsid w:val="00B06548"/>
    <w:rsid w:val="00B127D6"/>
    <w:rsid w:val="00B31532"/>
    <w:rsid w:val="00B3257F"/>
    <w:rsid w:val="00B327DA"/>
    <w:rsid w:val="00B3439A"/>
    <w:rsid w:val="00B53840"/>
    <w:rsid w:val="00B550A1"/>
    <w:rsid w:val="00B778E4"/>
    <w:rsid w:val="00B874E0"/>
    <w:rsid w:val="00B87DB6"/>
    <w:rsid w:val="00B87F5B"/>
    <w:rsid w:val="00B9102D"/>
    <w:rsid w:val="00B94AA0"/>
    <w:rsid w:val="00B96686"/>
    <w:rsid w:val="00BA41EF"/>
    <w:rsid w:val="00BA6933"/>
    <w:rsid w:val="00BB028F"/>
    <w:rsid w:val="00BB2E54"/>
    <w:rsid w:val="00BB32B4"/>
    <w:rsid w:val="00BB64DA"/>
    <w:rsid w:val="00BB7039"/>
    <w:rsid w:val="00BC55F9"/>
    <w:rsid w:val="00BC5C27"/>
    <w:rsid w:val="00BD1780"/>
    <w:rsid w:val="00BD3A65"/>
    <w:rsid w:val="00BF21C9"/>
    <w:rsid w:val="00BF39B9"/>
    <w:rsid w:val="00BF4E98"/>
    <w:rsid w:val="00C00AAA"/>
    <w:rsid w:val="00C06B8C"/>
    <w:rsid w:val="00C1471B"/>
    <w:rsid w:val="00C14909"/>
    <w:rsid w:val="00C16C77"/>
    <w:rsid w:val="00C204F2"/>
    <w:rsid w:val="00C229F6"/>
    <w:rsid w:val="00C365E4"/>
    <w:rsid w:val="00C47126"/>
    <w:rsid w:val="00C47524"/>
    <w:rsid w:val="00C517C1"/>
    <w:rsid w:val="00C529CE"/>
    <w:rsid w:val="00C54F00"/>
    <w:rsid w:val="00C55C6E"/>
    <w:rsid w:val="00C57F42"/>
    <w:rsid w:val="00C621A1"/>
    <w:rsid w:val="00C65B4A"/>
    <w:rsid w:val="00C65C12"/>
    <w:rsid w:val="00C667DA"/>
    <w:rsid w:val="00C72460"/>
    <w:rsid w:val="00C737C0"/>
    <w:rsid w:val="00C739A8"/>
    <w:rsid w:val="00C81FCC"/>
    <w:rsid w:val="00C826FB"/>
    <w:rsid w:val="00C829C1"/>
    <w:rsid w:val="00C849F4"/>
    <w:rsid w:val="00C945F8"/>
    <w:rsid w:val="00CA0A1A"/>
    <w:rsid w:val="00CA62A4"/>
    <w:rsid w:val="00CA69C0"/>
    <w:rsid w:val="00CB65B7"/>
    <w:rsid w:val="00CB7A30"/>
    <w:rsid w:val="00CC6C3E"/>
    <w:rsid w:val="00CD3811"/>
    <w:rsid w:val="00CD3E38"/>
    <w:rsid w:val="00CE2B9F"/>
    <w:rsid w:val="00CE44BF"/>
    <w:rsid w:val="00CE61A4"/>
    <w:rsid w:val="00CE658E"/>
    <w:rsid w:val="00CE78E0"/>
    <w:rsid w:val="00CF7409"/>
    <w:rsid w:val="00D04B52"/>
    <w:rsid w:val="00D3126A"/>
    <w:rsid w:val="00D35246"/>
    <w:rsid w:val="00D40EC9"/>
    <w:rsid w:val="00D4125F"/>
    <w:rsid w:val="00D47DE4"/>
    <w:rsid w:val="00D47E1A"/>
    <w:rsid w:val="00D5074A"/>
    <w:rsid w:val="00D5323B"/>
    <w:rsid w:val="00D547C5"/>
    <w:rsid w:val="00D5707C"/>
    <w:rsid w:val="00D6577E"/>
    <w:rsid w:val="00D70248"/>
    <w:rsid w:val="00D77E57"/>
    <w:rsid w:val="00D81108"/>
    <w:rsid w:val="00D8155F"/>
    <w:rsid w:val="00D90DA7"/>
    <w:rsid w:val="00DA1BA8"/>
    <w:rsid w:val="00DA6A75"/>
    <w:rsid w:val="00DA7BFF"/>
    <w:rsid w:val="00DB650E"/>
    <w:rsid w:val="00DB65B0"/>
    <w:rsid w:val="00DC35AC"/>
    <w:rsid w:val="00DC725A"/>
    <w:rsid w:val="00DC75D1"/>
    <w:rsid w:val="00DD3673"/>
    <w:rsid w:val="00DE02BC"/>
    <w:rsid w:val="00DE0A16"/>
    <w:rsid w:val="00DF6B2C"/>
    <w:rsid w:val="00E029F5"/>
    <w:rsid w:val="00E04CB4"/>
    <w:rsid w:val="00E14110"/>
    <w:rsid w:val="00E25416"/>
    <w:rsid w:val="00E3757F"/>
    <w:rsid w:val="00E4055B"/>
    <w:rsid w:val="00E40FE4"/>
    <w:rsid w:val="00E5416E"/>
    <w:rsid w:val="00E65A4A"/>
    <w:rsid w:val="00E701CB"/>
    <w:rsid w:val="00E764CB"/>
    <w:rsid w:val="00E82821"/>
    <w:rsid w:val="00E832E7"/>
    <w:rsid w:val="00E90875"/>
    <w:rsid w:val="00E951D9"/>
    <w:rsid w:val="00E97621"/>
    <w:rsid w:val="00EA37B4"/>
    <w:rsid w:val="00EA3DAE"/>
    <w:rsid w:val="00EB0CCD"/>
    <w:rsid w:val="00EB4604"/>
    <w:rsid w:val="00EC0D22"/>
    <w:rsid w:val="00EC40BF"/>
    <w:rsid w:val="00EC5E08"/>
    <w:rsid w:val="00ED07C0"/>
    <w:rsid w:val="00ED2E1D"/>
    <w:rsid w:val="00ED4ABD"/>
    <w:rsid w:val="00ED54A8"/>
    <w:rsid w:val="00ED6A7B"/>
    <w:rsid w:val="00ED7379"/>
    <w:rsid w:val="00EF1CC9"/>
    <w:rsid w:val="00EF2972"/>
    <w:rsid w:val="00EF31BA"/>
    <w:rsid w:val="00EF7EAE"/>
    <w:rsid w:val="00F01C4D"/>
    <w:rsid w:val="00F048DA"/>
    <w:rsid w:val="00F138AE"/>
    <w:rsid w:val="00F1777E"/>
    <w:rsid w:val="00F22A71"/>
    <w:rsid w:val="00F22CC8"/>
    <w:rsid w:val="00F33481"/>
    <w:rsid w:val="00F33AB6"/>
    <w:rsid w:val="00F43029"/>
    <w:rsid w:val="00F44145"/>
    <w:rsid w:val="00F53E7B"/>
    <w:rsid w:val="00F57530"/>
    <w:rsid w:val="00F606E6"/>
    <w:rsid w:val="00F62B87"/>
    <w:rsid w:val="00F63533"/>
    <w:rsid w:val="00F66CEB"/>
    <w:rsid w:val="00F8082E"/>
    <w:rsid w:val="00F85C10"/>
    <w:rsid w:val="00F86040"/>
    <w:rsid w:val="00F93739"/>
    <w:rsid w:val="00F945A7"/>
    <w:rsid w:val="00FA4C7A"/>
    <w:rsid w:val="00FA78D4"/>
    <w:rsid w:val="00FB21B0"/>
    <w:rsid w:val="00FB28B4"/>
    <w:rsid w:val="00FC3E38"/>
    <w:rsid w:val="00FD24E3"/>
    <w:rsid w:val="00FD3C0C"/>
    <w:rsid w:val="00FD3D17"/>
    <w:rsid w:val="00FE04F6"/>
    <w:rsid w:val="00FE26A1"/>
    <w:rsid w:val="00FE4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7A4EB"/>
  <w15:chartTrackingRefBased/>
  <w15:docId w15:val="{DCA05327-86EE-40FA-9643-79146DE3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2"/>
      </w:numPr>
      <w:spacing w:after="240"/>
      <w:outlineLvl w:val="3"/>
    </w:pPr>
  </w:style>
  <w:style w:type="paragraph" w:styleId="Heading5">
    <w:name w:val="heading 5"/>
    <w:aliases w:val="Block Label,H5,Sub4Para,Heading 5 StGeorge,Appendix,Level 3 - i,Level 5,L5,l5,Para5,h5,5,(A),heading 5,A,h51,h52"/>
    <w:basedOn w:val="Normal"/>
    <w:qFormat/>
    <w:pPr>
      <w:numPr>
        <w:ilvl w:val="4"/>
        <w:numId w:val="2"/>
      </w:numPr>
      <w:spacing w:after="240"/>
      <w:outlineLvl w:val="4"/>
    </w:pPr>
  </w:style>
  <w:style w:type="paragraph" w:styleId="Heading6">
    <w:name w:val="heading 6"/>
    <w:aliases w:val="Sub5Para,L1 PIP,a,b,H6,Legal Level 1.,Level 6,(I),I"/>
    <w:basedOn w:val="Normal"/>
    <w:qFormat/>
    <w:pPr>
      <w:numPr>
        <w:ilvl w:val="5"/>
        <w:numId w:val="2"/>
      </w:numPr>
      <w:spacing w:after="240"/>
      <w:outlineLvl w:val="5"/>
    </w:pPr>
  </w:style>
  <w:style w:type="paragraph" w:styleId="Heading7">
    <w:name w:val="heading 7"/>
    <w:aliases w:val="L2 PIP,H7,Legal Level 1.1.,Legal Level 1.1. Char,Heading 7 Char,L2 PIP Char,H7 Char"/>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paragraph" w:customStyle="1" w:styleId="table2">
    <w:name w:val="table2"/>
    <w:basedOn w:val="Normal"/>
    <w:rsid w:val="00DC725A"/>
    <w:pPr>
      <w:spacing w:before="120"/>
    </w:pPr>
    <w:rPr>
      <w:sz w:val="18"/>
      <w:lang w:val="en-GB"/>
    </w:rPr>
  </w:style>
  <w:style w:type="character" w:customStyle="1" w:styleId="Indent2Char">
    <w:name w:val="Indent 2 Char"/>
    <w:rsid w:val="00C829C1"/>
    <w:rPr>
      <w:rFonts w:ascii="Arial" w:hAnsi="Arial" w:cs="Arial"/>
      <w:sz w:val="19"/>
      <w:lang w:val="en-AU" w:eastAsia="en-US" w:bidi="ar-SA"/>
    </w:rPr>
  </w:style>
  <w:style w:type="character" w:customStyle="1" w:styleId="l2C">
    <w:name w:val="l2 C"/>
    <w:rsid w:val="004A7F2A"/>
    <w:rPr>
      <w:rFonts w:ascii="Arial" w:hAnsi="Arial" w:cs="Arial"/>
      <w:sz w:val="19"/>
      <w:lang w:val="en-AU" w:eastAsia="en-US" w:bidi="ar-SA"/>
    </w:rPr>
  </w:style>
  <w:style w:type="paragraph" w:styleId="BodyTextIndent2">
    <w:name w:val="Body Text Indent 2"/>
    <w:basedOn w:val="Normal"/>
    <w:rsid w:val="00283FC9"/>
    <w:pPr>
      <w:spacing w:after="120" w:line="480" w:lineRule="auto"/>
      <w:ind w:left="283"/>
    </w:pPr>
  </w:style>
  <w:style w:type="table" w:styleId="TableGrid">
    <w:name w:val="Table Grid"/>
    <w:basedOn w:val="TableNormal"/>
    <w:rsid w:val="00231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53E7B"/>
    <w:rPr>
      <w:sz w:val="16"/>
      <w:szCs w:val="16"/>
    </w:rPr>
  </w:style>
  <w:style w:type="paragraph" w:styleId="CommentText">
    <w:name w:val="annotation text"/>
    <w:basedOn w:val="Normal"/>
    <w:link w:val="CommentTextChar"/>
    <w:rsid w:val="00F53E7B"/>
    <w:rPr>
      <w:sz w:val="20"/>
    </w:rPr>
  </w:style>
  <w:style w:type="character" w:customStyle="1" w:styleId="CommentTextChar">
    <w:name w:val="Comment Text Char"/>
    <w:link w:val="CommentText"/>
    <w:rsid w:val="00F53E7B"/>
    <w:rPr>
      <w:rFonts w:ascii="Times New Roman" w:hAnsi="Times New Roman"/>
      <w:lang w:val="en-AU" w:eastAsia="en-US"/>
    </w:rPr>
  </w:style>
  <w:style w:type="paragraph" w:styleId="CommentSubject">
    <w:name w:val="annotation subject"/>
    <w:basedOn w:val="CommentText"/>
    <w:next w:val="CommentText"/>
    <w:link w:val="CommentSubjectChar"/>
    <w:rsid w:val="00F53E7B"/>
    <w:rPr>
      <w:b/>
      <w:bCs/>
    </w:rPr>
  </w:style>
  <w:style w:type="character" w:customStyle="1" w:styleId="CommentSubjectChar">
    <w:name w:val="Comment Subject Char"/>
    <w:link w:val="CommentSubject"/>
    <w:rsid w:val="00F53E7B"/>
    <w:rPr>
      <w:rFonts w:ascii="Times New Roman" w:hAnsi="Times New Roman"/>
      <w:b/>
      <w:bCs/>
      <w:lang w:val="en-AU" w:eastAsia="en-US"/>
    </w:rPr>
  </w:style>
  <w:style w:type="paragraph" w:styleId="Revision">
    <w:name w:val="Revision"/>
    <w:hidden/>
    <w:uiPriority w:val="99"/>
    <w:semiHidden/>
    <w:rsid w:val="006E26C1"/>
    <w:rPr>
      <w:rFonts w:ascii="Times New Roman" w:hAnsi="Times New Roman"/>
      <w:sz w:val="23"/>
      <w:lang w:eastAsia="en-US"/>
    </w:rPr>
  </w:style>
  <w:style w:type="character" w:customStyle="1" w:styleId="FooterChar">
    <w:name w:val="Footer Char"/>
    <w:basedOn w:val="DefaultParagraphFont"/>
    <w:link w:val="Footer"/>
    <w:rsid w:val="002F2CB8"/>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4676">
      <w:bodyDiv w:val="1"/>
      <w:marLeft w:val="0"/>
      <w:marRight w:val="0"/>
      <w:marTop w:val="0"/>
      <w:marBottom w:val="0"/>
      <w:divBdr>
        <w:top w:val="none" w:sz="0" w:space="0" w:color="auto"/>
        <w:left w:val="none" w:sz="0" w:space="0" w:color="auto"/>
        <w:bottom w:val="none" w:sz="0" w:space="0" w:color="auto"/>
        <w:right w:val="none" w:sz="0" w:space="0" w:color="auto"/>
      </w:divBdr>
    </w:div>
    <w:div w:id="1640915197">
      <w:bodyDiv w:val="1"/>
      <w:marLeft w:val="0"/>
      <w:marRight w:val="0"/>
      <w:marTop w:val="0"/>
      <w:marBottom w:val="0"/>
      <w:divBdr>
        <w:top w:val="none" w:sz="0" w:space="0" w:color="auto"/>
        <w:left w:val="none" w:sz="0" w:space="0" w:color="auto"/>
        <w:bottom w:val="none" w:sz="0" w:space="0" w:color="auto"/>
        <w:right w:val="none" w:sz="0" w:space="0" w:color="auto"/>
      </w:divBdr>
    </w:div>
    <w:div w:id="1895238083">
      <w:bodyDiv w:val="1"/>
      <w:marLeft w:val="0"/>
      <w:marRight w:val="0"/>
      <w:marTop w:val="0"/>
      <w:marBottom w:val="0"/>
      <w:divBdr>
        <w:top w:val="none" w:sz="0" w:space="0" w:color="auto"/>
        <w:left w:val="none" w:sz="0" w:space="0" w:color="auto"/>
        <w:bottom w:val="none" w:sz="0" w:space="0" w:color="auto"/>
        <w:right w:val="none" w:sz="0" w:space="0" w:color="auto"/>
      </w:divBdr>
    </w:div>
    <w:div w:id="19720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telstra.com.au/customerterms/bus_inbound.htm"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elstra.com.au/customerterms/bus_governmen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elstra.com.au/customerterms/bus_government.htm"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AATUC-1823800632-92718</_dlc_DocId>
    <_dlc_DocIdUrl xmlns="2a7a03ce-2042-4c5f-90e9-1f29c56988a9">
      <Url>https://teamtelstra.sharepoint.com/sites/DigitalSystems/_layouts/15/DocIdRedir.aspx?ID=AATUC-1823800632-92718</Url>
      <Description>AATUC-1823800632-92718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D755E1C-B5D9-4C21-9635-38352245EDE2}">
  <ds:schemaRefs>
    <ds:schemaRef ds:uri="http://schemas.microsoft.com/office/2006/metadata/properties"/>
    <ds:schemaRef ds:uri="http://schemas.microsoft.com/office/infopath/2007/PartnerControls"/>
    <ds:schemaRef ds:uri="http://schemas.microsoft.com/sharepoint/v3"/>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5E3CBAE2-6CB7-41F6-9126-B46AD458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48778-FADD-4AFB-9981-87338D6C43F4}">
  <ds:schemaRefs>
    <ds:schemaRef ds:uri="http://schemas.microsoft.com/sharepoint/events"/>
  </ds:schemaRefs>
</ds:datastoreItem>
</file>

<file path=customXml/itemProps4.xml><?xml version="1.0" encoding="utf-8"?>
<ds:datastoreItem xmlns:ds="http://schemas.openxmlformats.org/officeDocument/2006/customXml" ds:itemID="{8FF2BFB4-B3CB-46C3-B216-44BDBD6F36A2}">
  <ds:schemaRefs>
    <ds:schemaRef ds:uri="http://schemas.microsoft.com/sharepoint/v3/contenttype/forms"/>
  </ds:schemaRefs>
</ds:datastoreItem>
</file>

<file path=customXml/itemProps5.xml><?xml version="1.0" encoding="utf-8"?>
<ds:datastoreItem xmlns:ds="http://schemas.openxmlformats.org/officeDocument/2006/customXml" ds:itemID="{D5E27FE0-905B-44EE-A4A2-1BD0E04656E6}">
  <ds:schemaRefs>
    <ds:schemaRef ds:uri="http://schemas.microsoft.com/office/2006/metadata/longPropertie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Telstra Our Customer Terms - Inbound Services - Part C Analyser Online</vt:lpstr>
    </vt:vector>
  </TitlesOfParts>
  <Manager/>
  <Company/>
  <LinksUpToDate>false</LinksUpToDate>
  <CharactersWithSpaces>12668</CharactersWithSpaces>
  <SharedDoc>false</SharedDoc>
  <HyperlinkBase/>
  <HLinks>
    <vt:vector size="114" baseType="variant">
      <vt:variant>
        <vt:i4>327786</vt:i4>
      </vt:variant>
      <vt:variant>
        <vt:i4>99</vt:i4>
      </vt:variant>
      <vt:variant>
        <vt:i4>0</vt:i4>
      </vt:variant>
      <vt:variant>
        <vt:i4>5</vt:i4>
      </vt:variant>
      <vt:variant>
        <vt:lpwstr>http://www.telstra.com.au/customerterms/bus_government.htm</vt:lpwstr>
      </vt:variant>
      <vt:variant>
        <vt:lpwstr/>
      </vt:variant>
      <vt:variant>
        <vt:i4>327786</vt:i4>
      </vt:variant>
      <vt:variant>
        <vt:i4>96</vt:i4>
      </vt:variant>
      <vt:variant>
        <vt:i4>0</vt:i4>
      </vt:variant>
      <vt:variant>
        <vt:i4>5</vt:i4>
      </vt:variant>
      <vt:variant>
        <vt:lpwstr>http://www.telstra.com.au/customerterms/bus_government.htm</vt:lpwstr>
      </vt:variant>
      <vt:variant>
        <vt:lpwstr/>
      </vt:variant>
      <vt:variant>
        <vt:i4>327786</vt:i4>
      </vt:variant>
      <vt:variant>
        <vt:i4>93</vt:i4>
      </vt:variant>
      <vt:variant>
        <vt:i4>0</vt:i4>
      </vt:variant>
      <vt:variant>
        <vt:i4>5</vt:i4>
      </vt:variant>
      <vt:variant>
        <vt:lpwstr>http://www.telstra.com.au/customerterms/bus_government.htm</vt:lpwstr>
      </vt:variant>
      <vt:variant>
        <vt:lpwstr/>
      </vt:variant>
      <vt:variant>
        <vt:i4>327786</vt:i4>
      </vt:variant>
      <vt:variant>
        <vt:i4>90</vt:i4>
      </vt:variant>
      <vt:variant>
        <vt:i4>0</vt:i4>
      </vt:variant>
      <vt:variant>
        <vt:i4>5</vt:i4>
      </vt:variant>
      <vt:variant>
        <vt:lpwstr>http://www.telstra.com.au/customerterms/bus_government.htm</vt:lpwstr>
      </vt:variant>
      <vt:variant>
        <vt:lpwstr/>
      </vt:variant>
      <vt:variant>
        <vt:i4>4194338</vt:i4>
      </vt:variant>
      <vt:variant>
        <vt:i4>87</vt:i4>
      </vt:variant>
      <vt:variant>
        <vt:i4>0</vt:i4>
      </vt:variant>
      <vt:variant>
        <vt:i4>5</vt:i4>
      </vt:variant>
      <vt:variant>
        <vt:lpwstr>http://www.telstra.com.au/customerterms/bus_inbound.htm</vt:lpwstr>
      </vt:variant>
      <vt:variant>
        <vt:lpwstr/>
      </vt:variant>
      <vt:variant>
        <vt:i4>1638452</vt:i4>
      </vt:variant>
      <vt:variant>
        <vt:i4>80</vt:i4>
      </vt:variant>
      <vt:variant>
        <vt:i4>0</vt:i4>
      </vt:variant>
      <vt:variant>
        <vt:i4>5</vt:i4>
      </vt:variant>
      <vt:variant>
        <vt:lpwstr/>
      </vt:variant>
      <vt:variant>
        <vt:lpwstr>_Toc154547590</vt:lpwstr>
      </vt:variant>
      <vt:variant>
        <vt:i4>1572916</vt:i4>
      </vt:variant>
      <vt:variant>
        <vt:i4>74</vt:i4>
      </vt:variant>
      <vt:variant>
        <vt:i4>0</vt:i4>
      </vt:variant>
      <vt:variant>
        <vt:i4>5</vt:i4>
      </vt:variant>
      <vt:variant>
        <vt:lpwstr/>
      </vt:variant>
      <vt:variant>
        <vt:lpwstr>_Toc154547589</vt:lpwstr>
      </vt:variant>
      <vt:variant>
        <vt:i4>1572916</vt:i4>
      </vt:variant>
      <vt:variant>
        <vt:i4>68</vt:i4>
      </vt:variant>
      <vt:variant>
        <vt:i4>0</vt:i4>
      </vt:variant>
      <vt:variant>
        <vt:i4>5</vt:i4>
      </vt:variant>
      <vt:variant>
        <vt:lpwstr/>
      </vt:variant>
      <vt:variant>
        <vt:lpwstr>_Toc154547588</vt:lpwstr>
      </vt:variant>
      <vt:variant>
        <vt:i4>1572916</vt:i4>
      </vt:variant>
      <vt:variant>
        <vt:i4>62</vt:i4>
      </vt:variant>
      <vt:variant>
        <vt:i4>0</vt:i4>
      </vt:variant>
      <vt:variant>
        <vt:i4>5</vt:i4>
      </vt:variant>
      <vt:variant>
        <vt:lpwstr/>
      </vt:variant>
      <vt:variant>
        <vt:lpwstr>_Toc154547587</vt:lpwstr>
      </vt:variant>
      <vt:variant>
        <vt:i4>1572916</vt:i4>
      </vt:variant>
      <vt:variant>
        <vt:i4>56</vt:i4>
      </vt:variant>
      <vt:variant>
        <vt:i4>0</vt:i4>
      </vt:variant>
      <vt:variant>
        <vt:i4>5</vt:i4>
      </vt:variant>
      <vt:variant>
        <vt:lpwstr/>
      </vt:variant>
      <vt:variant>
        <vt:lpwstr>_Toc154547586</vt:lpwstr>
      </vt:variant>
      <vt:variant>
        <vt:i4>1572916</vt:i4>
      </vt:variant>
      <vt:variant>
        <vt:i4>50</vt:i4>
      </vt:variant>
      <vt:variant>
        <vt:i4>0</vt:i4>
      </vt:variant>
      <vt:variant>
        <vt:i4>5</vt:i4>
      </vt:variant>
      <vt:variant>
        <vt:lpwstr/>
      </vt:variant>
      <vt:variant>
        <vt:lpwstr>_Toc154547585</vt:lpwstr>
      </vt:variant>
      <vt:variant>
        <vt:i4>1572916</vt:i4>
      </vt:variant>
      <vt:variant>
        <vt:i4>44</vt:i4>
      </vt:variant>
      <vt:variant>
        <vt:i4>0</vt:i4>
      </vt:variant>
      <vt:variant>
        <vt:i4>5</vt:i4>
      </vt:variant>
      <vt:variant>
        <vt:lpwstr/>
      </vt:variant>
      <vt:variant>
        <vt:lpwstr>_Toc154547584</vt:lpwstr>
      </vt:variant>
      <vt:variant>
        <vt:i4>1572916</vt:i4>
      </vt:variant>
      <vt:variant>
        <vt:i4>38</vt:i4>
      </vt:variant>
      <vt:variant>
        <vt:i4>0</vt:i4>
      </vt:variant>
      <vt:variant>
        <vt:i4>5</vt:i4>
      </vt:variant>
      <vt:variant>
        <vt:lpwstr/>
      </vt:variant>
      <vt:variant>
        <vt:lpwstr>_Toc154547583</vt:lpwstr>
      </vt:variant>
      <vt:variant>
        <vt:i4>1572916</vt:i4>
      </vt:variant>
      <vt:variant>
        <vt:i4>32</vt:i4>
      </vt:variant>
      <vt:variant>
        <vt:i4>0</vt:i4>
      </vt:variant>
      <vt:variant>
        <vt:i4>5</vt:i4>
      </vt:variant>
      <vt:variant>
        <vt:lpwstr/>
      </vt:variant>
      <vt:variant>
        <vt:lpwstr>_Toc154547582</vt:lpwstr>
      </vt:variant>
      <vt:variant>
        <vt:i4>1572916</vt:i4>
      </vt:variant>
      <vt:variant>
        <vt:i4>26</vt:i4>
      </vt:variant>
      <vt:variant>
        <vt:i4>0</vt:i4>
      </vt:variant>
      <vt:variant>
        <vt:i4>5</vt:i4>
      </vt:variant>
      <vt:variant>
        <vt:lpwstr/>
      </vt:variant>
      <vt:variant>
        <vt:lpwstr>_Toc154547581</vt:lpwstr>
      </vt:variant>
      <vt:variant>
        <vt:i4>1572916</vt:i4>
      </vt:variant>
      <vt:variant>
        <vt:i4>20</vt:i4>
      </vt:variant>
      <vt:variant>
        <vt:i4>0</vt:i4>
      </vt:variant>
      <vt:variant>
        <vt:i4>5</vt:i4>
      </vt:variant>
      <vt:variant>
        <vt:lpwstr/>
      </vt:variant>
      <vt:variant>
        <vt:lpwstr>_Toc154547580</vt:lpwstr>
      </vt:variant>
      <vt:variant>
        <vt:i4>1507380</vt:i4>
      </vt:variant>
      <vt:variant>
        <vt:i4>14</vt:i4>
      </vt:variant>
      <vt:variant>
        <vt:i4>0</vt:i4>
      </vt:variant>
      <vt:variant>
        <vt:i4>5</vt:i4>
      </vt:variant>
      <vt:variant>
        <vt:lpwstr/>
      </vt:variant>
      <vt:variant>
        <vt:lpwstr>_Toc154547579</vt:lpwstr>
      </vt:variant>
      <vt:variant>
        <vt:i4>1507380</vt:i4>
      </vt:variant>
      <vt:variant>
        <vt:i4>8</vt:i4>
      </vt:variant>
      <vt:variant>
        <vt:i4>0</vt:i4>
      </vt:variant>
      <vt:variant>
        <vt:i4>5</vt:i4>
      </vt:variant>
      <vt:variant>
        <vt:lpwstr/>
      </vt:variant>
      <vt:variant>
        <vt:lpwstr>_Toc154547578</vt:lpwstr>
      </vt:variant>
      <vt:variant>
        <vt:i4>1507380</vt:i4>
      </vt:variant>
      <vt:variant>
        <vt:i4>2</vt:i4>
      </vt:variant>
      <vt:variant>
        <vt:i4>0</vt:i4>
      </vt:variant>
      <vt:variant>
        <vt:i4>5</vt:i4>
      </vt:variant>
      <vt:variant>
        <vt:lpwstr/>
      </vt:variant>
      <vt:variant>
        <vt:lpwstr>_Toc154547577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Inbound Services - Part C Analyser Online</dc:title>
  <dc:subject>This is Our Customer Terms - Inbound Services - Part C Analyser Online which contains information on Analyser Online</dc:subject>
  <dc:creator>Telstra Limited</dc:creator>
  <cp:keywords>Telstra, oct, our customer terms, inbound, services, analyser</cp:keywords>
  <dc:description>This is Our Customer Terms - Inbound Services - Part C Analyser Online which contains information on Analyser Online</dc:description>
  <cp:lastModifiedBy>Greenaway, Lorraine</cp:lastModifiedBy>
  <cp:revision>2</cp:revision>
  <cp:lastPrinted>2024-08-20T06:01:00Z</cp:lastPrinted>
  <dcterms:created xsi:type="dcterms:W3CDTF">2024-08-21T06:58:00Z</dcterms:created>
  <dcterms:modified xsi:type="dcterms:W3CDTF">2024-08-21T06:58:00Z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BPW-5956</vt:lpwstr>
  </property>
  <property fmtid="{D5CDD505-2E9C-101B-9397-08002B2CF9AE}" pid="3" name="TelstraLinkHidden">
    <vt:lpwstr>http://objects.in.telstra.com.au/documents/BPW-5956</vt:lpwstr>
  </property>
  <property fmtid="{D5CDD505-2E9C-101B-9397-08002B2CF9AE}" pid="4" name="ContentType">
    <vt:lpwstr>General Legal Document</vt:lpwstr>
  </property>
  <property fmtid="{D5CDD505-2E9C-101B-9397-08002B2CF9AE}" pid="5" name="PCDocsNo">
    <vt:lpwstr>71578586v1</vt:lpwstr>
  </property>
  <property fmtid="{D5CDD505-2E9C-101B-9397-08002B2CF9AE}" pid="6" name="ClassificationContentMarkingFooterShapeIds">
    <vt:lpwstr>5d29f63d,3b261423,24fd1dba,59ed887e,17c1ea61,14a8fbf3</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y fmtid="{D5CDD505-2E9C-101B-9397-08002B2CF9AE}" pid="9" name="ContentTypeId">
    <vt:lpwstr>0x010100CE3B1D3E7822C549A581B067E19CC315</vt:lpwstr>
  </property>
  <property fmtid="{D5CDD505-2E9C-101B-9397-08002B2CF9AE}" pid="10" name="_dlc_DocIdItemGuid">
    <vt:lpwstr>5d5a1ba1-033b-4e01-aa8c-83776f8a29c2</vt:lpwstr>
  </property>
  <property fmtid="{D5CDD505-2E9C-101B-9397-08002B2CF9AE}" pid="11" name="MediaServiceImageTags">
    <vt:lpwstr/>
  </property>
</Properties>
</file>