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CE9B" w14:textId="77777777" w:rsidR="00E5651C" w:rsidRDefault="00E5651C">
      <w:pPr>
        <w:pStyle w:val="TOCHeading"/>
      </w:pPr>
      <w:r>
        <w:t>Contents</w:t>
      </w:r>
    </w:p>
    <w:p w14:paraId="34B3D7B7" w14:textId="77777777" w:rsidR="00E5651C" w:rsidRDefault="00E5651C">
      <w:pPr>
        <w:pStyle w:val="TOC1"/>
        <w:tabs>
          <w:tab w:val="left" w:pos="1474"/>
        </w:tabs>
        <w:spacing w:before="0" w:after="240"/>
        <w:rPr>
          <w:b w:val="0"/>
          <w:bCs/>
        </w:rPr>
      </w:pPr>
      <w:r>
        <w:rPr>
          <w:b w:val="0"/>
          <w:bCs/>
        </w:rPr>
        <w:t>Click on the section that you are interested in.</w:t>
      </w:r>
    </w:p>
    <w:p w14:paraId="7267654A" w14:textId="77777777" w:rsidR="004A7756" w:rsidRPr="00D45AB2" w:rsidRDefault="00E5651C">
      <w:pPr>
        <w:pStyle w:val="TOC1"/>
        <w:tabs>
          <w:tab w:val="left" w:pos="1474"/>
        </w:tabs>
        <w:rPr>
          <w:rFonts w:ascii="Calibri" w:hAnsi="Calibri"/>
          <w:b w:val="0"/>
          <w:noProof/>
          <w:sz w:val="22"/>
          <w:szCs w:val="22"/>
          <w:lang w:val="en-US"/>
        </w:rPr>
      </w:pPr>
      <w:r>
        <w:rPr>
          <w:b w:val="0"/>
        </w:rPr>
        <w:fldChar w:fldCharType="begin"/>
      </w:r>
      <w:r>
        <w:rPr>
          <w:b w:val="0"/>
        </w:rPr>
        <w:instrText xml:space="preserve"> TOC \h \z \t "Heading 1,1,Indent 1,2" </w:instrText>
      </w:r>
      <w:r>
        <w:rPr>
          <w:b w:val="0"/>
        </w:rPr>
        <w:fldChar w:fldCharType="separate"/>
      </w:r>
      <w:hyperlink w:anchor="_Toc477177669" w:history="1">
        <w:r w:rsidR="004A7756" w:rsidRPr="006B72EF">
          <w:rPr>
            <w:rStyle w:val="Hyperlink"/>
            <w:noProof/>
          </w:rPr>
          <w:t>1</w:t>
        </w:r>
        <w:r w:rsidR="004A7756" w:rsidRPr="00D45AB2">
          <w:rPr>
            <w:rFonts w:ascii="Calibri" w:hAnsi="Calibri"/>
            <w:b w:val="0"/>
            <w:noProof/>
            <w:sz w:val="22"/>
            <w:szCs w:val="22"/>
            <w:lang w:val="en-US"/>
          </w:rPr>
          <w:tab/>
        </w:r>
        <w:r w:rsidR="004A7756" w:rsidRPr="006B72EF">
          <w:rPr>
            <w:rStyle w:val="Hyperlink"/>
            <w:noProof/>
          </w:rPr>
          <w:t>About the Netplan section</w:t>
        </w:r>
        <w:r w:rsidR="004A7756">
          <w:rPr>
            <w:noProof/>
            <w:webHidden/>
          </w:rPr>
          <w:tab/>
        </w:r>
        <w:r w:rsidR="004A7756">
          <w:rPr>
            <w:noProof/>
            <w:webHidden/>
          </w:rPr>
          <w:fldChar w:fldCharType="begin"/>
        </w:r>
        <w:r w:rsidR="004A7756">
          <w:rPr>
            <w:noProof/>
            <w:webHidden/>
          </w:rPr>
          <w:instrText xml:space="preserve"> PAGEREF _Toc477177669 \h </w:instrText>
        </w:r>
        <w:r w:rsidR="004A7756">
          <w:rPr>
            <w:noProof/>
            <w:webHidden/>
          </w:rPr>
        </w:r>
        <w:r w:rsidR="004A7756">
          <w:rPr>
            <w:noProof/>
            <w:webHidden/>
          </w:rPr>
          <w:fldChar w:fldCharType="separate"/>
        </w:r>
        <w:r w:rsidR="00240233">
          <w:rPr>
            <w:noProof/>
            <w:webHidden/>
          </w:rPr>
          <w:t>2</w:t>
        </w:r>
        <w:r w:rsidR="004A7756">
          <w:rPr>
            <w:noProof/>
            <w:webHidden/>
          </w:rPr>
          <w:fldChar w:fldCharType="end"/>
        </w:r>
      </w:hyperlink>
    </w:p>
    <w:p w14:paraId="03A5B19C" w14:textId="77777777" w:rsidR="004A7756" w:rsidRPr="00D45AB2" w:rsidRDefault="004A7756">
      <w:pPr>
        <w:pStyle w:val="TOC2"/>
        <w:rPr>
          <w:rFonts w:ascii="Calibri" w:hAnsi="Calibri"/>
          <w:noProof/>
          <w:sz w:val="22"/>
          <w:szCs w:val="22"/>
          <w:lang w:val="en-US"/>
        </w:rPr>
      </w:pPr>
      <w:hyperlink w:anchor="_Toc477177670" w:history="1">
        <w:r w:rsidRPr="006B72EF">
          <w:rPr>
            <w:rStyle w:val="Hyperlink"/>
            <w:noProof/>
          </w:rPr>
          <w:t>Our Customer Terms</w:t>
        </w:r>
        <w:r>
          <w:rPr>
            <w:noProof/>
            <w:webHidden/>
          </w:rPr>
          <w:tab/>
        </w:r>
        <w:r>
          <w:rPr>
            <w:noProof/>
            <w:webHidden/>
          </w:rPr>
          <w:fldChar w:fldCharType="begin"/>
        </w:r>
        <w:r>
          <w:rPr>
            <w:noProof/>
            <w:webHidden/>
          </w:rPr>
          <w:instrText xml:space="preserve"> PAGEREF _Toc477177670 \h </w:instrText>
        </w:r>
        <w:r>
          <w:rPr>
            <w:noProof/>
            <w:webHidden/>
          </w:rPr>
        </w:r>
        <w:r>
          <w:rPr>
            <w:noProof/>
            <w:webHidden/>
          </w:rPr>
          <w:fldChar w:fldCharType="separate"/>
        </w:r>
        <w:r w:rsidR="00240233">
          <w:rPr>
            <w:noProof/>
            <w:webHidden/>
          </w:rPr>
          <w:t>2</w:t>
        </w:r>
        <w:r>
          <w:rPr>
            <w:noProof/>
            <w:webHidden/>
          </w:rPr>
          <w:fldChar w:fldCharType="end"/>
        </w:r>
      </w:hyperlink>
    </w:p>
    <w:p w14:paraId="069B6C8A" w14:textId="77777777" w:rsidR="004A7756" w:rsidRPr="00D45AB2" w:rsidRDefault="004A7756">
      <w:pPr>
        <w:pStyle w:val="TOC2"/>
        <w:rPr>
          <w:rFonts w:ascii="Calibri" w:hAnsi="Calibri"/>
          <w:noProof/>
          <w:sz w:val="22"/>
          <w:szCs w:val="22"/>
          <w:lang w:val="en-US"/>
        </w:rPr>
      </w:pPr>
      <w:hyperlink w:anchor="_Toc477177671" w:history="1">
        <w:r w:rsidRPr="006B72EF">
          <w:rPr>
            <w:rStyle w:val="Hyperlink"/>
            <w:noProof/>
          </w:rPr>
          <w:t>Inconsistencies</w:t>
        </w:r>
        <w:r>
          <w:rPr>
            <w:noProof/>
            <w:webHidden/>
          </w:rPr>
          <w:tab/>
        </w:r>
        <w:r>
          <w:rPr>
            <w:noProof/>
            <w:webHidden/>
          </w:rPr>
          <w:fldChar w:fldCharType="begin"/>
        </w:r>
        <w:r>
          <w:rPr>
            <w:noProof/>
            <w:webHidden/>
          </w:rPr>
          <w:instrText xml:space="preserve"> PAGEREF _Toc477177671 \h </w:instrText>
        </w:r>
        <w:r>
          <w:rPr>
            <w:noProof/>
            <w:webHidden/>
          </w:rPr>
        </w:r>
        <w:r>
          <w:rPr>
            <w:noProof/>
            <w:webHidden/>
          </w:rPr>
          <w:fldChar w:fldCharType="separate"/>
        </w:r>
        <w:r w:rsidR="00240233">
          <w:rPr>
            <w:noProof/>
            <w:webHidden/>
          </w:rPr>
          <w:t>2</w:t>
        </w:r>
        <w:r>
          <w:rPr>
            <w:noProof/>
            <w:webHidden/>
          </w:rPr>
          <w:fldChar w:fldCharType="end"/>
        </w:r>
      </w:hyperlink>
    </w:p>
    <w:p w14:paraId="139FACD2" w14:textId="77777777" w:rsidR="004A7756" w:rsidRPr="00D45AB2" w:rsidRDefault="004A7756">
      <w:pPr>
        <w:pStyle w:val="TOC1"/>
        <w:tabs>
          <w:tab w:val="left" w:pos="1474"/>
        </w:tabs>
        <w:rPr>
          <w:rFonts w:ascii="Calibri" w:hAnsi="Calibri"/>
          <w:b w:val="0"/>
          <w:noProof/>
          <w:sz w:val="22"/>
          <w:szCs w:val="22"/>
          <w:lang w:val="en-US"/>
        </w:rPr>
      </w:pPr>
      <w:hyperlink w:anchor="_Toc477177672" w:history="1">
        <w:r w:rsidRPr="006B72EF">
          <w:rPr>
            <w:rStyle w:val="Hyperlink"/>
            <w:noProof/>
            <w:lang w:val="en-GB"/>
          </w:rPr>
          <w:t>2</w:t>
        </w:r>
        <w:r w:rsidRPr="00D45AB2">
          <w:rPr>
            <w:rFonts w:ascii="Calibri" w:hAnsi="Calibri"/>
            <w:b w:val="0"/>
            <w:noProof/>
            <w:sz w:val="22"/>
            <w:szCs w:val="22"/>
            <w:lang w:val="en-US"/>
          </w:rPr>
          <w:tab/>
        </w:r>
        <w:r w:rsidRPr="006B72EF">
          <w:rPr>
            <w:rStyle w:val="Hyperlink"/>
            <w:noProof/>
            <w:lang w:val="en-GB"/>
          </w:rPr>
          <w:t>What is Netplan?</w:t>
        </w:r>
        <w:r>
          <w:rPr>
            <w:noProof/>
            <w:webHidden/>
          </w:rPr>
          <w:tab/>
        </w:r>
        <w:r>
          <w:rPr>
            <w:noProof/>
            <w:webHidden/>
          </w:rPr>
          <w:fldChar w:fldCharType="begin"/>
        </w:r>
        <w:r>
          <w:rPr>
            <w:noProof/>
            <w:webHidden/>
          </w:rPr>
          <w:instrText xml:space="preserve"> PAGEREF _Toc477177672 \h </w:instrText>
        </w:r>
        <w:r>
          <w:rPr>
            <w:noProof/>
            <w:webHidden/>
          </w:rPr>
        </w:r>
        <w:r>
          <w:rPr>
            <w:noProof/>
            <w:webHidden/>
          </w:rPr>
          <w:fldChar w:fldCharType="separate"/>
        </w:r>
        <w:r w:rsidR="00240233">
          <w:rPr>
            <w:noProof/>
            <w:webHidden/>
          </w:rPr>
          <w:t>2</w:t>
        </w:r>
        <w:r>
          <w:rPr>
            <w:noProof/>
            <w:webHidden/>
          </w:rPr>
          <w:fldChar w:fldCharType="end"/>
        </w:r>
      </w:hyperlink>
    </w:p>
    <w:p w14:paraId="6FB5C117" w14:textId="77777777" w:rsidR="004A7756" w:rsidRPr="00D45AB2" w:rsidRDefault="004A7756">
      <w:pPr>
        <w:pStyle w:val="TOC2"/>
        <w:rPr>
          <w:rFonts w:ascii="Calibri" w:hAnsi="Calibri"/>
          <w:noProof/>
          <w:sz w:val="22"/>
          <w:szCs w:val="22"/>
          <w:lang w:val="en-US"/>
        </w:rPr>
      </w:pPr>
      <w:hyperlink w:anchor="_Toc477177673" w:history="1">
        <w:r w:rsidRPr="006B72EF">
          <w:rPr>
            <w:rStyle w:val="Hyperlink"/>
            <w:noProof/>
          </w:rPr>
          <w:t>Netplan 1 and 2</w:t>
        </w:r>
        <w:r>
          <w:rPr>
            <w:noProof/>
            <w:webHidden/>
          </w:rPr>
          <w:tab/>
        </w:r>
        <w:r>
          <w:rPr>
            <w:noProof/>
            <w:webHidden/>
          </w:rPr>
          <w:fldChar w:fldCharType="begin"/>
        </w:r>
        <w:r>
          <w:rPr>
            <w:noProof/>
            <w:webHidden/>
          </w:rPr>
          <w:instrText xml:space="preserve"> PAGEREF _Toc477177673 \h </w:instrText>
        </w:r>
        <w:r>
          <w:rPr>
            <w:noProof/>
            <w:webHidden/>
          </w:rPr>
        </w:r>
        <w:r>
          <w:rPr>
            <w:noProof/>
            <w:webHidden/>
          </w:rPr>
          <w:fldChar w:fldCharType="separate"/>
        </w:r>
        <w:r w:rsidR="00240233">
          <w:rPr>
            <w:noProof/>
            <w:webHidden/>
          </w:rPr>
          <w:t>2</w:t>
        </w:r>
        <w:r>
          <w:rPr>
            <w:noProof/>
            <w:webHidden/>
          </w:rPr>
          <w:fldChar w:fldCharType="end"/>
        </w:r>
      </w:hyperlink>
    </w:p>
    <w:p w14:paraId="2ABD702A" w14:textId="77777777" w:rsidR="004A7756" w:rsidRPr="00D45AB2" w:rsidRDefault="004A7756">
      <w:pPr>
        <w:pStyle w:val="TOC2"/>
        <w:rPr>
          <w:rFonts w:ascii="Calibri" w:hAnsi="Calibri"/>
          <w:noProof/>
          <w:sz w:val="22"/>
          <w:szCs w:val="22"/>
          <w:lang w:val="en-US"/>
        </w:rPr>
      </w:pPr>
      <w:hyperlink w:anchor="_Toc477177674" w:history="1">
        <w:r w:rsidRPr="006B72EF">
          <w:rPr>
            <w:rStyle w:val="Hyperlink"/>
            <w:noProof/>
          </w:rPr>
          <w:t>Availability – no new orders</w:t>
        </w:r>
        <w:r>
          <w:rPr>
            <w:noProof/>
            <w:webHidden/>
          </w:rPr>
          <w:tab/>
        </w:r>
        <w:r>
          <w:rPr>
            <w:noProof/>
            <w:webHidden/>
          </w:rPr>
          <w:fldChar w:fldCharType="begin"/>
        </w:r>
        <w:r>
          <w:rPr>
            <w:noProof/>
            <w:webHidden/>
          </w:rPr>
          <w:instrText xml:space="preserve"> PAGEREF _Toc477177674 \h </w:instrText>
        </w:r>
        <w:r>
          <w:rPr>
            <w:noProof/>
            <w:webHidden/>
          </w:rPr>
        </w:r>
        <w:r>
          <w:rPr>
            <w:noProof/>
            <w:webHidden/>
          </w:rPr>
          <w:fldChar w:fldCharType="separate"/>
        </w:r>
        <w:r w:rsidR="00240233">
          <w:rPr>
            <w:noProof/>
            <w:webHidden/>
          </w:rPr>
          <w:t>2</w:t>
        </w:r>
        <w:r>
          <w:rPr>
            <w:noProof/>
            <w:webHidden/>
          </w:rPr>
          <w:fldChar w:fldCharType="end"/>
        </w:r>
      </w:hyperlink>
    </w:p>
    <w:p w14:paraId="4084C8CF" w14:textId="77777777" w:rsidR="004A7756" w:rsidRPr="00D45AB2" w:rsidRDefault="004A7756">
      <w:pPr>
        <w:pStyle w:val="TOC2"/>
        <w:rPr>
          <w:rFonts w:ascii="Calibri" w:hAnsi="Calibri"/>
          <w:noProof/>
          <w:sz w:val="22"/>
          <w:szCs w:val="22"/>
          <w:lang w:val="en-US"/>
        </w:rPr>
      </w:pPr>
      <w:hyperlink w:anchor="_Toc477177675" w:history="1">
        <w:r w:rsidRPr="006B72EF">
          <w:rPr>
            <w:rStyle w:val="Hyperlink"/>
            <w:noProof/>
          </w:rPr>
          <w:t>Eligible services</w:t>
        </w:r>
        <w:r>
          <w:rPr>
            <w:noProof/>
            <w:webHidden/>
          </w:rPr>
          <w:tab/>
        </w:r>
        <w:r>
          <w:rPr>
            <w:noProof/>
            <w:webHidden/>
          </w:rPr>
          <w:fldChar w:fldCharType="begin"/>
        </w:r>
        <w:r>
          <w:rPr>
            <w:noProof/>
            <w:webHidden/>
          </w:rPr>
          <w:instrText xml:space="preserve"> PAGEREF _Toc477177675 \h </w:instrText>
        </w:r>
        <w:r>
          <w:rPr>
            <w:noProof/>
            <w:webHidden/>
          </w:rPr>
        </w:r>
        <w:r>
          <w:rPr>
            <w:noProof/>
            <w:webHidden/>
          </w:rPr>
          <w:fldChar w:fldCharType="separate"/>
        </w:r>
        <w:r w:rsidR="00240233">
          <w:rPr>
            <w:noProof/>
            <w:webHidden/>
          </w:rPr>
          <w:t>2</w:t>
        </w:r>
        <w:r>
          <w:rPr>
            <w:noProof/>
            <w:webHidden/>
          </w:rPr>
          <w:fldChar w:fldCharType="end"/>
        </w:r>
      </w:hyperlink>
    </w:p>
    <w:p w14:paraId="411886F7" w14:textId="77777777" w:rsidR="004A7756" w:rsidRPr="00D45AB2" w:rsidRDefault="004A7756">
      <w:pPr>
        <w:pStyle w:val="TOC2"/>
        <w:rPr>
          <w:rFonts w:ascii="Calibri" w:hAnsi="Calibri"/>
          <w:noProof/>
          <w:sz w:val="22"/>
          <w:szCs w:val="22"/>
          <w:lang w:val="en-US"/>
        </w:rPr>
      </w:pPr>
      <w:hyperlink w:anchor="_Toc477177676" w:history="1">
        <w:r w:rsidRPr="006B72EF">
          <w:rPr>
            <w:rStyle w:val="Hyperlink"/>
            <w:noProof/>
          </w:rPr>
          <w:t>Netplan 1 eligible services</w:t>
        </w:r>
        <w:r>
          <w:rPr>
            <w:noProof/>
            <w:webHidden/>
          </w:rPr>
          <w:tab/>
        </w:r>
        <w:r>
          <w:rPr>
            <w:noProof/>
            <w:webHidden/>
          </w:rPr>
          <w:fldChar w:fldCharType="begin"/>
        </w:r>
        <w:r>
          <w:rPr>
            <w:noProof/>
            <w:webHidden/>
          </w:rPr>
          <w:instrText xml:space="preserve"> PAGEREF _Toc477177676 \h </w:instrText>
        </w:r>
        <w:r>
          <w:rPr>
            <w:noProof/>
            <w:webHidden/>
          </w:rPr>
        </w:r>
        <w:r>
          <w:rPr>
            <w:noProof/>
            <w:webHidden/>
          </w:rPr>
          <w:fldChar w:fldCharType="separate"/>
        </w:r>
        <w:r w:rsidR="00240233">
          <w:rPr>
            <w:noProof/>
            <w:webHidden/>
          </w:rPr>
          <w:t>3</w:t>
        </w:r>
        <w:r>
          <w:rPr>
            <w:noProof/>
            <w:webHidden/>
          </w:rPr>
          <w:fldChar w:fldCharType="end"/>
        </w:r>
      </w:hyperlink>
    </w:p>
    <w:p w14:paraId="64FE7C6F" w14:textId="77777777" w:rsidR="004A7756" w:rsidRPr="00D45AB2" w:rsidRDefault="004A7756">
      <w:pPr>
        <w:pStyle w:val="TOC2"/>
        <w:rPr>
          <w:rFonts w:ascii="Calibri" w:hAnsi="Calibri"/>
          <w:noProof/>
          <w:sz w:val="22"/>
          <w:szCs w:val="22"/>
          <w:lang w:val="en-US"/>
        </w:rPr>
      </w:pPr>
      <w:hyperlink w:anchor="_Toc477177677" w:history="1">
        <w:r w:rsidRPr="006B72EF">
          <w:rPr>
            <w:rStyle w:val="Hyperlink"/>
            <w:noProof/>
          </w:rPr>
          <w:t>Netplan 2 eligible services</w:t>
        </w:r>
        <w:r>
          <w:rPr>
            <w:noProof/>
            <w:webHidden/>
          </w:rPr>
          <w:tab/>
        </w:r>
        <w:r>
          <w:rPr>
            <w:noProof/>
            <w:webHidden/>
          </w:rPr>
          <w:fldChar w:fldCharType="begin"/>
        </w:r>
        <w:r>
          <w:rPr>
            <w:noProof/>
            <w:webHidden/>
          </w:rPr>
          <w:instrText xml:space="preserve"> PAGEREF _Toc477177677 \h </w:instrText>
        </w:r>
        <w:r>
          <w:rPr>
            <w:noProof/>
            <w:webHidden/>
          </w:rPr>
        </w:r>
        <w:r>
          <w:rPr>
            <w:noProof/>
            <w:webHidden/>
          </w:rPr>
          <w:fldChar w:fldCharType="separate"/>
        </w:r>
        <w:r w:rsidR="00240233">
          <w:rPr>
            <w:noProof/>
            <w:webHidden/>
          </w:rPr>
          <w:t>3</w:t>
        </w:r>
        <w:r>
          <w:rPr>
            <w:noProof/>
            <w:webHidden/>
          </w:rPr>
          <w:fldChar w:fldCharType="end"/>
        </w:r>
      </w:hyperlink>
    </w:p>
    <w:p w14:paraId="11F88BD6" w14:textId="77777777" w:rsidR="004A7756" w:rsidRPr="00D45AB2" w:rsidRDefault="004A7756">
      <w:pPr>
        <w:pStyle w:val="TOC2"/>
        <w:rPr>
          <w:rFonts w:ascii="Calibri" w:hAnsi="Calibri"/>
          <w:noProof/>
          <w:sz w:val="22"/>
          <w:szCs w:val="22"/>
          <w:lang w:val="en-US"/>
        </w:rPr>
      </w:pPr>
      <w:hyperlink w:anchor="_Toc477177678" w:history="1">
        <w:r w:rsidRPr="006B72EF">
          <w:rPr>
            <w:rStyle w:val="Hyperlink"/>
            <w:noProof/>
          </w:rPr>
          <w:t>Choosing your yearly spend level or benchmark</w:t>
        </w:r>
        <w:r>
          <w:rPr>
            <w:noProof/>
            <w:webHidden/>
          </w:rPr>
          <w:tab/>
        </w:r>
        <w:r>
          <w:rPr>
            <w:noProof/>
            <w:webHidden/>
          </w:rPr>
          <w:fldChar w:fldCharType="begin"/>
        </w:r>
        <w:r>
          <w:rPr>
            <w:noProof/>
            <w:webHidden/>
          </w:rPr>
          <w:instrText xml:space="preserve"> PAGEREF _Toc477177678 \h </w:instrText>
        </w:r>
        <w:r>
          <w:rPr>
            <w:noProof/>
            <w:webHidden/>
          </w:rPr>
        </w:r>
        <w:r>
          <w:rPr>
            <w:noProof/>
            <w:webHidden/>
          </w:rPr>
          <w:fldChar w:fldCharType="separate"/>
        </w:r>
        <w:r w:rsidR="00240233">
          <w:rPr>
            <w:noProof/>
            <w:webHidden/>
          </w:rPr>
          <w:t>3</w:t>
        </w:r>
        <w:r>
          <w:rPr>
            <w:noProof/>
            <w:webHidden/>
          </w:rPr>
          <w:fldChar w:fldCharType="end"/>
        </w:r>
      </w:hyperlink>
    </w:p>
    <w:p w14:paraId="07195E99" w14:textId="77777777" w:rsidR="004A7756" w:rsidRPr="00D45AB2" w:rsidRDefault="004A7756">
      <w:pPr>
        <w:pStyle w:val="TOC2"/>
        <w:rPr>
          <w:rFonts w:ascii="Calibri" w:hAnsi="Calibri"/>
          <w:noProof/>
          <w:sz w:val="22"/>
          <w:szCs w:val="22"/>
          <w:lang w:val="en-US"/>
        </w:rPr>
      </w:pPr>
      <w:hyperlink w:anchor="_Toc477177679" w:history="1">
        <w:r w:rsidRPr="006B72EF">
          <w:rPr>
            <w:rStyle w:val="Hyperlink"/>
            <w:noProof/>
          </w:rPr>
          <w:t>Changing your benchmark</w:t>
        </w:r>
        <w:r>
          <w:rPr>
            <w:noProof/>
            <w:webHidden/>
          </w:rPr>
          <w:tab/>
        </w:r>
        <w:r>
          <w:rPr>
            <w:noProof/>
            <w:webHidden/>
          </w:rPr>
          <w:fldChar w:fldCharType="begin"/>
        </w:r>
        <w:r>
          <w:rPr>
            <w:noProof/>
            <w:webHidden/>
          </w:rPr>
          <w:instrText xml:space="preserve"> PAGEREF _Toc477177679 \h </w:instrText>
        </w:r>
        <w:r>
          <w:rPr>
            <w:noProof/>
            <w:webHidden/>
          </w:rPr>
        </w:r>
        <w:r>
          <w:rPr>
            <w:noProof/>
            <w:webHidden/>
          </w:rPr>
          <w:fldChar w:fldCharType="separate"/>
        </w:r>
        <w:r w:rsidR="00240233">
          <w:rPr>
            <w:noProof/>
            <w:webHidden/>
          </w:rPr>
          <w:t>3</w:t>
        </w:r>
        <w:r>
          <w:rPr>
            <w:noProof/>
            <w:webHidden/>
          </w:rPr>
          <w:fldChar w:fldCharType="end"/>
        </w:r>
      </w:hyperlink>
    </w:p>
    <w:p w14:paraId="734EBC7D" w14:textId="77777777" w:rsidR="004A7756" w:rsidRPr="00D45AB2" w:rsidRDefault="004A7756">
      <w:pPr>
        <w:pStyle w:val="TOC2"/>
        <w:rPr>
          <w:rFonts w:ascii="Calibri" w:hAnsi="Calibri"/>
          <w:noProof/>
          <w:sz w:val="22"/>
          <w:szCs w:val="22"/>
          <w:lang w:val="en-US"/>
        </w:rPr>
      </w:pPr>
      <w:hyperlink w:anchor="_Toc477177680" w:history="1">
        <w:r w:rsidRPr="006B72EF">
          <w:rPr>
            <w:rStyle w:val="Hyperlink"/>
            <w:noProof/>
          </w:rPr>
          <w:t>Monthly service fee</w:t>
        </w:r>
        <w:r>
          <w:rPr>
            <w:noProof/>
            <w:webHidden/>
          </w:rPr>
          <w:tab/>
        </w:r>
        <w:r>
          <w:rPr>
            <w:noProof/>
            <w:webHidden/>
          </w:rPr>
          <w:fldChar w:fldCharType="begin"/>
        </w:r>
        <w:r>
          <w:rPr>
            <w:noProof/>
            <w:webHidden/>
          </w:rPr>
          <w:instrText xml:space="preserve"> PAGEREF _Toc477177680 \h </w:instrText>
        </w:r>
        <w:r>
          <w:rPr>
            <w:noProof/>
            <w:webHidden/>
          </w:rPr>
        </w:r>
        <w:r>
          <w:rPr>
            <w:noProof/>
            <w:webHidden/>
          </w:rPr>
          <w:fldChar w:fldCharType="separate"/>
        </w:r>
        <w:r w:rsidR="00240233">
          <w:rPr>
            <w:noProof/>
            <w:webHidden/>
          </w:rPr>
          <w:t>3</w:t>
        </w:r>
        <w:r>
          <w:rPr>
            <w:noProof/>
            <w:webHidden/>
          </w:rPr>
          <w:fldChar w:fldCharType="end"/>
        </w:r>
      </w:hyperlink>
    </w:p>
    <w:p w14:paraId="2EA20E5B" w14:textId="77777777" w:rsidR="004A7756" w:rsidRPr="00D45AB2" w:rsidRDefault="004A7756">
      <w:pPr>
        <w:pStyle w:val="TOC2"/>
        <w:rPr>
          <w:rFonts w:ascii="Calibri" w:hAnsi="Calibri"/>
          <w:noProof/>
          <w:sz w:val="22"/>
          <w:szCs w:val="22"/>
          <w:lang w:val="en-US"/>
        </w:rPr>
      </w:pPr>
      <w:hyperlink w:anchor="_Toc477177681" w:history="1">
        <w:r w:rsidRPr="006B72EF">
          <w:rPr>
            <w:rStyle w:val="Hyperlink"/>
            <w:noProof/>
          </w:rPr>
          <w:t>Minimum period</w:t>
        </w:r>
        <w:r>
          <w:rPr>
            <w:noProof/>
            <w:webHidden/>
          </w:rPr>
          <w:tab/>
        </w:r>
        <w:r>
          <w:rPr>
            <w:noProof/>
            <w:webHidden/>
          </w:rPr>
          <w:fldChar w:fldCharType="begin"/>
        </w:r>
        <w:r>
          <w:rPr>
            <w:noProof/>
            <w:webHidden/>
          </w:rPr>
          <w:instrText xml:space="preserve"> PAGEREF _Toc477177681 \h </w:instrText>
        </w:r>
        <w:r>
          <w:rPr>
            <w:noProof/>
            <w:webHidden/>
          </w:rPr>
        </w:r>
        <w:r>
          <w:rPr>
            <w:noProof/>
            <w:webHidden/>
          </w:rPr>
          <w:fldChar w:fldCharType="separate"/>
        </w:r>
        <w:r w:rsidR="00240233">
          <w:rPr>
            <w:noProof/>
            <w:webHidden/>
          </w:rPr>
          <w:t>4</w:t>
        </w:r>
        <w:r>
          <w:rPr>
            <w:noProof/>
            <w:webHidden/>
          </w:rPr>
          <w:fldChar w:fldCharType="end"/>
        </w:r>
      </w:hyperlink>
    </w:p>
    <w:p w14:paraId="1A0D9825" w14:textId="77777777" w:rsidR="004A7756" w:rsidRPr="00D45AB2" w:rsidRDefault="004A7756">
      <w:pPr>
        <w:pStyle w:val="TOC2"/>
        <w:rPr>
          <w:rFonts w:ascii="Calibri" w:hAnsi="Calibri"/>
          <w:noProof/>
          <w:sz w:val="22"/>
          <w:szCs w:val="22"/>
          <w:lang w:val="en-US"/>
        </w:rPr>
      </w:pPr>
      <w:hyperlink w:anchor="_Toc477177682" w:history="1">
        <w:r w:rsidRPr="006B72EF">
          <w:rPr>
            <w:rStyle w:val="Hyperlink"/>
            <w:noProof/>
          </w:rPr>
          <w:t>Netplan will be automatically extended</w:t>
        </w:r>
        <w:r>
          <w:rPr>
            <w:noProof/>
            <w:webHidden/>
          </w:rPr>
          <w:tab/>
        </w:r>
        <w:r>
          <w:rPr>
            <w:noProof/>
            <w:webHidden/>
          </w:rPr>
          <w:fldChar w:fldCharType="begin"/>
        </w:r>
        <w:r>
          <w:rPr>
            <w:noProof/>
            <w:webHidden/>
          </w:rPr>
          <w:instrText xml:space="preserve"> PAGEREF _Toc477177682 \h </w:instrText>
        </w:r>
        <w:r>
          <w:rPr>
            <w:noProof/>
            <w:webHidden/>
          </w:rPr>
        </w:r>
        <w:r>
          <w:rPr>
            <w:noProof/>
            <w:webHidden/>
          </w:rPr>
          <w:fldChar w:fldCharType="separate"/>
        </w:r>
        <w:r w:rsidR="00240233">
          <w:rPr>
            <w:noProof/>
            <w:webHidden/>
          </w:rPr>
          <w:t>4</w:t>
        </w:r>
        <w:r>
          <w:rPr>
            <w:noProof/>
            <w:webHidden/>
          </w:rPr>
          <w:fldChar w:fldCharType="end"/>
        </w:r>
      </w:hyperlink>
    </w:p>
    <w:p w14:paraId="16928A2D" w14:textId="77777777" w:rsidR="004A7756" w:rsidRPr="00D45AB2" w:rsidRDefault="004A7756">
      <w:pPr>
        <w:pStyle w:val="TOC2"/>
        <w:rPr>
          <w:rFonts w:ascii="Calibri" w:hAnsi="Calibri"/>
          <w:noProof/>
          <w:sz w:val="22"/>
          <w:szCs w:val="22"/>
          <w:lang w:val="en-US"/>
        </w:rPr>
      </w:pPr>
      <w:hyperlink w:anchor="_Toc477177683" w:history="1">
        <w:r w:rsidRPr="006B72EF">
          <w:rPr>
            <w:rStyle w:val="Hyperlink"/>
            <w:noProof/>
          </w:rPr>
          <w:t>Cancelling Netplan</w:t>
        </w:r>
        <w:r>
          <w:rPr>
            <w:noProof/>
            <w:webHidden/>
          </w:rPr>
          <w:tab/>
        </w:r>
        <w:r>
          <w:rPr>
            <w:noProof/>
            <w:webHidden/>
          </w:rPr>
          <w:fldChar w:fldCharType="begin"/>
        </w:r>
        <w:r>
          <w:rPr>
            <w:noProof/>
            <w:webHidden/>
          </w:rPr>
          <w:instrText xml:space="preserve"> PAGEREF _Toc477177683 \h </w:instrText>
        </w:r>
        <w:r>
          <w:rPr>
            <w:noProof/>
            <w:webHidden/>
          </w:rPr>
        </w:r>
        <w:r>
          <w:rPr>
            <w:noProof/>
            <w:webHidden/>
          </w:rPr>
          <w:fldChar w:fldCharType="separate"/>
        </w:r>
        <w:r w:rsidR="00240233">
          <w:rPr>
            <w:noProof/>
            <w:webHidden/>
          </w:rPr>
          <w:t>4</w:t>
        </w:r>
        <w:r>
          <w:rPr>
            <w:noProof/>
            <w:webHidden/>
          </w:rPr>
          <w:fldChar w:fldCharType="end"/>
        </w:r>
      </w:hyperlink>
    </w:p>
    <w:p w14:paraId="0ECBA5CF" w14:textId="77777777" w:rsidR="004A7756" w:rsidRPr="00D45AB2" w:rsidRDefault="004A7756">
      <w:pPr>
        <w:pStyle w:val="TOC1"/>
        <w:tabs>
          <w:tab w:val="left" w:pos="1474"/>
        </w:tabs>
        <w:rPr>
          <w:rFonts w:ascii="Calibri" w:hAnsi="Calibri"/>
          <w:b w:val="0"/>
          <w:noProof/>
          <w:sz w:val="22"/>
          <w:szCs w:val="22"/>
          <w:lang w:val="en-US"/>
        </w:rPr>
      </w:pPr>
      <w:hyperlink w:anchor="_Toc477177684" w:history="1">
        <w:r w:rsidRPr="006B72EF">
          <w:rPr>
            <w:rStyle w:val="Hyperlink"/>
            <w:noProof/>
            <w:lang w:val="en-GB"/>
          </w:rPr>
          <w:t>3</w:t>
        </w:r>
        <w:r w:rsidRPr="00D45AB2">
          <w:rPr>
            <w:rFonts w:ascii="Calibri" w:hAnsi="Calibri"/>
            <w:b w:val="0"/>
            <w:noProof/>
            <w:sz w:val="22"/>
            <w:szCs w:val="22"/>
            <w:lang w:val="en-US"/>
          </w:rPr>
          <w:tab/>
        </w:r>
        <w:r w:rsidRPr="006B72EF">
          <w:rPr>
            <w:rStyle w:val="Hyperlink"/>
            <w:noProof/>
            <w:lang w:val="en-GB"/>
          </w:rPr>
          <w:t>Discount levels and payment</w:t>
        </w:r>
        <w:r>
          <w:rPr>
            <w:noProof/>
            <w:webHidden/>
          </w:rPr>
          <w:tab/>
        </w:r>
        <w:r>
          <w:rPr>
            <w:noProof/>
            <w:webHidden/>
          </w:rPr>
          <w:fldChar w:fldCharType="begin"/>
        </w:r>
        <w:r>
          <w:rPr>
            <w:noProof/>
            <w:webHidden/>
          </w:rPr>
          <w:instrText xml:space="preserve"> PAGEREF _Toc477177684 \h </w:instrText>
        </w:r>
        <w:r>
          <w:rPr>
            <w:noProof/>
            <w:webHidden/>
          </w:rPr>
        </w:r>
        <w:r>
          <w:rPr>
            <w:noProof/>
            <w:webHidden/>
          </w:rPr>
          <w:fldChar w:fldCharType="separate"/>
        </w:r>
        <w:r w:rsidR="00240233">
          <w:rPr>
            <w:noProof/>
            <w:webHidden/>
          </w:rPr>
          <w:t>4</w:t>
        </w:r>
        <w:r>
          <w:rPr>
            <w:noProof/>
            <w:webHidden/>
          </w:rPr>
          <w:fldChar w:fldCharType="end"/>
        </w:r>
      </w:hyperlink>
    </w:p>
    <w:p w14:paraId="35A4B849" w14:textId="77777777" w:rsidR="004A7756" w:rsidRPr="00D45AB2" w:rsidRDefault="004A7756">
      <w:pPr>
        <w:pStyle w:val="TOC2"/>
        <w:rPr>
          <w:rFonts w:ascii="Calibri" w:hAnsi="Calibri"/>
          <w:noProof/>
          <w:sz w:val="22"/>
          <w:szCs w:val="22"/>
          <w:lang w:val="en-US"/>
        </w:rPr>
      </w:pPr>
      <w:hyperlink w:anchor="_Toc477177685" w:history="1">
        <w:r w:rsidRPr="006B72EF">
          <w:rPr>
            <w:rStyle w:val="Hyperlink"/>
            <w:noProof/>
          </w:rPr>
          <w:t>Paying your discount</w:t>
        </w:r>
        <w:r>
          <w:rPr>
            <w:noProof/>
            <w:webHidden/>
          </w:rPr>
          <w:tab/>
        </w:r>
        <w:r>
          <w:rPr>
            <w:noProof/>
            <w:webHidden/>
          </w:rPr>
          <w:fldChar w:fldCharType="begin"/>
        </w:r>
        <w:r>
          <w:rPr>
            <w:noProof/>
            <w:webHidden/>
          </w:rPr>
          <w:instrText xml:space="preserve"> PAGEREF _Toc477177685 \h </w:instrText>
        </w:r>
        <w:r>
          <w:rPr>
            <w:noProof/>
            <w:webHidden/>
          </w:rPr>
        </w:r>
        <w:r>
          <w:rPr>
            <w:noProof/>
            <w:webHidden/>
          </w:rPr>
          <w:fldChar w:fldCharType="separate"/>
        </w:r>
        <w:r w:rsidR="00240233">
          <w:rPr>
            <w:noProof/>
            <w:webHidden/>
          </w:rPr>
          <w:t>4</w:t>
        </w:r>
        <w:r>
          <w:rPr>
            <w:noProof/>
            <w:webHidden/>
          </w:rPr>
          <w:fldChar w:fldCharType="end"/>
        </w:r>
      </w:hyperlink>
    </w:p>
    <w:p w14:paraId="0B3EAA4E" w14:textId="77777777" w:rsidR="004A7756" w:rsidRPr="00D45AB2" w:rsidRDefault="004A7756">
      <w:pPr>
        <w:pStyle w:val="TOC2"/>
        <w:rPr>
          <w:rFonts w:ascii="Calibri" w:hAnsi="Calibri"/>
          <w:noProof/>
          <w:sz w:val="22"/>
          <w:szCs w:val="22"/>
          <w:lang w:val="en-US"/>
        </w:rPr>
      </w:pPr>
      <w:hyperlink w:anchor="_Toc477177686" w:history="1">
        <w:r w:rsidRPr="006B72EF">
          <w:rPr>
            <w:rStyle w:val="Hyperlink"/>
            <w:noProof/>
          </w:rPr>
          <w:t>Netplan 1 discount levels</w:t>
        </w:r>
        <w:r>
          <w:rPr>
            <w:noProof/>
            <w:webHidden/>
          </w:rPr>
          <w:tab/>
        </w:r>
        <w:r>
          <w:rPr>
            <w:noProof/>
            <w:webHidden/>
          </w:rPr>
          <w:fldChar w:fldCharType="begin"/>
        </w:r>
        <w:r>
          <w:rPr>
            <w:noProof/>
            <w:webHidden/>
          </w:rPr>
          <w:instrText xml:space="preserve"> PAGEREF _Toc477177686 \h </w:instrText>
        </w:r>
        <w:r>
          <w:rPr>
            <w:noProof/>
            <w:webHidden/>
          </w:rPr>
        </w:r>
        <w:r>
          <w:rPr>
            <w:noProof/>
            <w:webHidden/>
          </w:rPr>
          <w:fldChar w:fldCharType="separate"/>
        </w:r>
        <w:r w:rsidR="00240233">
          <w:rPr>
            <w:noProof/>
            <w:webHidden/>
          </w:rPr>
          <w:t>4</w:t>
        </w:r>
        <w:r>
          <w:rPr>
            <w:noProof/>
            <w:webHidden/>
          </w:rPr>
          <w:fldChar w:fldCharType="end"/>
        </w:r>
      </w:hyperlink>
    </w:p>
    <w:p w14:paraId="7E182762" w14:textId="77777777" w:rsidR="004A7756" w:rsidRPr="00D45AB2" w:rsidRDefault="004A7756">
      <w:pPr>
        <w:pStyle w:val="TOC2"/>
        <w:rPr>
          <w:rFonts w:ascii="Calibri" w:hAnsi="Calibri"/>
          <w:noProof/>
          <w:sz w:val="22"/>
          <w:szCs w:val="22"/>
          <w:lang w:val="en-US"/>
        </w:rPr>
      </w:pPr>
      <w:hyperlink w:anchor="_Toc477177687" w:history="1">
        <w:r w:rsidRPr="006B72EF">
          <w:rPr>
            <w:rStyle w:val="Hyperlink"/>
            <w:noProof/>
          </w:rPr>
          <w:t>Netplan 2 discount levels</w:t>
        </w:r>
        <w:r>
          <w:rPr>
            <w:noProof/>
            <w:webHidden/>
          </w:rPr>
          <w:tab/>
        </w:r>
        <w:r>
          <w:rPr>
            <w:noProof/>
            <w:webHidden/>
          </w:rPr>
          <w:fldChar w:fldCharType="begin"/>
        </w:r>
        <w:r>
          <w:rPr>
            <w:noProof/>
            <w:webHidden/>
          </w:rPr>
          <w:instrText xml:space="preserve"> PAGEREF _Toc477177687 \h </w:instrText>
        </w:r>
        <w:r>
          <w:rPr>
            <w:noProof/>
            <w:webHidden/>
          </w:rPr>
        </w:r>
        <w:r>
          <w:rPr>
            <w:noProof/>
            <w:webHidden/>
          </w:rPr>
          <w:fldChar w:fldCharType="separate"/>
        </w:r>
        <w:r w:rsidR="00240233">
          <w:rPr>
            <w:noProof/>
            <w:webHidden/>
          </w:rPr>
          <w:t>6</w:t>
        </w:r>
        <w:r>
          <w:rPr>
            <w:noProof/>
            <w:webHidden/>
          </w:rPr>
          <w:fldChar w:fldCharType="end"/>
        </w:r>
      </w:hyperlink>
    </w:p>
    <w:p w14:paraId="7FABCB84" w14:textId="77777777" w:rsidR="004A7756" w:rsidRPr="00D45AB2" w:rsidRDefault="004A7756">
      <w:pPr>
        <w:pStyle w:val="TOC1"/>
        <w:tabs>
          <w:tab w:val="left" w:pos="1474"/>
        </w:tabs>
        <w:rPr>
          <w:rFonts w:ascii="Calibri" w:hAnsi="Calibri"/>
          <w:b w:val="0"/>
          <w:noProof/>
          <w:sz w:val="22"/>
          <w:szCs w:val="22"/>
          <w:lang w:val="en-US"/>
        </w:rPr>
      </w:pPr>
      <w:hyperlink w:anchor="_Toc477177688" w:history="1">
        <w:r w:rsidRPr="006B72EF">
          <w:rPr>
            <w:rStyle w:val="Hyperlink"/>
            <w:noProof/>
          </w:rPr>
          <w:t>4</w:t>
        </w:r>
        <w:r w:rsidRPr="00D45AB2">
          <w:rPr>
            <w:rFonts w:ascii="Calibri" w:hAnsi="Calibri"/>
            <w:b w:val="0"/>
            <w:noProof/>
            <w:sz w:val="22"/>
            <w:szCs w:val="22"/>
            <w:lang w:val="en-US"/>
          </w:rPr>
          <w:tab/>
        </w:r>
        <w:r w:rsidRPr="006B72EF">
          <w:rPr>
            <w:rStyle w:val="Hyperlink"/>
            <w:noProof/>
          </w:rPr>
          <w:t>Reconciling the discounts paid to you</w:t>
        </w:r>
        <w:r>
          <w:rPr>
            <w:noProof/>
            <w:webHidden/>
          </w:rPr>
          <w:tab/>
        </w:r>
        <w:r>
          <w:rPr>
            <w:noProof/>
            <w:webHidden/>
          </w:rPr>
          <w:fldChar w:fldCharType="begin"/>
        </w:r>
        <w:r>
          <w:rPr>
            <w:noProof/>
            <w:webHidden/>
          </w:rPr>
          <w:instrText xml:space="preserve"> PAGEREF _Toc477177688 \h </w:instrText>
        </w:r>
        <w:r>
          <w:rPr>
            <w:noProof/>
            <w:webHidden/>
          </w:rPr>
        </w:r>
        <w:r>
          <w:rPr>
            <w:noProof/>
            <w:webHidden/>
          </w:rPr>
          <w:fldChar w:fldCharType="separate"/>
        </w:r>
        <w:r w:rsidR="00240233">
          <w:rPr>
            <w:noProof/>
            <w:webHidden/>
          </w:rPr>
          <w:t>6</w:t>
        </w:r>
        <w:r>
          <w:rPr>
            <w:noProof/>
            <w:webHidden/>
          </w:rPr>
          <w:fldChar w:fldCharType="end"/>
        </w:r>
      </w:hyperlink>
    </w:p>
    <w:p w14:paraId="7CAB7CF6" w14:textId="77777777" w:rsidR="004A7756" w:rsidRPr="00D45AB2" w:rsidRDefault="004A7756">
      <w:pPr>
        <w:pStyle w:val="TOC2"/>
        <w:rPr>
          <w:rFonts w:ascii="Calibri" w:hAnsi="Calibri"/>
          <w:noProof/>
          <w:sz w:val="22"/>
          <w:szCs w:val="22"/>
          <w:lang w:val="en-US"/>
        </w:rPr>
      </w:pPr>
      <w:hyperlink w:anchor="_Toc477177689" w:history="1">
        <w:r w:rsidRPr="006B72EF">
          <w:rPr>
            <w:rStyle w:val="Hyperlink"/>
            <w:noProof/>
          </w:rPr>
          <w:t>When we reconcile your discounts</w:t>
        </w:r>
        <w:r>
          <w:rPr>
            <w:noProof/>
            <w:webHidden/>
          </w:rPr>
          <w:tab/>
        </w:r>
        <w:r>
          <w:rPr>
            <w:noProof/>
            <w:webHidden/>
          </w:rPr>
          <w:fldChar w:fldCharType="begin"/>
        </w:r>
        <w:r>
          <w:rPr>
            <w:noProof/>
            <w:webHidden/>
          </w:rPr>
          <w:instrText xml:space="preserve"> PAGEREF _Toc477177689 \h </w:instrText>
        </w:r>
        <w:r>
          <w:rPr>
            <w:noProof/>
            <w:webHidden/>
          </w:rPr>
        </w:r>
        <w:r>
          <w:rPr>
            <w:noProof/>
            <w:webHidden/>
          </w:rPr>
          <w:fldChar w:fldCharType="separate"/>
        </w:r>
        <w:r w:rsidR="00240233">
          <w:rPr>
            <w:noProof/>
            <w:webHidden/>
          </w:rPr>
          <w:t>6</w:t>
        </w:r>
        <w:r>
          <w:rPr>
            <w:noProof/>
            <w:webHidden/>
          </w:rPr>
          <w:fldChar w:fldCharType="end"/>
        </w:r>
      </w:hyperlink>
    </w:p>
    <w:p w14:paraId="59E5ECDD" w14:textId="77777777" w:rsidR="004A7756" w:rsidRPr="00D45AB2" w:rsidRDefault="004A7756">
      <w:pPr>
        <w:pStyle w:val="TOC2"/>
        <w:rPr>
          <w:rFonts w:ascii="Calibri" w:hAnsi="Calibri"/>
          <w:noProof/>
          <w:sz w:val="22"/>
          <w:szCs w:val="22"/>
          <w:lang w:val="en-US"/>
        </w:rPr>
      </w:pPr>
      <w:hyperlink w:anchor="_Toc477177690" w:history="1">
        <w:r w:rsidRPr="006B72EF">
          <w:rPr>
            <w:rStyle w:val="Hyperlink"/>
            <w:noProof/>
          </w:rPr>
          <w:t>Reconciling your discounts</w:t>
        </w:r>
        <w:r>
          <w:rPr>
            <w:noProof/>
            <w:webHidden/>
          </w:rPr>
          <w:tab/>
        </w:r>
        <w:r>
          <w:rPr>
            <w:noProof/>
            <w:webHidden/>
          </w:rPr>
          <w:fldChar w:fldCharType="begin"/>
        </w:r>
        <w:r>
          <w:rPr>
            <w:noProof/>
            <w:webHidden/>
          </w:rPr>
          <w:instrText xml:space="preserve"> PAGEREF _Toc477177690 \h </w:instrText>
        </w:r>
        <w:r>
          <w:rPr>
            <w:noProof/>
            <w:webHidden/>
          </w:rPr>
        </w:r>
        <w:r>
          <w:rPr>
            <w:noProof/>
            <w:webHidden/>
          </w:rPr>
          <w:fldChar w:fldCharType="separate"/>
        </w:r>
        <w:r w:rsidR="00240233">
          <w:rPr>
            <w:noProof/>
            <w:webHidden/>
          </w:rPr>
          <w:t>6</w:t>
        </w:r>
        <w:r>
          <w:rPr>
            <w:noProof/>
            <w:webHidden/>
          </w:rPr>
          <w:fldChar w:fldCharType="end"/>
        </w:r>
      </w:hyperlink>
    </w:p>
    <w:p w14:paraId="64BCD218" w14:textId="77777777" w:rsidR="00E5651C" w:rsidRDefault="00E5651C">
      <w:pPr>
        <w:sectPr w:rsidR="00E5651C">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567" w:gutter="0"/>
          <w:cols w:space="720"/>
        </w:sectPr>
      </w:pPr>
      <w:r>
        <w:rPr>
          <w:rFonts w:ascii="Arial" w:hAnsi="Arial"/>
          <w:b/>
          <w:sz w:val="21"/>
        </w:rPr>
        <w:fldChar w:fldCharType="end"/>
      </w:r>
    </w:p>
    <w:p w14:paraId="3AD4CD91" w14:textId="77777777" w:rsidR="00E5651C" w:rsidRDefault="00E5651C">
      <w:bookmarkStart w:id="4" w:name="_Toc58996134"/>
    </w:p>
    <w:p w14:paraId="10DF0E44" w14:textId="77777777" w:rsidR="00E5651C" w:rsidRDefault="00E5651C">
      <w:pPr>
        <w:spacing w:after="240"/>
        <w:rPr>
          <w:rFonts w:ascii="Arial" w:hAnsi="Arial" w:cs="Arial"/>
          <w:sz w:val="21"/>
        </w:rPr>
      </w:pPr>
      <w:r>
        <w:rPr>
          <w:rFonts w:ascii="Arial" w:hAnsi="Arial" w:cs="Arial"/>
          <w:sz w:val="21"/>
        </w:rPr>
        <w:t xml:space="preserve">Certain words are used with the specific meanings set out in the </w:t>
      </w:r>
      <w:hyperlink r:id="rId12" w:history="1">
        <w:r>
          <w:rPr>
            <w:rStyle w:val="Hyperlink"/>
            <w:rFonts w:ascii="Arial" w:hAnsi="Arial"/>
            <w:sz w:val="21"/>
          </w:rPr>
          <w:t>General Terms of Our Customer Terms</w:t>
        </w:r>
      </w:hyperlink>
      <w:r>
        <w:rPr>
          <w:rFonts w:ascii="Arial" w:hAnsi="Arial" w:cs="Arial"/>
          <w:sz w:val="21"/>
        </w:rPr>
        <w:t>.</w:t>
      </w:r>
    </w:p>
    <w:p w14:paraId="58331155" w14:textId="77777777" w:rsidR="00E5651C" w:rsidRDefault="00E5651C">
      <w:pPr>
        <w:pStyle w:val="Heading1"/>
      </w:pPr>
      <w:bookmarkStart w:id="5" w:name="_Toc66856853"/>
      <w:bookmarkStart w:id="6" w:name="_Toc66857437"/>
      <w:bookmarkStart w:id="7" w:name="_Toc50544120"/>
      <w:bookmarkStart w:id="8" w:name="_Toc52200888"/>
      <w:bookmarkStart w:id="9" w:name="_Toc58996120"/>
      <w:bookmarkStart w:id="10" w:name="_Toc61254548"/>
      <w:bookmarkStart w:id="11" w:name="_Toc63668359"/>
      <w:bookmarkStart w:id="12" w:name="_Toc67373773"/>
      <w:bookmarkStart w:id="13" w:name="_Toc477177669"/>
      <w:bookmarkEnd w:id="4"/>
      <w:r>
        <w:t>About the Netplan section</w:t>
      </w:r>
      <w:bookmarkEnd w:id="7"/>
      <w:bookmarkEnd w:id="8"/>
      <w:bookmarkEnd w:id="9"/>
      <w:bookmarkEnd w:id="10"/>
      <w:bookmarkEnd w:id="11"/>
      <w:bookmarkEnd w:id="12"/>
      <w:bookmarkEnd w:id="13"/>
    </w:p>
    <w:p w14:paraId="3A2CC06C" w14:textId="77777777" w:rsidR="00E5651C" w:rsidRDefault="00E5651C">
      <w:pPr>
        <w:pStyle w:val="Indent1"/>
        <w:rPr>
          <w:iCs/>
        </w:rPr>
      </w:pPr>
      <w:bookmarkStart w:id="14" w:name="_Toc50544121"/>
      <w:bookmarkStart w:id="15" w:name="_Toc52200889"/>
      <w:bookmarkStart w:id="16" w:name="_Toc58996121"/>
      <w:bookmarkStart w:id="17" w:name="_Toc61254549"/>
      <w:bookmarkStart w:id="18" w:name="_Toc63668360"/>
      <w:bookmarkStart w:id="19" w:name="_Toc67373774"/>
      <w:bookmarkStart w:id="20" w:name="_Toc477177670"/>
      <w:r>
        <w:rPr>
          <w:iCs/>
        </w:rPr>
        <w:t>Our Customer Terms</w:t>
      </w:r>
      <w:bookmarkEnd w:id="14"/>
      <w:bookmarkEnd w:id="15"/>
      <w:bookmarkEnd w:id="16"/>
      <w:bookmarkEnd w:id="17"/>
      <w:bookmarkEnd w:id="18"/>
      <w:bookmarkEnd w:id="19"/>
      <w:bookmarkEnd w:id="20"/>
    </w:p>
    <w:p w14:paraId="61DEC134" w14:textId="77777777" w:rsidR="00E5651C" w:rsidRDefault="00E5651C">
      <w:pPr>
        <w:pStyle w:val="Heading2"/>
      </w:pPr>
      <w:r>
        <w:t xml:space="preserve">This is the Netplan section of Our Customer Terms.  </w:t>
      </w:r>
    </w:p>
    <w:bookmarkStart w:id="21" w:name="_Toc50544122"/>
    <w:bookmarkStart w:id="22" w:name="_Toc52200890"/>
    <w:bookmarkStart w:id="23" w:name="_Toc58996122"/>
    <w:bookmarkStart w:id="24" w:name="_Toc61254550"/>
    <w:bookmarkStart w:id="25" w:name="_Toc63668361"/>
    <w:bookmarkStart w:id="26" w:name="_Toc67373775"/>
    <w:p w14:paraId="39A6DD27" w14:textId="77777777" w:rsidR="00E5651C" w:rsidRDefault="00E5651C">
      <w:pPr>
        <w:pStyle w:val="Heading2"/>
      </w:pPr>
      <w:r>
        <w:fldChar w:fldCharType="begin"/>
      </w:r>
      <w:r>
        <w:instrText xml:space="preserve"> HYPERLINK "http://www.telstra.com.au/customerterms/bus_government.htm" </w:instrText>
      </w:r>
      <w:r>
        <w:fldChar w:fldCharType="separate"/>
      </w:r>
      <w:r>
        <w:rPr>
          <w:rStyle w:val="Hyperlink"/>
        </w:rPr>
        <w:t>The General Terms of Our Customer Terms</w:t>
      </w:r>
      <w:r>
        <w:fldChar w:fldCharType="end"/>
      </w:r>
      <w:r>
        <w:t xml:space="preserve"> apply.</w:t>
      </w:r>
    </w:p>
    <w:p w14:paraId="517F0545" w14:textId="77777777" w:rsidR="00E5651C" w:rsidRDefault="00E5651C">
      <w:pPr>
        <w:pStyle w:val="Indent1"/>
        <w:rPr>
          <w:iCs/>
        </w:rPr>
      </w:pPr>
      <w:bookmarkStart w:id="27" w:name="_Toc477177671"/>
      <w:r>
        <w:rPr>
          <w:iCs/>
        </w:rPr>
        <w:t>Inconsistencies</w:t>
      </w:r>
      <w:bookmarkEnd w:id="21"/>
      <w:bookmarkEnd w:id="22"/>
      <w:bookmarkEnd w:id="23"/>
      <w:bookmarkEnd w:id="24"/>
      <w:bookmarkEnd w:id="25"/>
      <w:bookmarkEnd w:id="26"/>
      <w:bookmarkEnd w:id="27"/>
    </w:p>
    <w:p w14:paraId="10FA1BAF" w14:textId="77777777" w:rsidR="00E5651C" w:rsidRDefault="00E5651C">
      <w:pPr>
        <w:pStyle w:val="Heading2"/>
      </w:pPr>
      <w:r>
        <w:t>If the General Terms of Our Customer Terms are inconsistent with something in the Netplan section, then the Netplan section applies instead of the General Terms, to the extent of the inconsistency.</w:t>
      </w:r>
    </w:p>
    <w:p w14:paraId="6604C677" w14:textId="77777777" w:rsidR="00E5651C" w:rsidRDefault="00E5651C">
      <w:pPr>
        <w:pStyle w:val="Heading2"/>
      </w:pPr>
      <w:r>
        <w:t>If a provision of the Netplan section gives us the right to suspend or terminate your service, that right is in addition to our rights to suspend or terminate your service under the General Terms of Our Customer Terms</w:t>
      </w:r>
      <w:r>
        <w:t>.</w:t>
      </w:r>
    </w:p>
    <w:p w14:paraId="603E9E6B" w14:textId="77777777" w:rsidR="00E5651C" w:rsidRDefault="00E5651C">
      <w:pPr>
        <w:pStyle w:val="Heading1"/>
        <w:rPr>
          <w:lang w:val="en-GB"/>
        </w:rPr>
      </w:pPr>
      <w:bookmarkStart w:id="28" w:name="_Toc477177672"/>
      <w:r>
        <w:rPr>
          <w:lang w:val="en-GB"/>
        </w:rPr>
        <w:t>What is Netplan?</w:t>
      </w:r>
      <w:bookmarkEnd w:id="5"/>
      <w:bookmarkEnd w:id="6"/>
      <w:bookmarkEnd w:id="28"/>
    </w:p>
    <w:p w14:paraId="5D504AE2" w14:textId="77777777" w:rsidR="00E5651C" w:rsidRDefault="00E5651C">
      <w:pPr>
        <w:pStyle w:val="Indent1"/>
      </w:pPr>
      <w:bookmarkStart w:id="29" w:name="_Toc66857443"/>
      <w:bookmarkStart w:id="30" w:name="_Toc66870147"/>
      <w:bookmarkStart w:id="31" w:name="_Toc66870218"/>
      <w:bookmarkStart w:id="32" w:name="_Toc66870828"/>
      <w:bookmarkStart w:id="33" w:name="_Toc66870940"/>
      <w:bookmarkStart w:id="34" w:name="_Toc67111008"/>
      <w:bookmarkStart w:id="35" w:name="_Toc67115457"/>
      <w:bookmarkStart w:id="36" w:name="_Toc67115636"/>
      <w:bookmarkStart w:id="37" w:name="_Toc67127569"/>
      <w:bookmarkStart w:id="38" w:name="_Toc67129612"/>
      <w:bookmarkStart w:id="39" w:name="_Toc67129686"/>
      <w:bookmarkStart w:id="40" w:name="_Toc67203085"/>
      <w:bookmarkStart w:id="41" w:name="_Toc67205484"/>
      <w:bookmarkStart w:id="42" w:name="_Toc67205558"/>
      <w:bookmarkStart w:id="43" w:name="_Toc67205837"/>
      <w:bookmarkStart w:id="44" w:name="_Toc67209178"/>
      <w:bookmarkStart w:id="45" w:name="_Toc67209320"/>
      <w:bookmarkStart w:id="46" w:name="_Toc67209769"/>
      <w:bookmarkStart w:id="47" w:name="_Toc67209845"/>
      <w:bookmarkStart w:id="48" w:name="_Toc67209923"/>
      <w:bookmarkStart w:id="49" w:name="_Toc67214592"/>
      <w:bookmarkStart w:id="50" w:name="_Toc67215149"/>
      <w:bookmarkStart w:id="51" w:name="_Toc67217585"/>
      <w:bookmarkStart w:id="52" w:name="_Toc66857442"/>
      <w:bookmarkStart w:id="53" w:name="_Toc477177673"/>
      <w:r>
        <w:t>Netplan 1 and 2</w:t>
      </w:r>
      <w:bookmarkEnd w:id="53"/>
    </w:p>
    <w:p w14:paraId="6C559C09" w14:textId="77777777" w:rsidR="00E5651C" w:rsidRDefault="00E5651C">
      <w:pPr>
        <w:pStyle w:val="Heading2"/>
      </w:pPr>
      <w:r>
        <w:t>Netplan is a pricing option that offers you variable discounts on your eligible services.  There are two Netplan pricing options:</w:t>
      </w:r>
    </w:p>
    <w:p w14:paraId="2B50009A" w14:textId="77777777" w:rsidR="00E5651C" w:rsidRDefault="00E5651C">
      <w:pPr>
        <w:pStyle w:val="Heading3"/>
      </w:pPr>
      <w:r>
        <w:t>Netplan 1; and</w:t>
      </w:r>
    </w:p>
    <w:p w14:paraId="3733ED30" w14:textId="77777777" w:rsidR="00E5651C" w:rsidRDefault="00E5651C">
      <w:pPr>
        <w:pStyle w:val="Heading3"/>
      </w:pPr>
      <w:r>
        <w:t>Netplan 2.</w:t>
      </w:r>
    </w:p>
    <w:p w14:paraId="5E1F0AB9" w14:textId="77777777" w:rsidR="00E5651C" w:rsidRDefault="00E5651C">
      <w:pPr>
        <w:pStyle w:val="Indent1"/>
      </w:pPr>
      <w:bookmarkStart w:id="54" w:name="_Toc83546029"/>
      <w:bookmarkStart w:id="55" w:name="_Toc477177674"/>
      <w:bookmarkEnd w:id="52"/>
      <w:r>
        <w:t>Availability – no new orders</w:t>
      </w:r>
      <w:bookmarkEnd w:id="54"/>
      <w:bookmarkEnd w:id="55"/>
    </w:p>
    <w:p w14:paraId="67EB5590" w14:textId="77777777" w:rsidR="00E5651C" w:rsidRDefault="00E5651C">
      <w:pPr>
        <w:pStyle w:val="Heading2"/>
      </w:pPr>
      <w:r>
        <w:t>From 1 November 2004 Netplan will no longer be available to new customers.  If you already receive discounts under Netplan you will continue to receive those discounts in accordance with this section of Our Customer Terms.  If you held an eligible service prior to 1 November 2004 and have yet to apply for a Netplan discount in respect of that service, you may apply for a discount equivalent to the Netplan discount relevant to that service.</w:t>
      </w:r>
    </w:p>
    <w:p w14:paraId="4A3E66E7" w14:textId="77777777" w:rsidR="00E5651C" w:rsidRDefault="00E5651C">
      <w:pPr>
        <w:pStyle w:val="Indent1"/>
      </w:pPr>
      <w:bookmarkStart w:id="56" w:name="_Toc477177675"/>
      <w:r>
        <w:t>Eligible services</w:t>
      </w:r>
      <w:bookmarkEnd w:id="56"/>
    </w:p>
    <w:p w14:paraId="56FE93D8" w14:textId="77777777" w:rsidR="00E5651C" w:rsidRDefault="00E5651C">
      <w:pPr>
        <w:pStyle w:val="Heading2"/>
      </w:pPr>
      <w:r>
        <w:t xml:space="preserve">You must nominate the accounts that are to receive the Netplan 1 or Netplan 2 discounts </w:t>
      </w:r>
      <w:r>
        <w:lastRenderedPageBreak/>
        <w:t>(</w:t>
      </w:r>
      <w:r>
        <w:rPr>
          <w:b/>
          <w:bCs w:val="0"/>
        </w:rPr>
        <w:t>your eligible services)</w:t>
      </w:r>
      <w:r>
        <w:t xml:space="preserve">.  The accounts must be for services that are eligible for the Netplan 1 or Netplan 2 discounts.  </w:t>
      </w:r>
    </w:p>
    <w:p w14:paraId="7F7A9CD5" w14:textId="77777777" w:rsidR="00E5651C" w:rsidRDefault="00E5651C">
      <w:pPr>
        <w:pStyle w:val="Heading2"/>
      </w:pPr>
      <w:r>
        <w:t>You must tell us of any changes to your nominated accounts from time to time.</w:t>
      </w:r>
    </w:p>
    <w:p w14:paraId="1DDF8FA4" w14:textId="77777777" w:rsidR="00E5651C" w:rsidRDefault="00E5651C">
      <w:pPr>
        <w:pStyle w:val="Indent1"/>
      </w:pPr>
      <w:bookmarkStart w:id="57" w:name="_Toc477177676"/>
      <w:r>
        <w:t>Netplan 1 eligible s</w:t>
      </w:r>
      <w:r>
        <w:t>ervices</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7"/>
    </w:p>
    <w:p w14:paraId="24964E96" w14:textId="77777777" w:rsidR="00E5651C" w:rsidRDefault="00E5651C">
      <w:pPr>
        <w:pStyle w:val="Heading2"/>
      </w:pPr>
      <w:r>
        <w:t xml:space="preserve">You can nominate Digital Data Service (DDS), DDS Fastway and DDS Flexnet for Netplan 1 discounts.  </w:t>
      </w:r>
    </w:p>
    <w:p w14:paraId="35519953" w14:textId="77777777" w:rsidR="00E5651C" w:rsidRDefault="00E5651C">
      <w:pPr>
        <w:pStyle w:val="Indent1"/>
      </w:pPr>
      <w:bookmarkStart w:id="58" w:name="_Toc477177677"/>
      <w:r>
        <w:t>Netplan 2 eligible services</w:t>
      </w:r>
      <w:bookmarkEnd w:id="58"/>
    </w:p>
    <w:p w14:paraId="1673CDE9" w14:textId="77777777" w:rsidR="00E5651C" w:rsidRDefault="00E5651C">
      <w:pPr>
        <w:pStyle w:val="Heading2"/>
      </w:pPr>
      <w:r>
        <w:t>You can nominate Digital Metropolitan Service (DMS), Voicelink C, Voicelink T, MDATS (Multi Point Dedicated Alarm and Telemetry Service), Frame Relay, Integrated Frame Relay, IP WAN and ATM services for Netplan 2 discounts.</w:t>
      </w:r>
    </w:p>
    <w:p w14:paraId="73AF256E" w14:textId="77777777" w:rsidR="00E5651C" w:rsidRDefault="00E5651C">
      <w:pPr>
        <w:pStyle w:val="Indent1"/>
      </w:pPr>
      <w:bookmarkStart w:id="59" w:name="_Toc66857441"/>
      <w:bookmarkStart w:id="60" w:name="_Toc66857444"/>
      <w:bookmarkStart w:id="61" w:name="_Toc477177678"/>
      <w:r>
        <w:t>Choosing your yearly spend level or b</w:t>
      </w:r>
      <w:r>
        <w:t>enchmark</w:t>
      </w:r>
      <w:bookmarkEnd w:id="60"/>
      <w:bookmarkEnd w:id="61"/>
    </w:p>
    <w:p w14:paraId="213BD93C" w14:textId="77777777" w:rsidR="00E5651C" w:rsidRDefault="00E5651C">
      <w:pPr>
        <w:pStyle w:val="Heading2"/>
      </w:pPr>
      <w:r>
        <w:t>You must nominate a level of yearly spend on your eligible services (</w:t>
      </w:r>
      <w:r>
        <w:rPr>
          <w:b/>
          <w:bCs w:val="0"/>
        </w:rPr>
        <w:t>your benchmark</w:t>
      </w:r>
      <w:r>
        <w:t>) by telling us in writing.</w:t>
      </w:r>
    </w:p>
    <w:p w14:paraId="10099869" w14:textId="77777777" w:rsidR="00E5651C" w:rsidRDefault="00E5651C">
      <w:pPr>
        <w:pStyle w:val="Heading7"/>
      </w:pPr>
      <w:r>
        <w:t>Your benchmark is used in determining the actual discount that you are entitled to.</w:t>
      </w:r>
    </w:p>
    <w:p w14:paraId="5B289DCE" w14:textId="77777777" w:rsidR="00E5651C" w:rsidRDefault="00E5651C">
      <w:pPr>
        <w:pStyle w:val="Indent1"/>
      </w:pPr>
      <w:bookmarkStart w:id="62" w:name="_Toc477177679"/>
      <w:r>
        <w:t>Changing your benchmark</w:t>
      </w:r>
      <w:bookmarkEnd w:id="62"/>
    </w:p>
    <w:p w14:paraId="403AC160" w14:textId="77777777" w:rsidR="00E5651C" w:rsidRDefault="00E5651C">
      <w:pPr>
        <w:pStyle w:val="Heading2"/>
      </w:pPr>
      <w:r>
        <w:t>You can increase your benchmark from time to time by telling us in writing.</w:t>
      </w:r>
    </w:p>
    <w:p w14:paraId="29195C0A" w14:textId="77777777" w:rsidR="00E5651C" w:rsidRDefault="00E5651C">
      <w:pPr>
        <w:pStyle w:val="Heading2"/>
      </w:pPr>
      <w:r>
        <w:t>You can decrease your benchmark from time to time by telling us in writing only if:</w:t>
      </w:r>
    </w:p>
    <w:p w14:paraId="4CECAF25" w14:textId="77777777" w:rsidR="00E5651C" w:rsidRDefault="00E5651C">
      <w:pPr>
        <w:pStyle w:val="Heading3"/>
      </w:pPr>
      <w:r>
        <w:t xml:space="preserve">you either dispose of business or there is substantial decrease in the assets of your business, and as a result your requirements for </w:t>
      </w:r>
      <w:r>
        <w:rPr>
          <w:iCs/>
        </w:rPr>
        <w:t>your eligible services</w:t>
      </w:r>
      <w:r>
        <w:rPr>
          <w:i/>
        </w:rPr>
        <w:t xml:space="preserve"> </w:t>
      </w:r>
      <w:r>
        <w:t>are projected to substa</w:t>
      </w:r>
      <w:r>
        <w:t>ntially decrease;</w:t>
      </w:r>
    </w:p>
    <w:p w14:paraId="2F07EB2B" w14:textId="77777777" w:rsidR="00E5651C" w:rsidRDefault="00E5651C">
      <w:pPr>
        <w:pStyle w:val="Heading3"/>
      </w:pPr>
      <w:r>
        <w:t>you move to functionally equivalent services that we approve; or</w:t>
      </w:r>
    </w:p>
    <w:p w14:paraId="5DD5AA75" w14:textId="77777777" w:rsidR="00E5651C" w:rsidRDefault="00E5651C">
      <w:pPr>
        <w:pStyle w:val="Heading3"/>
      </w:pPr>
      <w:r>
        <w:t>there is a change to the standard charges for your eligible services.</w:t>
      </w:r>
    </w:p>
    <w:p w14:paraId="68F94289" w14:textId="77777777" w:rsidR="00E5651C" w:rsidRDefault="00E5651C">
      <w:pPr>
        <w:pStyle w:val="Heading2"/>
      </w:pPr>
      <w:r>
        <w:t xml:space="preserve">A change in your benchmark takes effect after you tell us on the first day of the next billing period for your eligible services.  </w:t>
      </w:r>
    </w:p>
    <w:p w14:paraId="3D7A8186" w14:textId="77777777" w:rsidR="00E5651C" w:rsidRDefault="00E5651C">
      <w:pPr>
        <w:pStyle w:val="Indent1"/>
        <w:rPr>
          <w:b w:val="0"/>
          <w:bCs w:val="0"/>
        </w:rPr>
      </w:pPr>
      <w:bookmarkStart w:id="63" w:name="_Toc477177680"/>
      <w:r>
        <w:t>Monthly service fee</w:t>
      </w:r>
      <w:bookmarkEnd w:id="63"/>
    </w:p>
    <w:p w14:paraId="1FC7BFE8" w14:textId="77777777" w:rsidR="00E5651C" w:rsidRDefault="00E5651C">
      <w:pPr>
        <w:pStyle w:val="Heading2"/>
      </w:pPr>
      <w:r>
        <w:t>We charge you the following monthly service charge for Netplan 1 and Netplan 2.  If you receive Netplan 1 and Netplan 2 discounts, we charge you two separate monthly service charges.</w:t>
      </w:r>
    </w:p>
    <w:tbl>
      <w:tblPr>
        <w:tblW w:w="5954" w:type="dxa"/>
        <w:tblInd w:w="816" w:type="dxa"/>
        <w:tblLayout w:type="fixed"/>
        <w:tblCellMar>
          <w:left w:w="107" w:type="dxa"/>
          <w:right w:w="107" w:type="dxa"/>
        </w:tblCellMar>
        <w:tblLook w:val="0000" w:firstRow="0" w:lastRow="0" w:firstColumn="0" w:lastColumn="0" w:noHBand="0" w:noVBand="0"/>
      </w:tblPr>
      <w:tblGrid>
        <w:gridCol w:w="4536"/>
        <w:gridCol w:w="1418"/>
      </w:tblGrid>
      <w:tr w:rsidR="00E5651C" w14:paraId="077E8DC6" w14:textId="77777777">
        <w:tblPrEx>
          <w:tblCellMar>
            <w:top w:w="0" w:type="dxa"/>
            <w:bottom w:w="0" w:type="dxa"/>
          </w:tblCellMar>
        </w:tblPrEx>
        <w:trPr>
          <w:cantSplit/>
          <w:tblHeader/>
        </w:trPr>
        <w:tc>
          <w:tcPr>
            <w:tcW w:w="4536" w:type="dxa"/>
            <w:tcBorders>
              <w:top w:val="single" w:sz="4" w:space="0" w:color="auto"/>
              <w:left w:val="single" w:sz="6" w:space="0" w:color="auto"/>
              <w:bottom w:val="single" w:sz="4" w:space="0" w:color="auto"/>
              <w:right w:val="single" w:sz="6" w:space="0" w:color="auto"/>
            </w:tcBorders>
          </w:tcPr>
          <w:p w14:paraId="4D19F309" w14:textId="77777777" w:rsidR="00E5651C" w:rsidRDefault="00E5651C">
            <w:pPr>
              <w:keepNext/>
              <w:spacing w:before="120" w:after="120"/>
              <w:ind w:left="737" w:hanging="737"/>
              <w:rPr>
                <w:rFonts w:ascii="Arial" w:hAnsi="Arial" w:cs="Arial"/>
                <w:b/>
                <w:bCs/>
                <w:color w:val="000000"/>
                <w:sz w:val="18"/>
              </w:rPr>
            </w:pPr>
            <w:r>
              <w:rPr>
                <w:rFonts w:ascii="Arial" w:hAnsi="Arial" w:cs="Arial"/>
                <w:b/>
                <w:sz w:val="18"/>
              </w:rPr>
              <w:lastRenderedPageBreak/>
              <w:t>Monthly service charges</w:t>
            </w:r>
          </w:p>
        </w:tc>
        <w:tc>
          <w:tcPr>
            <w:tcW w:w="1418" w:type="dxa"/>
            <w:tcBorders>
              <w:top w:val="single" w:sz="6" w:space="0" w:color="auto"/>
              <w:bottom w:val="single" w:sz="6" w:space="0" w:color="auto"/>
              <w:right w:val="single" w:sz="6" w:space="0" w:color="auto"/>
            </w:tcBorders>
          </w:tcPr>
          <w:p w14:paraId="778D6C3E" w14:textId="77777777" w:rsidR="00E5651C" w:rsidRDefault="00E5651C">
            <w:pPr>
              <w:keepNext/>
              <w:spacing w:before="120" w:after="120"/>
              <w:rPr>
                <w:rFonts w:ascii="Arial" w:hAnsi="Arial" w:cs="Arial"/>
                <w:b/>
                <w:color w:val="000000"/>
                <w:sz w:val="18"/>
              </w:rPr>
            </w:pPr>
            <w:r>
              <w:rPr>
                <w:rFonts w:ascii="Arial" w:hAnsi="Arial" w:cs="Arial"/>
                <w:b/>
                <w:color w:val="000000"/>
                <w:sz w:val="18"/>
              </w:rPr>
              <w:t>GST excl.</w:t>
            </w:r>
          </w:p>
        </w:tc>
      </w:tr>
      <w:tr w:rsidR="00E5651C" w14:paraId="3C810A2F" w14:textId="77777777">
        <w:tblPrEx>
          <w:tblCellMar>
            <w:top w:w="0" w:type="dxa"/>
            <w:bottom w:w="0" w:type="dxa"/>
          </w:tblCellMar>
        </w:tblPrEx>
        <w:trPr>
          <w:cantSplit/>
        </w:trPr>
        <w:tc>
          <w:tcPr>
            <w:tcW w:w="4536" w:type="dxa"/>
            <w:tcBorders>
              <w:top w:val="single" w:sz="4" w:space="0" w:color="auto"/>
              <w:left w:val="single" w:sz="6" w:space="0" w:color="auto"/>
              <w:bottom w:val="single" w:sz="4" w:space="0" w:color="auto"/>
              <w:right w:val="single" w:sz="6" w:space="0" w:color="auto"/>
            </w:tcBorders>
          </w:tcPr>
          <w:p w14:paraId="1D11932A" w14:textId="77777777" w:rsidR="00E5651C" w:rsidRDefault="00E5651C">
            <w:pPr>
              <w:spacing w:before="120" w:after="120"/>
              <w:rPr>
                <w:rFonts w:ascii="Arial" w:hAnsi="Arial" w:cs="Arial"/>
                <w:color w:val="000000"/>
                <w:sz w:val="18"/>
              </w:rPr>
            </w:pPr>
            <w:r>
              <w:rPr>
                <w:rFonts w:ascii="Arial" w:hAnsi="Arial" w:cs="Arial"/>
                <w:color w:val="000000"/>
                <w:sz w:val="18"/>
              </w:rPr>
              <w:t>Charge per account</w:t>
            </w:r>
          </w:p>
        </w:tc>
        <w:tc>
          <w:tcPr>
            <w:tcW w:w="1418" w:type="dxa"/>
            <w:tcBorders>
              <w:top w:val="single" w:sz="6" w:space="0" w:color="auto"/>
              <w:bottom w:val="single" w:sz="4" w:space="0" w:color="auto"/>
              <w:right w:val="single" w:sz="6" w:space="0" w:color="auto"/>
            </w:tcBorders>
          </w:tcPr>
          <w:p w14:paraId="46476881" w14:textId="77777777" w:rsidR="00E5651C" w:rsidRDefault="00E5651C">
            <w:pPr>
              <w:spacing w:before="120" w:after="120"/>
              <w:jc w:val="right"/>
              <w:rPr>
                <w:rFonts w:ascii="Arial" w:hAnsi="Arial" w:cs="Arial"/>
                <w:b/>
                <w:bCs/>
                <w:color w:val="000000"/>
                <w:sz w:val="18"/>
              </w:rPr>
            </w:pPr>
            <w:r>
              <w:rPr>
                <w:rFonts w:ascii="Arial" w:hAnsi="Arial" w:cs="Arial"/>
                <w:b/>
                <w:bCs/>
                <w:color w:val="000000"/>
                <w:sz w:val="18"/>
              </w:rPr>
              <w:t>$20.00</w:t>
            </w:r>
          </w:p>
        </w:tc>
      </w:tr>
      <w:tr w:rsidR="00E5651C" w14:paraId="654C21D5" w14:textId="77777777">
        <w:tblPrEx>
          <w:tblCellMar>
            <w:top w:w="0" w:type="dxa"/>
            <w:bottom w:w="0" w:type="dxa"/>
          </w:tblCellMar>
        </w:tblPrEx>
        <w:trPr>
          <w:cantSplit/>
        </w:trPr>
        <w:tc>
          <w:tcPr>
            <w:tcW w:w="4536" w:type="dxa"/>
            <w:tcBorders>
              <w:top w:val="single" w:sz="4" w:space="0" w:color="auto"/>
              <w:left w:val="single" w:sz="6" w:space="0" w:color="auto"/>
              <w:bottom w:val="single" w:sz="4" w:space="0" w:color="auto"/>
              <w:right w:val="single" w:sz="6" w:space="0" w:color="auto"/>
            </w:tcBorders>
          </w:tcPr>
          <w:p w14:paraId="3D708770" w14:textId="77777777" w:rsidR="00E5651C" w:rsidRDefault="00E5651C">
            <w:pPr>
              <w:spacing w:before="120" w:after="120"/>
              <w:rPr>
                <w:rFonts w:ascii="Arial" w:hAnsi="Arial" w:cs="Arial"/>
                <w:color w:val="000000"/>
                <w:sz w:val="18"/>
              </w:rPr>
            </w:pPr>
            <w:r>
              <w:rPr>
                <w:rFonts w:ascii="Arial" w:hAnsi="Arial" w:cs="Arial"/>
                <w:color w:val="000000"/>
                <w:sz w:val="18"/>
              </w:rPr>
              <w:t>Maximum monthly service charge</w:t>
            </w:r>
          </w:p>
        </w:tc>
        <w:tc>
          <w:tcPr>
            <w:tcW w:w="1418" w:type="dxa"/>
            <w:tcBorders>
              <w:top w:val="single" w:sz="4" w:space="0" w:color="auto"/>
              <w:bottom w:val="single" w:sz="4" w:space="0" w:color="auto"/>
              <w:right w:val="single" w:sz="6" w:space="0" w:color="auto"/>
            </w:tcBorders>
          </w:tcPr>
          <w:p w14:paraId="2108AFC7" w14:textId="77777777" w:rsidR="00E5651C" w:rsidRDefault="00E5651C">
            <w:pPr>
              <w:spacing w:before="120" w:after="120"/>
              <w:jc w:val="right"/>
              <w:rPr>
                <w:rFonts w:ascii="Arial" w:hAnsi="Arial" w:cs="Arial"/>
                <w:b/>
                <w:bCs/>
                <w:color w:val="000000"/>
                <w:sz w:val="18"/>
              </w:rPr>
            </w:pPr>
            <w:r>
              <w:rPr>
                <w:rFonts w:ascii="Arial" w:hAnsi="Arial" w:cs="Arial"/>
                <w:b/>
                <w:bCs/>
                <w:color w:val="000000"/>
                <w:sz w:val="18"/>
              </w:rPr>
              <w:t>$500.00</w:t>
            </w:r>
          </w:p>
        </w:tc>
      </w:tr>
    </w:tbl>
    <w:p w14:paraId="34BADF97" w14:textId="77777777" w:rsidR="00E5651C" w:rsidRDefault="00E5651C">
      <w:pPr>
        <w:pStyle w:val="TableData"/>
      </w:pPr>
    </w:p>
    <w:p w14:paraId="00207D53" w14:textId="77777777" w:rsidR="00E5651C" w:rsidRDefault="00E5651C">
      <w:pPr>
        <w:pStyle w:val="Indent1"/>
      </w:pPr>
      <w:bookmarkStart w:id="64" w:name="_Toc477177681"/>
      <w:r>
        <w:t>Minimum period</w:t>
      </w:r>
      <w:bookmarkEnd w:id="59"/>
      <w:bookmarkEnd w:id="64"/>
    </w:p>
    <w:p w14:paraId="797487FB" w14:textId="77777777" w:rsidR="00E5651C" w:rsidRDefault="00E5651C">
      <w:pPr>
        <w:pStyle w:val="Heading2"/>
      </w:pPr>
      <w:r>
        <w:t>You have to participate in Netplan 1 and Netplan 2 for at least 12 months.</w:t>
      </w:r>
    </w:p>
    <w:p w14:paraId="0691962F" w14:textId="77777777" w:rsidR="00E5651C" w:rsidRDefault="00E5651C">
      <w:pPr>
        <w:pStyle w:val="Heading2"/>
      </w:pPr>
      <w:r>
        <w:t>If you give us your nominated accounts and benchmark on or before the 20th day of the month, the 12-month period starts on the first day of the next month.</w:t>
      </w:r>
    </w:p>
    <w:p w14:paraId="1A3B3D74" w14:textId="77777777" w:rsidR="00E5651C" w:rsidRDefault="00E5651C">
      <w:pPr>
        <w:pStyle w:val="Heading2"/>
      </w:pPr>
      <w:r>
        <w:t xml:space="preserve">If you give us your nominated accounts and benchmark after the twentieth day of the month, the 12-month period starts on the first day of the second calendar month after you gave us this information.  </w:t>
      </w:r>
    </w:p>
    <w:p w14:paraId="6DB13D57" w14:textId="77777777" w:rsidR="00E5651C" w:rsidRDefault="00E5651C">
      <w:pPr>
        <w:pStyle w:val="Indent1"/>
      </w:pPr>
      <w:bookmarkStart w:id="65" w:name="_Toc477177682"/>
      <w:r>
        <w:t>Netplan will be automatically extended</w:t>
      </w:r>
      <w:bookmarkEnd w:id="65"/>
    </w:p>
    <w:p w14:paraId="438B2745" w14:textId="77777777" w:rsidR="00E5651C" w:rsidRDefault="00E5651C">
      <w:pPr>
        <w:pStyle w:val="Heading2"/>
      </w:pPr>
      <w:r>
        <w:t>Netplan will be automatically extended each year for a further 12 months¸ unless you tell us in writing that you wish to cancel it.</w:t>
      </w:r>
    </w:p>
    <w:p w14:paraId="4C6E54DD" w14:textId="77777777" w:rsidR="00E5651C" w:rsidRDefault="00E5651C">
      <w:pPr>
        <w:pStyle w:val="Indent1"/>
      </w:pPr>
      <w:bookmarkStart w:id="66" w:name="_Toc477177683"/>
      <w:r>
        <w:t>Cancelling Netplan</w:t>
      </w:r>
      <w:bookmarkEnd w:id="66"/>
    </w:p>
    <w:p w14:paraId="3FBA711C" w14:textId="77777777" w:rsidR="00E5651C" w:rsidRDefault="00E5651C">
      <w:pPr>
        <w:pStyle w:val="Heading2"/>
      </w:pPr>
      <w:r>
        <w:t>You can cancel Netplan</w:t>
      </w:r>
      <w:r w:rsidR="008805AF">
        <w:t xml:space="preserve"> without penalty</w:t>
      </w:r>
      <w:r>
        <w:t xml:space="preserve"> at any time by telling us in writing.  If you do, Netplan will end on the last day of the next calendar month.</w:t>
      </w:r>
    </w:p>
    <w:p w14:paraId="6E921C4E" w14:textId="77777777" w:rsidR="00E5651C" w:rsidRDefault="00E5651C">
      <w:pPr>
        <w:pStyle w:val="Heading1"/>
        <w:rPr>
          <w:lang w:val="en-GB"/>
        </w:rPr>
      </w:pPr>
      <w:bookmarkStart w:id="67" w:name="_Toc66857445"/>
      <w:bookmarkStart w:id="68" w:name="_Toc477177684"/>
      <w:r>
        <w:rPr>
          <w:lang w:val="en-GB"/>
        </w:rPr>
        <w:t>D</w:t>
      </w:r>
      <w:r>
        <w:rPr>
          <w:lang w:val="en-GB"/>
        </w:rPr>
        <w:t>iscount</w:t>
      </w:r>
      <w:bookmarkEnd w:id="67"/>
      <w:r>
        <w:rPr>
          <w:lang w:val="en-GB"/>
        </w:rPr>
        <w:t xml:space="preserve"> levels and payment</w:t>
      </w:r>
      <w:bookmarkEnd w:id="68"/>
    </w:p>
    <w:p w14:paraId="7654D412" w14:textId="77777777" w:rsidR="00E5651C" w:rsidRDefault="00E5651C">
      <w:pPr>
        <w:pStyle w:val="Indent1"/>
      </w:pPr>
      <w:bookmarkStart w:id="69" w:name="_Toc477177685"/>
      <w:r>
        <w:t>Paying your discount</w:t>
      </w:r>
      <w:bookmarkEnd w:id="69"/>
    </w:p>
    <w:p w14:paraId="2F589A92" w14:textId="77777777" w:rsidR="00E5651C" w:rsidRDefault="00E5651C">
      <w:pPr>
        <w:pStyle w:val="Heading2"/>
      </w:pPr>
      <w:r>
        <w:t>We pay you the discount payable for each billing period in accordance with our standard procedures.</w:t>
      </w:r>
    </w:p>
    <w:p w14:paraId="752E9965" w14:textId="77777777" w:rsidR="00E5651C" w:rsidRDefault="00E5651C">
      <w:pPr>
        <w:pStyle w:val="Heading2"/>
      </w:pPr>
      <w:r>
        <w:t>The discount that is payable to you is worked out by multiplying the applicable discount level for the billing period by your expenditure</w:t>
      </w:r>
      <w:r>
        <w:rPr>
          <w:i/>
        </w:rPr>
        <w:t xml:space="preserve"> </w:t>
      </w:r>
      <w:r>
        <w:rPr>
          <w:iCs/>
        </w:rPr>
        <w:t xml:space="preserve">on your eligible services </w:t>
      </w:r>
      <w:r>
        <w:t>for that period.  Your expenditure on your eligible services is calculated before Netplan discounts are applied and excludes any installation charges and other once only charges.</w:t>
      </w:r>
    </w:p>
    <w:p w14:paraId="17BFA70A" w14:textId="77777777" w:rsidR="00E5651C" w:rsidRDefault="00E5651C">
      <w:pPr>
        <w:pStyle w:val="Indent1"/>
      </w:pPr>
      <w:bookmarkStart w:id="70" w:name="_Toc477177686"/>
      <w:r>
        <w:t>Netplan 1 discount levels</w:t>
      </w:r>
      <w:bookmarkEnd w:id="70"/>
    </w:p>
    <w:p w14:paraId="2E77DB1D" w14:textId="77777777" w:rsidR="00E5651C" w:rsidRDefault="00E5651C">
      <w:pPr>
        <w:pStyle w:val="Heading2"/>
      </w:pPr>
      <w:r>
        <w:t>The discount level for Netplan 1 is the sum of the following discounts set out below:</w:t>
      </w:r>
    </w:p>
    <w:p w14:paraId="471DAF04" w14:textId="77777777" w:rsidR="00E5651C" w:rsidRDefault="00E5651C">
      <w:pPr>
        <w:pStyle w:val="Heading3"/>
      </w:pPr>
      <w:r>
        <w:t>the standard discount level;</w:t>
      </w:r>
    </w:p>
    <w:p w14:paraId="58D0113B" w14:textId="77777777" w:rsidR="00E5651C" w:rsidRDefault="00E5651C">
      <w:pPr>
        <w:pStyle w:val="Heading3"/>
      </w:pPr>
      <w:r>
        <w:lastRenderedPageBreak/>
        <w:t>the help desk discount; and</w:t>
      </w:r>
    </w:p>
    <w:p w14:paraId="4131EA09" w14:textId="77777777" w:rsidR="00E5651C" w:rsidRDefault="00E5651C">
      <w:pPr>
        <w:pStyle w:val="Heading3"/>
      </w:pPr>
      <w:r>
        <w:t>the benchmark discount.</w:t>
      </w:r>
    </w:p>
    <w:p w14:paraId="32EC40CC" w14:textId="77777777" w:rsidR="00E5651C" w:rsidRDefault="00E5651C">
      <w:pPr>
        <w:pStyle w:val="Heading2"/>
      </w:pPr>
      <w:r>
        <w:t xml:space="preserve">The </w:t>
      </w:r>
      <w:r>
        <w:rPr>
          <w:b/>
          <w:bCs w:val="0"/>
        </w:rPr>
        <w:t>standard discount level</w:t>
      </w:r>
      <w:r>
        <w:t xml:space="preserve"> is calculated as follows:</w:t>
      </w:r>
    </w:p>
    <w:tbl>
      <w:tblPr>
        <w:tblW w:w="5670" w:type="dxa"/>
        <w:tblInd w:w="737" w:type="dxa"/>
        <w:tblLayout w:type="fixed"/>
        <w:tblLook w:val="0000" w:firstRow="0" w:lastRow="0" w:firstColumn="0" w:lastColumn="0" w:noHBand="0" w:noVBand="0"/>
      </w:tblPr>
      <w:tblGrid>
        <w:gridCol w:w="3969"/>
        <w:gridCol w:w="1701"/>
      </w:tblGrid>
      <w:tr w:rsidR="00E5651C" w14:paraId="134C72CE" w14:textId="77777777">
        <w:tblPrEx>
          <w:tblCellMar>
            <w:top w:w="0" w:type="dxa"/>
            <w:bottom w:w="0" w:type="dxa"/>
          </w:tblCellMar>
        </w:tblPrEx>
        <w:trPr>
          <w:cantSplit/>
          <w:tblHeader/>
        </w:trPr>
        <w:tc>
          <w:tcPr>
            <w:tcW w:w="3969" w:type="dxa"/>
            <w:gridSpan w:val="2"/>
            <w:tcBorders>
              <w:top w:val="single" w:sz="4" w:space="0" w:color="auto"/>
              <w:left w:val="single" w:sz="8" w:space="0" w:color="auto"/>
              <w:bottom w:val="single" w:sz="8" w:space="0" w:color="auto"/>
              <w:right w:val="single" w:sz="8" w:space="0" w:color="auto"/>
            </w:tcBorders>
          </w:tcPr>
          <w:p w14:paraId="2C7EB0AC" w14:textId="77777777" w:rsidR="00E5651C" w:rsidRDefault="00E5651C">
            <w:pPr>
              <w:pStyle w:val="TableHead"/>
              <w:spacing w:before="120" w:after="120"/>
              <w:rPr>
                <w:rFonts w:cs="Arial"/>
                <w:noProof/>
              </w:rPr>
            </w:pPr>
            <w:r>
              <w:rPr>
                <w:rFonts w:cs="Arial"/>
              </w:rPr>
              <w:t>Netplan 1 standard discount level</w:t>
            </w:r>
          </w:p>
        </w:tc>
      </w:tr>
      <w:tr w:rsidR="00E5651C" w14:paraId="4C627568" w14:textId="77777777">
        <w:tblPrEx>
          <w:tblCellMar>
            <w:top w:w="0" w:type="dxa"/>
            <w:bottom w:w="0" w:type="dxa"/>
          </w:tblCellMar>
        </w:tblPrEx>
        <w:trPr>
          <w:cantSplit/>
          <w:tblHeader/>
        </w:trPr>
        <w:tc>
          <w:tcPr>
            <w:tcW w:w="3969" w:type="dxa"/>
            <w:tcBorders>
              <w:top w:val="single" w:sz="8" w:space="0" w:color="auto"/>
              <w:left w:val="single" w:sz="8" w:space="0" w:color="auto"/>
              <w:bottom w:val="single" w:sz="4" w:space="0" w:color="auto"/>
              <w:right w:val="single" w:sz="8" w:space="0" w:color="auto"/>
            </w:tcBorders>
          </w:tcPr>
          <w:p w14:paraId="76DD04C7" w14:textId="77777777" w:rsidR="00E5651C" w:rsidRDefault="00E5651C">
            <w:pPr>
              <w:pStyle w:val="TableHead"/>
              <w:spacing w:before="120" w:after="120"/>
              <w:jc w:val="center"/>
              <w:rPr>
                <w:rFonts w:cs="Arial"/>
                <w:b w:val="0"/>
                <w:bCs/>
                <w:noProof/>
              </w:rPr>
            </w:pPr>
            <w:r>
              <w:rPr>
                <w:rFonts w:cs="Arial"/>
                <w:noProof/>
              </w:rPr>
              <w:t>Benchmark (GST excl.)</w:t>
            </w:r>
          </w:p>
        </w:tc>
        <w:tc>
          <w:tcPr>
            <w:tcW w:w="1701" w:type="dxa"/>
            <w:tcBorders>
              <w:top w:val="single" w:sz="8" w:space="0" w:color="auto"/>
              <w:left w:val="single" w:sz="8" w:space="0" w:color="auto"/>
              <w:bottom w:val="single" w:sz="4" w:space="0" w:color="auto"/>
              <w:right w:val="single" w:sz="8" w:space="0" w:color="auto"/>
            </w:tcBorders>
          </w:tcPr>
          <w:p w14:paraId="180D2C20" w14:textId="77777777" w:rsidR="00E5651C" w:rsidRDefault="00E5651C">
            <w:pPr>
              <w:pStyle w:val="TableHead"/>
              <w:spacing w:before="120" w:after="120"/>
              <w:jc w:val="center"/>
              <w:rPr>
                <w:rFonts w:cs="Arial"/>
                <w:noProof/>
              </w:rPr>
            </w:pPr>
            <w:r>
              <w:rPr>
                <w:rFonts w:cs="Arial"/>
                <w:noProof/>
              </w:rPr>
              <w:t>Discount</w:t>
            </w:r>
          </w:p>
        </w:tc>
      </w:tr>
      <w:tr w:rsidR="00E5651C" w14:paraId="780C23C5" w14:textId="77777777">
        <w:tblPrEx>
          <w:tblCellMar>
            <w:top w:w="0" w:type="dxa"/>
            <w:bottom w:w="0" w:type="dxa"/>
          </w:tblCellMar>
        </w:tblPrEx>
        <w:trPr>
          <w:cantSplit/>
        </w:trPr>
        <w:tc>
          <w:tcPr>
            <w:tcW w:w="3969" w:type="dxa"/>
            <w:tcBorders>
              <w:top w:val="single" w:sz="4" w:space="0" w:color="auto"/>
              <w:left w:val="single" w:sz="8" w:space="0" w:color="auto"/>
              <w:bottom w:val="single" w:sz="4" w:space="0" w:color="auto"/>
              <w:right w:val="single" w:sz="8" w:space="0" w:color="auto"/>
            </w:tcBorders>
          </w:tcPr>
          <w:p w14:paraId="783EEFF1" w14:textId="77777777" w:rsidR="00E5651C" w:rsidRDefault="00E5651C">
            <w:pPr>
              <w:spacing w:before="120" w:after="120"/>
              <w:jc w:val="center"/>
              <w:rPr>
                <w:rFonts w:ascii="Arial" w:hAnsi="Arial" w:cs="Arial"/>
                <w:sz w:val="18"/>
              </w:rPr>
            </w:pPr>
            <w:r>
              <w:rPr>
                <w:rFonts w:ascii="Arial" w:hAnsi="Arial" w:cs="Arial"/>
                <w:sz w:val="18"/>
              </w:rPr>
              <w:t>0 to less than $750,000</w:t>
            </w:r>
          </w:p>
        </w:tc>
        <w:tc>
          <w:tcPr>
            <w:tcW w:w="1701" w:type="dxa"/>
            <w:tcBorders>
              <w:top w:val="single" w:sz="4" w:space="0" w:color="auto"/>
              <w:left w:val="single" w:sz="8" w:space="0" w:color="auto"/>
              <w:bottom w:val="single" w:sz="4" w:space="0" w:color="auto"/>
              <w:right w:val="single" w:sz="8" w:space="0" w:color="auto"/>
            </w:tcBorders>
          </w:tcPr>
          <w:p w14:paraId="2187F69A" w14:textId="77777777" w:rsidR="00E5651C" w:rsidRDefault="00E5651C">
            <w:pPr>
              <w:spacing w:before="120" w:after="120"/>
              <w:ind w:right="144"/>
              <w:jc w:val="center"/>
              <w:rPr>
                <w:rFonts w:ascii="Arial" w:hAnsi="Arial" w:cs="Arial"/>
                <w:b/>
                <w:bCs/>
                <w:sz w:val="18"/>
              </w:rPr>
            </w:pPr>
            <w:r>
              <w:rPr>
                <w:rFonts w:ascii="Arial" w:hAnsi="Arial" w:cs="Arial"/>
                <w:b/>
                <w:bCs/>
                <w:sz w:val="18"/>
              </w:rPr>
              <w:t>4.0%</w:t>
            </w:r>
          </w:p>
        </w:tc>
      </w:tr>
      <w:tr w:rsidR="00E5651C" w14:paraId="4B1B7240" w14:textId="77777777">
        <w:tblPrEx>
          <w:tblCellMar>
            <w:top w:w="0" w:type="dxa"/>
            <w:bottom w:w="0" w:type="dxa"/>
          </w:tblCellMar>
        </w:tblPrEx>
        <w:trPr>
          <w:cantSplit/>
        </w:trPr>
        <w:tc>
          <w:tcPr>
            <w:tcW w:w="3969" w:type="dxa"/>
            <w:tcBorders>
              <w:top w:val="single" w:sz="4" w:space="0" w:color="auto"/>
              <w:left w:val="single" w:sz="8" w:space="0" w:color="auto"/>
              <w:bottom w:val="single" w:sz="4" w:space="0" w:color="auto"/>
              <w:right w:val="single" w:sz="8" w:space="0" w:color="auto"/>
            </w:tcBorders>
          </w:tcPr>
          <w:p w14:paraId="04C534C1" w14:textId="77777777" w:rsidR="00E5651C" w:rsidRDefault="00E5651C">
            <w:pPr>
              <w:spacing w:before="120" w:after="120"/>
              <w:jc w:val="center"/>
              <w:rPr>
                <w:rFonts w:ascii="Arial" w:hAnsi="Arial" w:cs="Arial"/>
                <w:sz w:val="18"/>
              </w:rPr>
            </w:pPr>
            <w:r>
              <w:rPr>
                <w:rFonts w:ascii="Arial" w:hAnsi="Arial" w:cs="Arial"/>
                <w:sz w:val="18"/>
              </w:rPr>
              <w:t>$750,000 to less than $1,000,000</w:t>
            </w:r>
          </w:p>
        </w:tc>
        <w:tc>
          <w:tcPr>
            <w:tcW w:w="1701" w:type="dxa"/>
            <w:tcBorders>
              <w:top w:val="single" w:sz="4" w:space="0" w:color="auto"/>
              <w:left w:val="single" w:sz="8" w:space="0" w:color="auto"/>
              <w:bottom w:val="single" w:sz="4" w:space="0" w:color="auto"/>
              <w:right w:val="single" w:sz="8" w:space="0" w:color="auto"/>
            </w:tcBorders>
          </w:tcPr>
          <w:p w14:paraId="1C859114" w14:textId="77777777" w:rsidR="00E5651C" w:rsidRDefault="00E5651C">
            <w:pPr>
              <w:spacing w:before="120" w:after="120"/>
              <w:ind w:right="144"/>
              <w:jc w:val="center"/>
              <w:rPr>
                <w:rFonts w:ascii="Arial" w:hAnsi="Arial" w:cs="Arial"/>
                <w:b/>
                <w:bCs/>
                <w:sz w:val="18"/>
              </w:rPr>
            </w:pPr>
            <w:r>
              <w:rPr>
                <w:rFonts w:ascii="Arial" w:hAnsi="Arial" w:cs="Arial"/>
                <w:b/>
                <w:bCs/>
                <w:sz w:val="18"/>
              </w:rPr>
              <w:t>6.0%</w:t>
            </w:r>
          </w:p>
        </w:tc>
      </w:tr>
      <w:tr w:rsidR="00E5651C" w14:paraId="30BDEC65" w14:textId="77777777">
        <w:tblPrEx>
          <w:tblCellMar>
            <w:top w:w="0" w:type="dxa"/>
            <w:bottom w:w="0" w:type="dxa"/>
          </w:tblCellMar>
        </w:tblPrEx>
        <w:trPr>
          <w:cantSplit/>
        </w:trPr>
        <w:tc>
          <w:tcPr>
            <w:tcW w:w="3969" w:type="dxa"/>
            <w:tcBorders>
              <w:top w:val="single" w:sz="4" w:space="0" w:color="auto"/>
              <w:left w:val="single" w:sz="8" w:space="0" w:color="auto"/>
              <w:bottom w:val="single" w:sz="8" w:space="0" w:color="auto"/>
              <w:right w:val="single" w:sz="8" w:space="0" w:color="auto"/>
            </w:tcBorders>
          </w:tcPr>
          <w:p w14:paraId="76FACDC0" w14:textId="77777777" w:rsidR="00E5651C" w:rsidRDefault="00E5651C">
            <w:pPr>
              <w:spacing w:before="120" w:after="120"/>
              <w:jc w:val="center"/>
              <w:rPr>
                <w:rFonts w:ascii="Arial" w:hAnsi="Arial" w:cs="Arial"/>
                <w:sz w:val="18"/>
              </w:rPr>
            </w:pPr>
            <w:r>
              <w:rPr>
                <w:rFonts w:ascii="Arial" w:hAnsi="Arial" w:cs="Arial"/>
                <w:sz w:val="18"/>
              </w:rPr>
              <w:t>$1,000,000 to less than $2,000,000</w:t>
            </w:r>
          </w:p>
        </w:tc>
        <w:tc>
          <w:tcPr>
            <w:tcW w:w="1701" w:type="dxa"/>
            <w:tcBorders>
              <w:top w:val="single" w:sz="4" w:space="0" w:color="auto"/>
              <w:left w:val="single" w:sz="8" w:space="0" w:color="auto"/>
              <w:bottom w:val="single" w:sz="4" w:space="0" w:color="auto"/>
              <w:right w:val="single" w:sz="8" w:space="0" w:color="auto"/>
            </w:tcBorders>
          </w:tcPr>
          <w:p w14:paraId="0EB42A0D" w14:textId="77777777" w:rsidR="00E5651C" w:rsidRDefault="00E5651C">
            <w:pPr>
              <w:spacing w:before="120" w:after="120"/>
              <w:ind w:right="144"/>
              <w:jc w:val="center"/>
              <w:rPr>
                <w:rFonts w:ascii="Arial" w:hAnsi="Arial" w:cs="Arial"/>
                <w:b/>
                <w:bCs/>
                <w:sz w:val="18"/>
              </w:rPr>
            </w:pPr>
            <w:r>
              <w:rPr>
                <w:rFonts w:ascii="Arial" w:hAnsi="Arial" w:cs="Arial"/>
                <w:b/>
                <w:bCs/>
                <w:sz w:val="18"/>
              </w:rPr>
              <w:t>8.0%</w:t>
            </w:r>
          </w:p>
        </w:tc>
      </w:tr>
      <w:tr w:rsidR="00E5651C" w14:paraId="260527F4" w14:textId="77777777">
        <w:tblPrEx>
          <w:tblCellMar>
            <w:top w:w="0" w:type="dxa"/>
            <w:bottom w:w="0" w:type="dxa"/>
          </w:tblCellMar>
        </w:tblPrEx>
        <w:trPr>
          <w:cantSplit/>
        </w:trPr>
        <w:tc>
          <w:tcPr>
            <w:tcW w:w="3969" w:type="dxa"/>
            <w:tcBorders>
              <w:top w:val="single" w:sz="8" w:space="0" w:color="auto"/>
              <w:left w:val="single" w:sz="8" w:space="0" w:color="auto"/>
              <w:bottom w:val="single" w:sz="4" w:space="0" w:color="auto"/>
              <w:right w:val="single" w:sz="8" w:space="0" w:color="auto"/>
            </w:tcBorders>
          </w:tcPr>
          <w:p w14:paraId="0122B6F6" w14:textId="77777777" w:rsidR="00E5651C" w:rsidRDefault="00E5651C">
            <w:pPr>
              <w:spacing w:before="120" w:after="120"/>
              <w:jc w:val="center"/>
              <w:rPr>
                <w:rFonts w:ascii="Arial" w:hAnsi="Arial" w:cs="Arial"/>
                <w:sz w:val="18"/>
              </w:rPr>
            </w:pPr>
            <w:r>
              <w:rPr>
                <w:rFonts w:ascii="Arial" w:hAnsi="Arial" w:cs="Arial"/>
                <w:sz w:val="18"/>
              </w:rPr>
              <w:t>$2,000,000 to less than $3,000,000</w:t>
            </w:r>
          </w:p>
        </w:tc>
        <w:tc>
          <w:tcPr>
            <w:tcW w:w="1701" w:type="dxa"/>
            <w:tcBorders>
              <w:top w:val="single" w:sz="4" w:space="0" w:color="auto"/>
              <w:left w:val="single" w:sz="8" w:space="0" w:color="auto"/>
              <w:bottom w:val="single" w:sz="4" w:space="0" w:color="auto"/>
              <w:right w:val="single" w:sz="8" w:space="0" w:color="auto"/>
            </w:tcBorders>
          </w:tcPr>
          <w:p w14:paraId="2BD1ADCC" w14:textId="77777777" w:rsidR="00E5651C" w:rsidRDefault="00E5651C">
            <w:pPr>
              <w:spacing w:before="120" w:after="120"/>
              <w:ind w:right="144"/>
              <w:jc w:val="center"/>
              <w:rPr>
                <w:rFonts w:ascii="Arial" w:hAnsi="Arial" w:cs="Arial"/>
                <w:b/>
                <w:bCs/>
                <w:sz w:val="18"/>
              </w:rPr>
            </w:pPr>
            <w:r>
              <w:rPr>
                <w:rFonts w:ascii="Arial" w:hAnsi="Arial" w:cs="Arial"/>
                <w:b/>
                <w:bCs/>
                <w:sz w:val="18"/>
              </w:rPr>
              <w:t>10.0%</w:t>
            </w:r>
          </w:p>
        </w:tc>
      </w:tr>
      <w:tr w:rsidR="00E5651C" w14:paraId="0D49AC19" w14:textId="77777777">
        <w:tblPrEx>
          <w:tblCellMar>
            <w:top w:w="0" w:type="dxa"/>
            <w:bottom w:w="0" w:type="dxa"/>
          </w:tblCellMar>
        </w:tblPrEx>
        <w:trPr>
          <w:cantSplit/>
        </w:trPr>
        <w:tc>
          <w:tcPr>
            <w:tcW w:w="3969" w:type="dxa"/>
            <w:tcBorders>
              <w:top w:val="single" w:sz="4" w:space="0" w:color="auto"/>
              <w:left w:val="single" w:sz="8" w:space="0" w:color="auto"/>
              <w:bottom w:val="single" w:sz="4" w:space="0" w:color="auto"/>
              <w:right w:val="single" w:sz="8" w:space="0" w:color="auto"/>
            </w:tcBorders>
          </w:tcPr>
          <w:p w14:paraId="2EDA8D80" w14:textId="77777777" w:rsidR="00E5651C" w:rsidRDefault="00E5651C">
            <w:pPr>
              <w:spacing w:before="120" w:after="120"/>
              <w:jc w:val="center"/>
              <w:rPr>
                <w:rFonts w:ascii="Arial" w:hAnsi="Arial" w:cs="Arial"/>
                <w:sz w:val="18"/>
              </w:rPr>
            </w:pPr>
            <w:r>
              <w:rPr>
                <w:rFonts w:ascii="Arial" w:hAnsi="Arial" w:cs="Arial"/>
                <w:sz w:val="18"/>
              </w:rPr>
              <w:t>$3,000,000 to less than $4,000,000</w:t>
            </w:r>
          </w:p>
        </w:tc>
        <w:tc>
          <w:tcPr>
            <w:tcW w:w="1701" w:type="dxa"/>
            <w:tcBorders>
              <w:top w:val="single" w:sz="4" w:space="0" w:color="auto"/>
              <w:left w:val="single" w:sz="8" w:space="0" w:color="auto"/>
              <w:bottom w:val="single" w:sz="4" w:space="0" w:color="auto"/>
              <w:right w:val="single" w:sz="8" w:space="0" w:color="auto"/>
            </w:tcBorders>
          </w:tcPr>
          <w:p w14:paraId="11733F22" w14:textId="77777777" w:rsidR="00E5651C" w:rsidRDefault="00E5651C">
            <w:pPr>
              <w:spacing w:before="120" w:after="120"/>
              <w:ind w:right="144"/>
              <w:jc w:val="center"/>
              <w:rPr>
                <w:rFonts w:ascii="Arial" w:hAnsi="Arial" w:cs="Arial"/>
                <w:b/>
                <w:bCs/>
                <w:sz w:val="18"/>
              </w:rPr>
            </w:pPr>
            <w:r>
              <w:rPr>
                <w:rFonts w:ascii="Arial" w:hAnsi="Arial" w:cs="Arial"/>
                <w:b/>
                <w:bCs/>
                <w:sz w:val="18"/>
              </w:rPr>
              <w:t>12.0%</w:t>
            </w:r>
          </w:p>
        </w:tc>
      </w:tr>
      <w:tr w:rsidR="00E5651C" w14:paraId="798DD660" w14:textId="77777777">
        <w:tblPrEx>
          <w:tblCellMar>
            <w:top w:w="0" w:type="dxa"/>
            <w:bottom w:w="0" w:type="dxa"/>
          </w:tblCellMar>
        </w:tblPrEx>
        <w:trPr>
          <w:cantSplit/>
        </w:trPr>
        <w:tc>
          <w:tcPr>
            <w:tcW w:w="3969" w:type="dxa"/>
            <w:tcBorders>
              <w:top w:val="single" w:sz="4" w:space="0" w:color="auto"/>
              <w:left w:val="single" w:sz="8" w:space="0" w:color="auto"/>
              <w:bottom w:val="single" w:sz="4" w:space="0" w:color="auto"/>
              <w:right w:val="single" w:sz="8" w:space="0" w:color="auto"/>
            </w:tcBorders>
          </w:tcPr>
          <w:p w14:paraId="5E5BE168" w14:textId="77777777" w:rsidR="00E5651C" w:rsidRDefault="00E5651C">
            <w:pPr>
              <w:spacing w:before="120" w:after="120"/>
              <w:jc w:val="center"/>
              <w:rPr>
                <w:rFonts w:ascii="Arial" w:hAnsi="Arial" w:cs="Arial"/>
                <w:sz w:val="18"/>
              </w:rPr>
            </w:pPr>
            <w:r>
              <w:rPr>
                <w:rFonts w:ascii="Arial" w:hAnsi="Arial" w:cs="Arial"/>
                <w:sz w:val="18"/>
              </w:rPr>
              <w:t>$4,000,000 to less than $6,000,000</w:t>
            </w:r>
          </w:p>
        </w:tc>
        <w:tc>
          <w:tcPr>
            <w:tcW w:w="1701" w:type="dxa"/>
            <w:tcBorders>
              <w:top w:val="single" w:sz="4" w:space="0" w:color="auto"/>
              <w:left w:val="single" w:sz="8" w:space="0" w:color="auto"/>
              <w:bottom w:val="single" w:sz="4" w:space="0" w:color="auto"/>
              <w:right w:val="single" w:sz="8" w:space="0" w:color="auto"/>
            </w:tcBorders>
          </w:tcPr>
          <w:p w14:paraId="05E33C52" w14:textId="77777777" w:rsidR="00E5651C" w:rsidRDefault="00E5651C">
            <w:pPr>
              <w:spacing w:before="120" w:after="120"/>
              <w:ind w:right="144"/>
              <w:jc w:val="center"/>
              <w:rPr>
                <w:rFonts w:ascii="Arial" w:hAnsi="Arial" w:cs="Arial"/>
                <w:b/>
                <w:bCs/>
                <w:sz w:val="18"/>
              </w:rPr>
            </w:pPr>
            <w:r>
              <w:rPr>
                <w:rFonts w:ascii="Arial" w:hAnsi="Arial" w:cs="Arial"/>
                <w:b/>
                <w:bCs/>
                <w:sz w:val="18"/>
              </w:rPr>
              <w:t>13.0%</w:t>
            </w:r>
          </w:p>
        </w:tc>
      </w:tr>
      <w:tr w:rsidR="00E5651C" w14:paraId="4F68FD48" w14:textId="77777777">
        <w:tblPrEx>
          <w:tblCellMar>
            <w:top w:w="0" w:type="dxa"/>
            <w:bottom w:w="0" w:type="dxa"/>
          </w:tblCellMar>
        </w:tblPrEx>
        <w:trPr>
          <w:cantSplit/>
        </w:trPr>
        <w:tc>
          <w:tcPr>
            <w:tcW w:w="3969" w:type="dxa"/>
            <w:tcBorders>
              <w:top w:val="single" w:sz="4" w:space="0" w:color="auto"/>
              <w:left w:val="single" w:sz="8" w:space="0" w:color="auto"/>
              <w:bottom w:val="single" w:sz="4" w:space="0" w:color="auto"/>
              <w:right w:val="single" w:sz="8" w:space="0" w:color="auto"/>
            </w:tcBorders>
          </w:tcPr>
          <w:p w14:paraId="516610BE" w14:textId="77777777" w:rsidR="00E5651C" w:rsidRDefault="00E5651C">
            <w:pPr>
              <w:spacing w:before="120" w:after="120"/>
              <w:jc w:val="center"/>
              <w:rPr>
                <w:rFonts w:ascii="Arial" w:hAnsi="Arial" w:cs="Arial"/>
                <w:sz w:val="18"/>
              </w:rPr>
            </w:pPr>
            <w:r>
              <w:rPr>
                <w:rFonts w:ascii="Arial" w:hAnsi="Arial" w:cs="Arial"/>
                <w:sz w:val="18"/>
              </w:rPr>
              <w:t>$6,000,000 to less than $8,000,000</w:t>
            </w:r>
          </w:p>
        </w:tc>
        <w:tc>
          <w:tcPr>
            <w:tcW w:w="1701" w:type="dxa"/>
            <w:tcBorders>
              <w:top w:val="single" w:sz="4" w:space="0" w:color="auto"/>
              <w:left w:val="single" w:sz="8" w:space="0" w:color="auto"/>
              <w:bottom w:val="single" w:sz="8" w:space="0" w:color="auto"/>
              <w:right w:val="single" w:sz="8" w:space="0" w:color="auto"/>
            </w:tcBorders>
          </w:tcPr>
          <w:p w14:paraId="539D2A34" w14:textId="77777777" w:rsidR="00E5651C" w:rsidRDefault="00E5651C">
            <w:pPr>
              <w:spacing w:before="120" w:after="120"/>
              <w:ind w:right="144"/>
              <w:jc w:val="center"/>
              <w:rPr>
                <w:rFonts w:ascii="Arial" w:hAnsi="Arial" w:cs="Arial"/>
                <w:b/>
                <w:bCs/>
                <w:sz w:val="18"/>
              </w:rPr>
            </w:pPr>
            <w:r>
              <w:rPr>
                <w:rFonts w:ascii="Arial" w:hAnsi="Arial" w:cs="Arial"/>
                <w:b/>
                <w:bCs/>
                <w:sz w:val="18"/>
              </w:rPr>
              <w:t>14.0%</w:t>
            </w:r>
          </w:p>
        </w:tc>
      </w:tr>
      <w:tr w:rsidR="00E5651C" w14:paraId="28572249" w14:textId="77777777">
        <w:tblPrEx>
          <w:tblCellMar>
            <w:top w:w="0" w:type="dxa"/>
            <w:bottom w:w="0" w:type="dxa"/>
          </w:tblCellMar>
        </w:tblPrEx>
        <w:trPr>
          <w:cantSplit/>
        </w:trPr>
        <w:tc>
          <w:tcPr>
            <w:tcW w:w="3969" w:type="dxa"/>
            <w:tcBorders>
              <w:top w:val="single" w:sz="4" w:space="0" w:color="auto"/>
              <w:left w:val="single" w:sz="8" w:space="0" w:color="auto"/>
              <w:bottom w:val="single" w:sz="8" w:space="0" w:color="auto"/>
              <w:right w:val="single" w:sz="8" w:space="0" w:color="auto"/>
            </w:tcBorders>
          </w:tcPr>
          <w:p w14:paraId="09C99EAF" w14:textId="77777777" w:rsidR="00E5651C" w:rsidRDefault="00E5651C">
            <w:pPr>
              <w:spacing w:before="120" w:after="120"/>
              <w:jc w:val="center"/>
              <w:rPr>
                <w:rFonts w:ascii="Arial" w:hAnsi="Arial" w:cs="Arial"/>
                <w:sz w:val="18"/>
              </w:rPr>
            </w:pPr>
            <w:r>
              <w:rPr>
                <w:rFonts w:ascii="Arial" w:hAnsi="Arial" w:cs="Arial"/>
                <w:sz w:val="18"/>
              </w:rPr>
              <w:t>$8,000,000 to less than $16,000,000</w:t>
            </w:r>
          </w:p>
        </w:tc>
        <w:tc>
          <w:tcPr>
            <w:tcW w:w="1701" w:type="dxa"/>
            <w:tcBorders>
              <w:top w:val="single" w:sz="8" w:space="0" w:color="auto"/>
              <w:left w:val="single" w:sz="8" w:space="0" w:color="auto"/>
              <w:bottom w:val="single" w:sz="4" w:space="0" w:color="auto"/>
              <w:right w:val="single" w:sz="8" w:space="0" w:color="auto"/>
            </w:tcBorders>
          </w:tcPr>
          <w:p w14:paraId="16D945CA" w14:textId="77777777" w:rsidR="00E5651C" w:rsidRDefault="00E5651C">
            <w:pPr>
              <w:spacing w:before="120" w:after="120"/>
              <w:ind w:right="144"/>
              <w:jc w:val="center"/>
              <w:rPr>
                <w:rFonts w:ascii="Arial" w:hAnsi="Arial" w:cs="Arial"/>
                <w:b/>
                <w:bCs/>
                <w:sz w:val="18"/>
              </w:rPr>
            </w:pPr>
            <w:r>
              <w:rPr>
                <w:rFonts w:ascii="Arial" w:hAnsi="Arial" w:cs="Arial"/>
                <w:b/>
                <w:bCs/>
                <w:sz w:val="18"/>
              </w:rPr>
              <w:t>15.0%</w:t>
            </w:r>
          </w:p>
        </w:tc>
      </w:tr>
      <w:tr w:rsidR="00E5651C" w14:paraId="43166F00" w14:textId="77777777">
        <w:tblPrEx>
          <w:tblCellMar>
            <w:top w:w="0" w:type="dxa"/>
            <w:bottom w:w="0" w:type="dxa"/>
          </w:tblCellMar>
        </w:tblPrEx>
        <w:trPr>
          <w:cantSplit/>
        </w:trPr>
        <w:tc>
          <w:tcPr>
            <w:tcW w:w="3969" w:type="dxa"/>
            <w:tcBorders>
              <w:top w:val="single" w:sz="8" w:space="0" w:color="auto"/>
              <w:left w:val="single" w:sz="8" w:space="0" w:color="auto"/>
              <w:bottom w:val="single" w:sz="8" w:space="0" w:color="auto"/>
              <w:right w:val="single" w:sz="8" w:space="0" w:color="auto"/>
            </w:tcBorders>
          </w:tcPr>
          <w:p w14:paraId="31CB246F" w14:textId="77777777" w:rsidR="00E5651C" w:rsidRDefault="00E5651C">
            <w:pPr>
              <w:spacing w:before="120" w:after="120"/>
              <w:jc w:val="center"/>
              <w:rPr>
                <w:rFonts w:ascii="Arial" w:hAnsi="Arial" w:cs="Arial"/>
                <w:sz w:val="18"/>
              </w:rPr>
            </w:pPr>
            <w:r>
              <w:rPr>
                <w:rFonts w:ascii="Arial" w:hAnsi="Arial" w:cs="Arial"/>
                <w:sz w:val="18"/>
              </w:rPr>
              <w:t>$16,000,000 to less than $30,000,000</w:t>
            </w:r>
          </w:p>
        </w:tc>
        <w:tc>
          <w:tcPr>
            <w:tcW w:w="1701" w:type="dxa"/>
            <w:tcBorders>
              <w:top w:val="single" w:sz="4" w:space="0" w:color="auto"/>
              <w:left w:val="single" w:sz="8" w:space="0" w:color="auto"/>
              <w:bottom w:val="single" w:sz="4" w:space="0" w:color="auto"/>
              <w:right w:val="single" w:sz="8" w:space="0" w:color="auto"/>
            </w:tcBorders>
          </w:tcPr>
          <w:p w14:paraId="59418EF7" w14:textId="77777777" w:rsidR="00E5651C" w:rsidRDefault="00E5651C">
            <w:pPr>
              <w:spacing w:before="120" w:after="120"/>
              <w:ind w:right="144"/>
              <w:jc w:val="center"/>
              <w:rPr>
                <w:rFonts w:ascii="Arial" w:hAnsi="Arial" w:cs="Arial"/>
                <w:b/>
                <w:bCs/>
                <w:sz w:val="18"/>
              </w:rPr>
            </w:pPr>
            <w:r>
              <w:rPr>
                <w:rFonts w:ascii="Arial" w:hAnsi="Arial" w:cs="Arial"/>
                <w:b/>
                <w:bCs/>
                <w:sz w:val="18"/>
              </w:rPr>
              <w:t>16.0%</w:t>
            </w:r>
          </w:p>
        </w:tc>
      </w:tr>
      <w:tr w:rsidR="00E5651C" w14:paraId="000E7116" w14:textId="77777777">
        <w:tblPrEx>
          <w:tblCellMar>
            <w:top w:w="0" w:type="dxa"/>
            <w:bottom w:w="0" w:type="dxa"/>
          </w:tblCellMar>
        </w:tblPrEx>
        <w:trPr>
          <w:cantSplit/>
        </w:trPr>
        <w:tc>
          <w:tcPr>
            <w:tcW w:w="3969" w:type="dxa"/>
            <w:tcBorders>
              <w:top w:val="single" w:sz="8" w:space="0" w:color="auto"/>
              <w:left w:val="single" w:sz="8" w:space="0" w:color="auto"/>
              <w:bottom w:val="single" w:sz="8" w:space="0" w:color="auto"/>
              <w:right w:val="single" w:sz="8" w:space="0" w:color="auto"/>
            </w:tcBorders>
          </w:tcPr>
          <w:p w14:paraId="4EAD2199" w14:textId="77777777" w:rsidR="00E5651C" w:rsidRDefault="00E5651C">
            <w:pPr>
              <w:spacing w:before="120" w:after="120"/>
              <w:jc w:val="center"/>
              <w:rPr>
                <w:rFonts w:ascii="Arial" w:hAnsi="Arial" w:cs="Arial"/>
                <w:sz w:val="18"/>
              </w:rPr>
            </w:pPr>
            <w:r>
              <w:rPr>
                <w:rFonts w:ascii="Arial" w:hAnsi="Arial" w:cs="Arial"/>
                <w:sz w:val="18"/>
              </w:rPr>
              <w:t>$30,000,000 to less than $45,000,000</w:t>
            </w:r>
          </w:p>
        </w:tc>
        <w:tc>
          <w:tcPr>
            <w:tcW w:w="1701" w:type="dxa"/>
            <w:tcBorders>
              <w:top w:val="single" w:sz="4" w:space="0" w:color="auto"/>
              <w:left w:val="single" w:sz="8" w:space="0" w:color="auto"/>
              <w:bottom w:val="single" w:sz="4" w:space="0" w:color="auto"/>
              <w:right w:val="single" w:sz="8" w:space="0" w:color="auto"/>
            </w:tcBorders>
          </w:tcPr>
          <w:p w14:paraId="62EED92D" w14:textId="77777777" w:rsidR="00E5651C" w:rsidRDefault="00E5651C">
            <w:pPr>
              <w:spacing w:before="120" w:after="120"/>
              <w:ind w:right="144"/>
              <w:jc w:val="center"/>
              <w:rPr>
                <w:rFonts w:ascii="Arial" w:hAnsi="Arial" w:cs="Arial"/>
                <w:b/>
                <w:bCs/>
                <w:sz w:val="18"/>
              </w:rPr>
            </w:pPr>
            <w:r>
              <w:rPr>
                <w:rFonts w:ascii="Arial" w:hAnsi="Arial" w:cs="Arial"/>
                <w:b/>
                <w:bCs/>
                <w:sz w:val="18"/>
              </w:rPr>
              <w:t>17.0%</w:t>
            </w:r>
          </w:p>
        </w:tc>
      </w:tr>
      <w:tr w:rsidR="00E5651C" w14:paraId="05D335B9" w14:textId="77777777">
        <w:tblPrEx>
          <w:tblCellMar>
            <w:top w:w="0" w:type="dxa"/>
            <w:bottom w:w="0" w:type="dxa"/>
          </w:tblCellMar>
        </w:tblPrEx>
        <w:trPr>
          <w:cantSplit/>
        </w:trPr>
        <w:tc>
          <w:tcPr>
            <w:tcW w:w="3969" w:type="dxa"/>
            <w:tcBorders>
              <w:top w:val="single" w:sz="8" w:space="0" w:color="auto"/>
              <w:left w:val="single" w:sz="8" w:space="0" w:color="auto"/>
              <w:bottom w:val="single" w:sz="8" w:space="0" w:color="auto"/>
              <w:right w:val="single" w:sz="8" w:space="0" w:color="auto"/>
            </w:tcBorders>
          </w:tcPr>
          <w:p w14:paraId="45151562" w14:textId="77777777" w:rsidR="00E5651C" w:rsidRDefault="00E5651C">
            <w:pPr>
              <w:spacing w:before="120" w:after="120"/>
              <w:jc w:val="center"/>
              <w:rPr>
                <w:rFonts w:ascii="Arial" w:hAnsi="Arial" w:cs="Arial"/>
                <w:sz w:val="18"/>
              </w:rPr>
            </w:pPr>
            <w:r>
              <w:rPr>
                <w:rFonts w:ascii="Arial" w:hAnsi="Arial" w:cs="Arial"/>
                <w:sz w:val="18"/>
              </w:rPr>
              <w:t>$45,000,000 and over</w:t>
            </w:r>
          </w:p>
        </w:tc>
        <w:tc>
          <w:tcPr>
            <w:tcW w:w="1701" w:type="dxa"/>
            <w:tcBorders>
              <w:top w:val="single" w:sz="4" w:space="0" w:color="auto"/>
              <w:left w:val="single" w:sz="8" w:space="0" w:color="auto"/>
              <w:bottom w:val="single" w:sz="8" w:space="0" w:color="auto"/>
              <w:right w:val="single" w:sz="8" w:space="0" w:color="auto"/>
            </w:tcBorders>
          </w:tcPr>
          <w:p w14:paraId="54E239E0" w14:textId="77777777" w:rsidR="00E5651C" w:rsidRDefault="00E5651C">
            <w:pPr>
              <w:spacing w:before="120" w:after="120"/>
              <w:ind w:right="144"/>
              <w:jc w:val="center"/>
              <w:rPr>
                <w:rFonts w:ascii="Arial" w:hAnsi="Arial" w:cs="Arial"/>
                <w:b/>
                <w:bCs/>
                <w:sz w:val="18"/>
              </w:rPr>
            </w:pPr>
            <w:r>
              <w:rPr>
                <w:rFonts w:ascii="Arial" w:hAnsi="Arial" w:cs="Arial"/>
                <w:b/>
                <w:bCs/>
                <w:sz w:val="18"/>
              </w:rPr>
              <w:t>18.0%</w:t>
            </w:r>
          </w:p>
        </w:tc>
      </w:tr>
    </w:tbl>
    <w:p w14:paraId="12C0AA8A" w14:textId="77777777" w:rsidR="00E5651C" w:rsidRDefault="00E5651C">
      <w:pPr>
        <w:pStyle w:val="TableData"/>
      </w:pPr>
    </w:p>
    <w:p w14:paraId="045B29AF" w14:textId="77777777" w:rsidR="00E5651C" w:rsidRDefault="00E5651C">
      <w:pPr>
        <w:pStyle w:val="Heading2"/>
        <w:rPr>
          <w:noProof/>
        </w:rPr>
      </w:pPr>
      <w:r>
        <w:t xml:space="preserve">A further </w:t>
      </w:r>
      <w:r>
        <w:rPr>
          <w:b/>
          <w:bCs w:val="0"/>
        </w:rPr>
        <w:t>help desk discount</w:t>
      </w:r>
      <w:r>
        <w:t xml:space="preserve"> of 1% applies if you operate a centralised help desk facility and </w:t>
      </w:r>
      <w:r>
        <w:rPr>
          <w:noProof/>
        </w:rPr>
        <w:t xml:space="preserve">ensure your users direct all reports of service difficulties to your help desk and not to us. </w:t>
      </w:r>
      <w:r>
        <w:t xml:space="preserve"> To be eligible for this discount, your help desk must </w:t>
      </w:r>
      <w:r>
        <w:rPr>
          <w:noProof/>
        </w:rPr>
        <w:t>provide initial diagnostics, screening of end user service difficulties and a central point of contact for reporting of all faults to us concerning all your eligible services.</w:t>
      </w:r>
    </w:p>
    <w:p w14:paraId="385ABEDE" w14:textId="77777777" w:rsidR="00E5651C" w:rsidRDefault="00E5651C">
      <w:pPr>
        <w:pStyle w:val="Heading2"/>
      </w:pPr>
      <w:r>
        <w:t xml:space="preserve">A further </w:t>
      </w:r>
      <w:r>
        <w:rPr>
          <w:b/>
          <w:bCs w:val="0"/>
        </w:rPr>
        <w:t>benchmark discount</w:t>
      </w:r>
      <w:r>
        <w:t xml:space="preserve"> applies if your expenditure</w:t>
      </w:r>
      <w:r>
        <w:rPr>
          <w:i/>
        </w:rPr>
        <w:t xml:space="preserve"> </w:t>
      </w:r>
      <w:r>
        <w:rPr>
          <w:iCs/>
        </w:rPr>
        <w:t xml:space="preserve">on your eligible services </w:t>
      </w:r>
      <w:r>
        <w:t>for the last 12 months of the continuous management period is at least 50% of your benchmark.</w:t>
      </w:r>
    </w:p>
    <w:p w14:paraId="0C592F81" w14:textId="77777777" w:rsidR="00E5651C" w:rsidRDefault="00E5651C">
      <w:pPr>
        <w:pStyle w:val="Heading2"/>
      </w:pPr>
      <w:r>
        <w:t>If the continuous management period is more than 12 months, but less than 24 months, the benchmark discount is 0.5%.</w:t>
      </w:r>
    </w:p>
    <w:p w14:paraId="54802E12" w14:textId="77777777" w:rsidR="00E5651C" w:rsidRDefault="00E5651C">
      <w:pPr>
        <w:pStyle w:val="Heading2"/>
      </w:pPr>
      <w:r>
        <w:t xml:space="preserve">If the continuous management period is 24 months or more, the benchmark discount is </w:t>
      </w:r>
      <w:r>
        <w:lastRenderedPageBreak/>
        <w:t>1%.</w:t>
      </w:r>
    </w:p>
    <w:p w14:paraId="547449F2" w14:textId="77777777" w:rsidR="00E5651C" w:rsidRDefault="00E5651C">
      <w:pPr>
        <w:pStyle w:val="Indent1"/>
      </w:pPr>
      <w:bookmarkStart w:id="71" w:name="_Toc477177687"/>
      <w:r>
        <w:t>Netplan 2 discount levels</w:t>
      </w:r>
      <w:bookmarkEnd w:id="71"/>
    </w:p>
    <w:p w14:paraId="0C45A7DA" w14:textId="77777777" w:rsidR="00E5651C" w:rsidRDefault="00E5651C">
      <w:pPr>
        <w:pStyle w:val="Heading2"/>
      </w:pPr>
      <w:r>
        <w:t>The discount level for Netplan 2 is the sum of the following discounts set out below:</w:t>
      </w:r>
    </w:p>
    <w:p w14:paraId="67450EFD" w14:textId="77777777" w:rsidR="00E5651C" w:rsidRDefault="00E5651C">
      <w:pPr>
        <w:pStyle w:val="Heading3"/>
      </w:pPr>
      <w:r>
        <w:t>the standard discount level; and</w:t>
      </w:r>
    </w:p>
    <w:p w14:paraId="5F5CF3F9" w14:textId="77777777" w:rsidR="00E5651C" w:rsidRDefault="00E5651C">
      <w:pPr>
        <w:pStyle w:val="Heading3"/>
      </w:pPr>
      <w:r>
        <w:t>the help desk discount.</w:t>
      </w:r>
    </w:p>
    <w:p w14:paraId="0C087F29" w14:textId="77777777" w:rsidR="00E5651C" w:rsidRDefault="00E5651C">
      <w:pPr>
        <w:pStyle w:val="Heading2"/>
      </w:pPr>
      <w:r>
        <w:t xml:space="preserve">The </w:t>
      </w:r>
      <w:r>
        <w:rPr>
          <w:b/>
          <w:bCs w:val="0"/>
        </w:rPr>
        <w:t>standard discount level</w:t>
      </w:r>
      <w:r>
        <w:t xml:space="preserve"> is calculated as follows:</w:t>
      </w:r>
    </w:p>
    <w:tbl>
      <w:tblPr>
        <w:tblW w:w="5670" w:type="dxa"/>
        <w:tblInd w:w="737" w:type="dxa"/>
        <w:tblLayout w:type="fixed"/>
        <w:tblLook w:val="0000" w:firstRow="0" w:lastRow="0" w:firstColumn="0" w:lastColumn="0" w:noHBand="0" w:noVBand="0"/>
      </w:tblPr>
      <w:tblGrid>
        <w:gridCol w:w="3969"/>
        <w:gridCol w:w="1701"/>
      </w:tblGrid>
      <w:tr w:rsidR="00E5651C" w14:paraId="38B12352" w14:textId="77777777">
        <w:tblPrEx>
          <w:tblCellMar>
            <w:top w:w="0" w:type="dxa"/>
            <w:bottom w:w="0" w:type="dxa"/>
          </w:tblCellMar>
        </w:tblPrEx>
        <w:trPr>
          <w:cantSplit/>
          <w:tblHeader/>
        </w:trPr>
        <w:tc>
          <w:tcPr>
            <w:tcW w:w="1701" w:type="dxa"/>
            <w:gridSpan w:val="2"/>
            <w:tcBorders>
              <w:top w:val="single" w:sz="4" w:space="0" w:color="auto"/>
              <w:left w:val="single" w:sz="8" w:space="0" w:color="auto"/>
              <w:bottom w:val="single" w:sz="8" w:space="0" w:color="auto"/>
              <w:right w:val="single" w:sz="8" w:space="0" w:color="auto"/>
            </w:tcBorders>
          </w:tcPr>
          <w:p w14:paraId="3D030A5B" w14:textId="77777777" w:rsidR="00E5651C" w:rsidRDefault="00E5651C">
            <w:pPr>
              <w:pStyle w:val="TableHead"/>
              <w:spacing w:before="120" w:after="120"/>
              <w:rPr>
                <w:rFonts w:cs="Arial"/>
                <w:noProof/>
              </w:rPr>
            </w:pPr>
            <w:r>
              <w:rPr>
                <w:rFonts w:cs="Arial"/>
              </w:rPr>
              <w:t>Netplan 2 standard discount level</w:t>
            </w:r>
          </w:p>
        </w:tc>
      </w:tr>
      <w:tr w:rsidR="00E5651C" w14:paraId="53EF020E" w14:textId="77777777">
        <w:tblPrEx>
          <w:tblCellMar>
            <w:top w:w="0" w:type="dxa"/>
            <w:bottom w:w="0" w:type="dxa"/>
          </w:tblCellMar>
        </w:tblPrEx>
        <w:trPr>
          <w:cantSplit/>
          <w:tblHeader/>
        </w:trPr>
        <w:tc>
          <w:tcPr>
            <w:tcW w:w="3969" w:type="dxa"/>
            <w:tcBorders>
              <w:top w:val="single" w:sz="8" w:space="0" w:color="auto"/>
              <w:left w:val="single" w:sz="8" w:space="0" w:color="auto"/>
              <w:bottom w:val="single" w:sz="8" w:space="0" w:color="auto"/>
              <w:right w:val="single" w:sz="8" w:space="0" w:color="auto"/>
            </w:tcBorders>
          </w:tcPr>
          <w:p w14:paraId="7EA4C798" w14:textId="77777777" w:rsidR="00E5651C" w:rsidRDefault="00E5651C">
            <w:pPr>
              <w:pStyle w:val="TableHead"/>
              <w:spacing w:before="120" w:after="120"/>
              <w:jc w:val="center"/>
              <w:rPr>
                <w:rFonts w:cs="Arial"/>
                <w:b w:val="0"/>
                <w:bCs/>
                <w:noProof/>
              </w:rPr>
            </w:pPr>
            <w:r>
              <w:rPr>
                <w:rFonts w:cs="Arial"/>
                <w:noProof/>
              </w:rPr>
              <w:t>Benchmark (GST excl.)</w:t>
            </w:r>
          </w:p>
        </w:tc>
        <w:tc>
          <w:tcPr>
            <w:tcW w:w="1701" w:type="dxa"/>
            <w:tcBorders>
              <w:top w:val="single" w:sz="8" w:space="0" w:color="auto"/>
              <w:left w:val="single" w:sz="8" w:space="0" w:color="auto"/>
              <w:bottom w:val="single" w:sz="4" w:space="0" w:color="auto"/>
              <w:right w:val="single" w:sz="8" w:space="0" w:color="auto"/>
            </w:tcBorders>
          </w:tcPr>
          <w:p w14:paraId="128A0503" w14:textId="77777777" w:rsidR="00E5651C" w:rsidRDefault="00E5651C">
            <w:pPr>
              <w:pStyle w:val="TableHead"/>
              <w:spacing w:before="120" w:after="120"/>
              <w:jc w:val="center"/>
              <w:rPr>
                <w:rFonts w:cs="Arial"/>
                <w:noProof/>
              </w:rPr>
            </w:pPr>
            <w:r>
              <w:rPr>
                <w:rFonts w:cs="Arial"/>
                <w:noProof/>
              </w:rPr>
              <w:t>Discount</w:t>
            </w:r>
          </w:p>
        </w:tc>
      </w:tr>
      <w:tr w:rsidR="00E5651C" w14:paraId="518035D2" w14:textId="77777777">
        <w:tblPrEx>
          <w:tblCellMar>
            <w:top w:w="0" w:type="dxa"/>
            <w:bottom w:w="0" w:type="dxa"/>
          </w:tblCellMar>
        </w:tblPrEx>
        <w:trPr>
          <w:cantSplit/>
        </w:trPr>
        <w:tc>
          <w:tcPr>
            <w:tcW w:w="3969" w:type="dxa"/>
            <w:tcBorders>
              <w:top w:val="single" w:sz="8" w:space="0" w:color="auto"/>
              <w:left w:val="single" w:sz="8" w:space="0" w:color="auto"/>
              <w:bottom w:val="single" w:sz="8" w:space="0" w:color="auto"/>
              <w:right w:val="single" w:sz="8" w:space="0" w:color="auto"/>
            </w:tcBorders>
          </w:tcPr>
          <w:p w14:paraId="132EB53F" w14:textId="77777777" w:rsidR="00E5651C" w:rsidRDefault="00E5651C">
            <w:pPr>
              <w:spacing w:before="120" w:after="120"/>
              <w:ind w:right="144"/>
              <w:jc w:val="center"/>
              <w:rPr>
                <w:rFonts w:ascii="Arial" w:hAnsi="Arial" w:cs="Arial"/>
                <w:sz w:val="18"/>
              </w:rPr>
            </w:pPr>
            <w:r>
              <w:rPr>
                <w:rFonts w:ascii="Arial" w:hAnsi="Arial" w:cs="Arial"/>
                <w:sz w:val="18"/>
              </w:rPr>
              <w:t>0 to less than $750,000</w:t>
            </w:r>
          </w:p>
        </w:tc>
        <w:tc>
          <w:tcPr>
            <w:tcW w:w="1701" w:type="dxa"/>
            <w:tcBorders>
              <w:top w:val="single" w:sz="4" w:space="0" w:color="auto"/>
              <w:left w:val="single" w:sz="8" w:space="0" w:color="auto"/>
              <w:bottom w:val="single" w:sz="4" w:space="0" w:color="auto"/>
              <w:right w:val="single" w:sz="8" w:space="0" w:color="auto"/>
            </w:tcBorders>
          </w:tcPr>
          <w:p w14:paraId="01EBE36B" w14:textId="77777777" w:rsidR="00E5651C" w:rsidRDefault="00E5651C">
            <w:pPr>
              <w:spacing w:before="120" w:after="120"/>
              <w:ind w:right="144"/>
              <w:jc w:val="center"/>
              <w:rPr>
                <w:rFonts w:ascii="Arial" w:hAnsi="Arial" w:cs="Arial"/>
                <w:b/>
                <w:bCs/>
                <w:sz w:val="18"/>
              </w:rPr>
            </w:pPr>
            <w:r>
              <w:rPr>
                <w:rFonts w:ascii="Arial" w:hAnsi="Arial" w:cs="Arial"/>
                <w:b/>
                <w:bCs/>
                <w:sz w:val="18"/>
              </w:rPr>
              <w:t>5.0%</w:t>
            </w:r>
          </w:p>
        </w:tc>
      </w:tr>
      <w:tr w:rsidR="00E5651C" w14:paraId="046F9355" w14:textId="77777777">
        <w:tblPrEx>
          <w:tblCellMar>
            <w:top w:w="0" w:type="dxa"/>
            <w:bottom w:w="0" w:type="dxa"/>
          </w:tblCellMar>
        </w:tblPrEx>
        <w:trPr>
          <w:cantSplit/>
        </w:trPr>
        <w:tc>
          <w:tcPr>
            <w:tcW w:w="3969" w:type="dxa"/>
            <w:tcBorders>
              <w:top w:val="single" w:sz="8" w:space="0" w:color="auto"/>
              <w:left w:val="single" w:sz="8" w:space="0" w:color="auto"/>
              <w:bottom w:val="single" w:sz="8" w:space="0" w:color="auto"/>
              <w:right w:val="single" w:sz="8" w:space="0" w:color="auto"/>
            </w:tcBorders>
          </w:tcPr>
          <w:p w14:paraId="3E9D8ABD" w14:textId="77777777" w:rsidR="00E5651C" w:rsidRDefault="00E5651C">
            <w:pPr>
              <w:spacing w:before="120" w:after="120"/>
              <w:ind w:right="144"/>
              <w:jc w:val="center"/>
              <w:rPr>
                <w:rFonts w:ascii="Arial" w:hAnsi="Arial" w:cs="Arial"/>
                <w:sz w:val="18"/>
              </w:rPr>
            </w:pPr>
            <w:r>
              <w:rPr>
                <w:rFonts w:ascii="Arial" w:hAnsi="Arial" w:cs="Arial"/>
                <w:sz w:val="18"/>
              </w:rPr>
              <w:t>$750,000 to less than $1,000,000</w:t>
            </w:r>
          </w:p>
        </w:tc>
        <w:tc>
          <w:tcPr>
            <w:tcW w:w="1701" w:type="dxa"/>
            <w:tcBorders>
              <w:top w:val="single" w:sz="4" w:space="0" w:color="auto"/>
              <w:left w:val="single" w:sz="8" w:space="0" w:color="auto"/>
              <w:bottom w:val="single" w:sz="4" w:space="0" w:color="auto"/>
              <w:right w:val="single" w:sz="8" w:space="0" w:color="auto"/>
            </w:tcBorders>
          </w:tcPr>
          <w:p w14:paraId="3CE05026" w14:textId="77777777" w:rsidR="00E5651C" w:rsidRDefault="00E5651C">
            <w:pPr>
              <w:spacing w:before="120" w:after="120"/>
              <w:ind w:right="144"/>
              <w:jc w:val="center"/>
              <w:rPr>
                <w:rFonts w:ascii="Arial" w:hAnsi="Arial" w:cs="Arial"/>
                <w:b/>
                <w:bCs/>
                <w:sz w:val="18"/>
              </w:rPr>
            </w:pPr>
            <w:r>
              <w:rPr>
                <w:rFonts w:ascii="Arial" w:hAnsi="Arial" w:cs="Arial"/>
                <w:b/>
                <w:bCs/>
                <w:sz w:val="18"/>
              </w:rPr>
              <w:t>7.0%</w:t>
            </w:r>
          </w:p>
        </w:tc>
      </w:tr>
      <w:tr w:rsidR="00E5651C" w14:paraId="34DC6751" w14:textId="77777777">
        <w:tblPrEx>
          <w:tblCellMar>
            <w:top w:w="0" w:type="dxa"/>
            <w:bottom w:w="0" w:type="dxa"/>
          </w:tblCellMar>
        </w:tblPrEx>
        <w:trPr>
          <w:cantSplit/>
        </w:trPr>
        <w:tc>
          <w:tcPr>
            <w:tcW w:w="3969" w:type="dxa"/>
            <w:tcBorders>
              <w:top w:val="single" w:sz="8" w:space="0" w:color="auto"/>
              <w:left w:val="single" w:sz="8" w:space="0" w:color="auto"/>
              <w:bottom w:val="single" w:sz="8" w:space="0" w:color="auto"/>
              <w:right w:val="single" w:sz="8" w:space="0" w:color="auto"/>
            </w:tcBorders>
          </w:tcPr>
          <w:p w14:paraId="4773C8F8" w14:textId="77777777" w:rsidR="00E5651C" w:rsidRDefault="00E5651C">
            <w:pPr>
              <w:spacing w:before="120" w:after="120"/>
              <w:ind w:right="144"/>
              <w:jc w:val="center"/>
              <w:rPr>
                <w:rFonts w:ascii="Arial" w:hAnsi="Arial" w:cs="Arial"/>
                <w:sz w:val="18"/>
              </w:rPr>
            </w:pPr>
            <w:r>
              <w:rPr>
                <w:rFonts w:ascii="Arial" w:hAnsi="Arial" w:cs="Arial"/>
                <w:sz w:val="18"/>
              </w:rPr>
              <w:t>$1,000,000 to less than $2,000,000</w:t>
            </w:r>
          </w:p>
        </w:tc>
        <w:tc>
          <w:tcPr>
            <w:tcW w:w="1701" w:type="dxa"/>
            <w:tcBorders>
              <w:top w:val="single" w:sz="4" w:space="0" w:color="auto"/>
              <w:left w:val="single" w:sz="8" w:space="0" w:color="auto"/>
              <w:bottom w:val="single" w:sz="4" w:space="0" w:color="auto"/>
              <w:right w:val="single" w:sz="8" w:space="0" w:color="auto"/>
            </w:tcBorders>
          </w:tcPr>
          <w:p w14:paraId="3FF1A890" w14:textId="77777777" w:rsidR="00E5651C" w:rsidRDefault="00E5651C">
            <w:pPr>
              <w:spacing w:before="120" w:after="120"/>
              <w:ind w:right="144"/>
              <w:jc w:val="center"/>
              <w:rPr>
                <w:rFonts w:ascii="Arial" w:hAnsi="Arial" w:cs="Arial"/>
                <w:b/>
                <w:bCs/>
                <w:sz w:val="18"/>
              </w:rPr>
            </w:pPr>
            <w:r>
              <w:rPr>
                <w:rFonts w:ascii="Arial" w:hAnsi="Arial" w:cs="Arial"/>
                <w:b/>
                <w:bCs/>
                <w:sz w:val="18"/>
              </w:rPr>
              <w:t>9.0%</w:t>
            </w:r>
          </w:p>
        </w:tc>
      </w:tr>
      <w:tr w:rsidR="00E5651C" w14:paraId="43E8FA37" w14:textId="77777777">
        <w:tblPrEx>
          <w:tblCellMar>
            <w:top w:w="0" w:type="dxa"/>
            <w:bottom w:w="0" w:type="dxa"/>
          </w:tblCellMar>
        </w:tblPrEx>
        <w:trPr>
          <w:cantSplit/>
        </w:trPr>
        <w:tc>
          <w:tcPr>
            <w:tcW w:w="3969" w:type="dxa"/>
            <w:tcBorders>
              <w:top w:val="single" w:sz="8" w:space="0" w:color="auto"/>
              <w:left w:val="single" w:sz="8" w:space="0" w:color="auto"/>
              <w:bottom w:val="single" w:sz="8" w:space="0" w:color="auto"/>
              <w:right w:val="single" w:sz="8" w:space="0" w:color="auto"/>
            </w:tcBorders>
          </w:tcPr>
          <w:p w14:paraId="06746173" w14:textId="77777777" w:rsidR="00E5651C" w:rsidRDefault="00E5651C">
            <w:pPr>
              <w:spacing w:before="120" w:after="120"/>
              <w:ind w:right="144"/>
              <w:jc w:val="center"/>
              <w:rPr>
                <w:rFonts w:ascii="Arial" w:hAnsi="Arial" w:cs="Arial"/>
                <w:sz w:val="18"/>
              </w:rPr>
            </w:pPr>
            <w:r>
              <w:rPr>
                <w:rFonts w:ascii="Arial" w:hAnsi="Arial" w:cs="Arial"/>
                <w:sz w:val="18"/>
              </w:rPr>
              <w:t>$2,000,000 and over</w:t>
            </w:r>
          </w:p>
        </w:tc>
        <w:tc>
          <w:tcPr>
            <w:tcW w:w="1701" w:type="dxa"/>
            <w:tcBorders>
              <w:top w:val="single" w:sz="4" w:space="0" w:color="auto"/>
              <w:left w:val="single" w:sz="8" w:space="0" w:color="auto"/>
              <w:bottom w:val="single" w:sz="8" w:space="0" w:color="auto"/>
              <w:right w:val="single" w:sz="8" w:space="0" w:color="auto"/>
            </w:tcBorders>
          </w:tcPr>
          <w:p w14:paraId="39CB3625" w14:textId="77777777" w:rsidR="00E5651C" w:rsidRDefault="00E5651C">
            <w:pPr>
              <w:spacing w:before="120" w:after="120"/>
              <w:ind w:right="144"/>
              <w:jc w:val="center"/>
              <w:rPr>
                <w:rFonts w:ascii="Arial" w:hAnsi="Arial" w:cs="Arial"/>
                <w:b/>
                <w:bCs/>
                <w:sz w:val="18"/>
              </w:rPr>
            </w:pPr>
            <w:r>
              <w:rPr>
                <w:rFonts w:ascii="Arial" w:hAnsi="Arial" w:cs="Arial"/>
                <w:b/>
                <w:bCs/>
                <w:sz w:val="18"/>
              </w:rPr>
              <w:t>11.0%</w:t>
            </w:r>
          </w:p>
        </w:tc>
      </w:tr>
    </w:tbl>
    <w:p w14:paraId="5BD3E27A" w14:textId="77777777" w:rsidR="00E5651C" w:rsidRDefault="00E5651C">
      <w:pPr>
        <w:pStyle w:val="TableData"/>
      </w:pPr>
    </w:p>
    <w:p w14:paraId="6AA43BA2" w14:textId="77777777" w:rsidR="00E5651C" w:rsidRDefault="00E5651C">
      <w:pPr>
        <w:pStyle w:val="Heading2"/>
        <w:rPr>
          <w:noProof/>
        </w:rPr>
      </w:pPr>
      <w:r>
        <w:t xml:space="preserve">A further </w:t>
      </w:r>
      <w:r>
        <w:rPr>
          <w:b/>
          <w:bCs w:val="0"/>
        </w:rPr>
        <w:t>help desk discount</w:t>
      </w:r>
      <w:r>
        <w:t xml:space="preserve"> of 1% applies if you operate a centralised help desk facility and </w:t>
      </w:r>
      <w:r>
        <w:rPr>
          <w:noProof/>
        </w:rPr>
        <w:t xml:space="preserve">ensure your users direct all reports of service difficulties to your help desk and not to us. </w:t>
      </w:r>
      <w:r>
        <w:t xml:space="preserve"> To be eligible for this discount, your help desk must </w:t>
      </w:r>
      <w:r>
        <w:rPr>
          <w:noProof/>
        </w:rPr>
        <w:t>provide initial diagnostics, screening of end user service difficulties and a central point of contact for reporting of all faults to us concerning all your eligible services.</w:t>
      </w:r>
    </w:p>
    <w:p w14:paraId="3990A379" w14:textId="77777777" w:rsidR="00E5651C" w:rsidRDefault="00E5651C">
      <w:pPr>
        <w:pStyle w:val="Heading1"/>
      </w:pPr>
      <w:bookmarkStart w:id="72" w:name="_Toc66857446"/>
      <w:bookmarkStart w:id="73" w:name="_Toc477177688"/>
      <w:r>
        <w:t>Reconciling the discounts paid to you</w:t>
      </w:r>
      <w:bookmarkEnd w:id="72"/>
      <w:bookmarkEnd w:id="73"/>
    </w:p>
    <w:p w14:paraId="7CDC28D4" w14:textId="77777777" w:rsidR="00E5651C" w:rsidRDefault="00E5651C">
      <w:pPr>
        <w:pStyle w:val="Indent1"/>
      </w:pPr>
      <w:bookmarkStart w:id="74" w:name="_Toc477177689"/>
      <w:r>
        <w:t>When we reconcile your discounts</w:t>
      </w:r>
      <w:bookmarkEnd w:id="74"/>
    </w:p>
    <w:p w14:paraId="25173EFC" w14:textId="77777777" w:rsidR="00E5651C" w:rsidRDefault="00E5651C">
      <w:pPr>
        <w:pStyle w:val="Heading2"/>
      </w:pPr>
      <w:r>
        <w:t>We reconcile your discounts at the end of each 12-month period and when you cancel Netplan.</w:t>
      </w:r>
    </w:p>
    <w:p w14:paraId="07D807AB" w14:textId="77777777" w:rsidR="00E5651C" w:rsidRDefault="00E5651C">
      <w:pPr>
        <w:pStyle w:val="Indent1"/>
      </w:pPr>
      <w:bookmarkStart w:id="75" w:name="_Toc477177690"/>
      <w:r>
        <w:t>Reconciling your discounts</w:t>
      </w:r>
      <w:bookmarkEnd w:id="75"/>
    </w:p>
    <w:p w14:paraId="05AACE7E" w14:textId="77777777" w:rsidR="00E5651C" w:rsidRDefault="00E5651C">
      <w:pPr>
        <w:pStyle w:val="Heading2"/>
      </w:pPr>
      <w:r>
        <w:t>In reconciling your discounts, we use your actual benchmark for the last 12-month period (or shorter period if you cancelled Netplan).  Your actual benchmark is either:</w:t>
      </w:r>
    </w:p>
    <w:p w14:paraId="04C06110" w14:textId="77777777" w:rsidR="00E5651C" w:rsidRDefault="00E5651C">
      <w:pPr>
        <w:pStyle w:val="Heading3"/>
      </w:pPr>
      <w:r>
        <w:t>your benchmark that was current during that period; or</w:t>
      </w:r>
    </w:p>
    <w:p w14:paraId="63585982" w14:textId="77777777" w:rsidR="00E5651C" w:rsidRDefault="00E5651C">
      <w:pPr>
        <w:pStyle w:val="Heading3"/>
      </w:pPr>
      <w:r>
        <w:t xml:space="preserve">if you changed your benchmark during that period, the average of your </w:t>
      </w:r>
      <w:r>
        <w:lastRenderedPageBreak/>
        <w:t>benchmarks over the period (weighted by the number of days in the billing periods in which each benchmark applied).</w:t>
      </w:r>
    </w:p>
    <w:p w14:paraId="4F6EC0FE" w14:textId="77777777" w:rsidR="00E5651C" w:rsidRDefault="00E5651C">
      <w:pPr>
        <w:pStyle w:val="Heading3"/>
        <w:numPr>
          <w:ilvl w:val="0"/>
          <w:numId w:val="0"/>
        </w:numPr>
        <w:ind w:left="737"/>
      </w:pPr>
      <w:r>
        <w:t>If you have cancelled Netplan we pro rata the figure on a daily basis to the date that you cancelled it.</w:t>
      </w:r>
    </w:p>
    <w:p w14:paraId="66EEB846" w14:textId="77777777" w:rsidR="00E5651C" w:rsidRDefault="00E5651C">
      <w:pPr>
        <w:pStyle w:val="Heading2"/>
      </w:pPr>
      <w:r>
        <w:t>If your expenditure</w:t>
      </w:r>
      <w:r>
        <w:rPr>
          <w:i/>
        </w:rPr>
        <w:t xml:space="preserve"> </w:t>
      </w:r>
      <w:r>
        <w:rPr>
          <w:iCs/>
        </w:rPr>
        <w:t xml:space="preserve">on your eligible services </w:t>
      </w:r>
      <w:r>
        <w:t>for the period is equal to or exceeds your actual benchmark for the period, there is no change in the discount payable to you.</w:t>
      </w:r>
    </w:p>
    <w:p w14:paraId="6F2033C3" w14:textId="77777777" w:rsidR="00E5651C" w:rsidRDefault="00E5651C">
      <w:pPr>
        <w:pStyle w:val="Heading2"/>
      </w:pPr>
      <w:r>
        <w:t>If your expenditure</w:t>
      </w:r>
      <w:r>
        <w:rPr>
          <w:i/>
        </w:rPr>
        <w:t xml:space="preserve"> </w:t>
      </w:r>
      <w:r>
        <w:rPr>
          <w:iCs/>
        </w:rPr>
        <w:t>on your eligible services</w:t>
      </w:r>
      <w:r>
        <w:t xml:space="preserve"> for the period is less than your actual benchmark for the period, we recalculate your discount.</w:t>
      </w:r>
    </w:p>
    <w:p w14:paraId="416EB3FB" w14:textId="77777777" w:rsidR="00E5651C" w:rsidRDefault="00E5651C">
      <w:pPr>
        <w:pStyle w:val="Heading2"/>
      </w:pPr>
      <w:r>
        <w:t>Your discount for the period will be recalculated as follows:</w:t>
      </w:r>
    </w:p>
    <w:p w14:paraId="4EFB6CA3" w14:textId="77777777" w:rsidR="00E5651C" w:rsidRDefault="00E5651C">
      <w:pPr>
        <w:pStyle w:val="Heading3"/>
      </w:pPr>
      <w:r>
        <w:t>You will be entitled to discounts, recalculated using the discount levels that would have applied if your benchmark for the period had been equal to the your expenditure</w:t>
      </w:r>
      <w:r>
        <w:rPr>
          <w:i/>
        </w:rPr>
        <w:t xml:space="preserve"> </w:t>
      </w:r>
      <w:r>
        <w:rPr>
          <w:iCs/>
        </w:rPr>
        <w:t xml:space="preserve">on your eligible services </w:t>
      </w:r>
      <w:r>
        <w:t>for the period.</w:t>
      </w:r>
    </w:p>
    <w:p w14:paraId="1E839BDC" w14:textId="77777777" w:rsidR="00E5651C" w:rsidRDefault="00E5651C">
      <w:pPr>
        <w:pStyle w:val="Heading3"/>
      </w:pPr>
      <w:r>
        <w:t>We minus an amount from this figure if your expenditure on your eligible services is less than your actual benchmark for the period because of factors other than those that allow you to decrease your benchmark.  We minus an amount equal to 1% multiplied by your expenditure on your eligible services for the period.</w:t>
      </w:r>
    </w:p>
    <w:p w14:paraId="39FEF6F4" w14:textId="77777777" w:rsidR="00E5651C" w:rsidRDefault="00E5651C">
      <w:pPr>
        <w:pStyle w:val="Heading2"/>
      </w:pPr>
      <w:r>
        <w:t>If the recalculated discount is less than the sum of the discounts that were originally payable to you over the period, you must pay us the difference between these two amounts within 60 days of the end of the relevant 12-month period.</w:t>
      </w:r>
    </w:p>
    <w:sectPr w:rsidR="00E5651C">
      <w:headerReference w:type="default" r:id="rId13"/>
      <w:footerReference w:type="even" r:id="rId14"/>
      <w:footerReference w:type="default" r:id="rId15"/>
      <w:footerReference w:type="first" r:id="rId16"/>
      <w:pgSz w:w="11907" w:h="16840"/>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EC84B" w14:textId="77777777" w:rsidR="00565BC8" w:rsidRDefault="00565BC8" w:rsidP="00E5651C">
      <w:pPr>
        <w:pStyle w:val="TableData"/>
        <w:pPrChange w:id="2" w:author="Anne Cain" w:date="2005-11-04T17:18:00Z">
          <w:pPr/>
        </w:pPrChange>
      </w:pPr>
      <w:r>
        <w:separator/>
      </w:r>
    </w:p>
  </w:endnote>
  <w:endnote w:type="continuationSeparator" w:id="0">
    <w:p w14:paraId="0B2B84C0" w14:textId="77777777" w:rsidR="00565BC8" w:rsidRDefault="00565BC8" w:rsidP="00E5651C">
      <w:pPr>
        <w:pStyle w:val="TableData"/>
        <w:pPrChange w:id="3" w:author="Anne Cain" w:date="2005-11-04T17:18: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B7243" w14:textId="77777777" w:rsidR="00E5651C" w:rsidRDefault="00E56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5BFB68DA" w14:textId="77777777" w:rsidR="00E5651C" w:rsidRDefault="00E565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D05F0" w14:textId="77777777" w:rsidR="00E5651C" w:rsidRDefault="00E5651C">
    <w:pPr>
      <w:spacing w:after="240"/>
    </w:pPr>
    <w:r>
      <w:rPr>
        <w:rFonts w:ascii="Arial" w:hAnsi="Arial"/>
        <w:bCs/>
        <w:noProof/>
        <w:sz w:val="20"/>
        <w:lang w:val="en-US"/>
      </w:rPr>
      <w:pict w14:anchorId="20C4D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500pt;margin-top:768.3pt;width:66.2pt;height:66.2pt;z-index:4;mso-wrap-distance-top:28.35pt;mso-position-horizontal-relative:page;mso-position-vertical-relative:page">
          <v:imagedata r:id="rId1" o:title="telstra-wordmk"/>
          <w10:wrap type="topAndBottom" side="left" anchorx="page" anchory="page"/>
        </v:shape>
      </w:pict>
    </w:r>
    <w:r>
      <w:rPr>
        <w:rFonts w:ascii="Arial" w:hAnsi="Arial"/>
        <w:bCs/>
        <w:noProof/>
        <w:sz w:val="20"/>
        <w:lang w:val="en-US"/>
      </w:rPr>
      <w:t>The Netplan section</w:t>
    </w:r>
    <w:r w:rsidR="008805AF">
      <w:rPr>
        <w:rFonts w:ascii="Arial" w:hAnsi="Arial"/>
        <w:bCs/>
        <w:sz w:val="21"/>
      </w:rPr>
      <w:t xml:space="preserve"> was last changed on 4 November 2005</w:t>
    </w:r>
    <w:r>
      <w:rPr>
        <w:rFonts w:ascii="Arial" w:hAnsi="Arial"/>
        <w:bCs/>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D2E1" w14:textId="77777777" w:rsidR="00A0729A" w:rsidRDefault="00A072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92301" w14:textId="77777777" w:rsidR="00A0729A" w:rsidRDefault="00A072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5B931" w14:textId="77777777" w:rsidR="00A0729A" w:rsidRDefault="00A072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2CEA3" w14:textId="77777777" w:rsidR="00A0729A" w:rsidRDefault="00A0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C230" w14:textId="77777777" w:rsidR="00565BC8" w:rsidRDefault="00565BC8" w:rsidP="00E5651C">
      <w:pPr>
        <w:pStyle w:val="TableData"/>
        <w:pPrChange w:id="0" w:author="Anne Cain" w:date="2005-11-04T17:18:00Z">
          <w:pPr/>
        </w:pPrChange>
      </w:pPr>
      <w:r>
        <w:separator/>
      </w:r>
    </w:p>
  </w:footnote>
  <w:footnote w:type="continuationSeparator" w:id="0">
    <w:p w14:paraId="3BC2344E" w14:textId="77777777" w:rsidR="00565BC8" w:rsidRDefault="00565BC8" w:rsidP="00E5651C">
      <w:pPr>
        <w:pStyle w:val="TableData"/>
        <w:pPrChange w:id="1" w:author="Anne Cain" w:date="2005-11-04T17:18: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D264" w14:textId="77777777" w:rsidR="00E5651C" w:rsidRDefault="00E5651C">
    <w:pPr>
      <w:pStyle w:val="Header"/>
      <w:tabs>
        <w:tab w:val="right" w:pos="8505"/>
      </w:tabs>
      <w:rPr>
        <w:rStyle w:val="PageNumber"/>
        <w:rFonts w:ascii="Courier New" w:hAnsi="Courier New"/>
        <w:color w:val="FF0000"/>
        <w:sz w:val="4"/>
      </w:rPr>
    </w:pPr>
  </w:p>
  <w:p w14:paraId="6D60197F" w14:textId="77777777" w:rsidR="00E5651C" w:rsidRDefault="00E5651C">
    <w:pPr>
      <w:pStyle w:val="Header"/>
      <w:tabs>
        <w:tab w:val="right" w:pos="8505"/>
      </w:tabs>
      <w:rPr>
        <w:rStyle w:val="PageNumber"/>
      </w:rPr>
    </w:pPr>
    <w:r>
      <w:rPr>
        <w:rFonts w:ascii="Times New Roman" w:hAnsi="Times New Roman"/>
        <w:noProof/>
      </w:rPr>
      <w:pict w14:anchorId="1E6B9877">
        <v:rect id="_x0000_s1026" style="position:absolute;margin-left:196.7pt;margin-top:-106.1pt;width:223.25pt;height:43.25pt;z-index:2" o:allowincell="f" filled="f" stroked="f">
          <v:textbox style="mso-next-textbox:#_x0000_s1026" inset="1pt,1pt,1pt,1pt">
            <w:txbxContent>
              <w:p w14:paraId="33AF196C" w14:textId="77777777" w:rsidR="00E5651C" w:rsidRDefault="00E5651C">
                <w:pPr>
                  <w:jc w:val="right"/>
                  <w:rPr>
                    <w:rFonts w:ascii="Arial" w:hAnsi="Arial"/>
                    <w:sz w:val="18"/>
                  </w:rPr>
                </w:pPr>
                <w:r>
                  <w:rPr>
                    <w:rFonts w:ascii="Arial" w:hAnsi="Arial"/>
                    <w:sz w:val="18"/>
                  </w:rPr>
                  <w:t>DRAFT [NO.]: [Date]</w:t>
                </w:r>
              </w:p>
              <w:p w14:paraId="5F6F18FA" w14:textId="77777777" w:rsidR="00E5651C" w:rsidRDefault="00E5651C">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AC1082">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AC1082">
      <w:rPr>
        <w:rStyle w:val="PageNumber"/>
        <w:b w:val="0"/>
        <w:bCs/>
        <w:noProof/>
        <w:sz w:val="20"/>
      </w:rPr>
      <w:t>7</w:t>
    </w:r>
    <w:r>
      <w:rPr>
        <w:rStyle w:val="PageNumber"/>
        <w:b w:val="0"/>
        <w:bCs/>
        <w:sz w:val="20"/>
      </w:rPr>
      <w:fldChar w:fldCharType="end"/>
    </w:r>
  </w:p>
  <w:p w14:paraId="1ABF0ECE" w14:textId="77777777" w:rsidR="00E5651C" w:rsidRDefault="00E5651C">
    <w:pPr>
      <w:pStyle w:val="Headersub"/>
      <w:rPr>
        <w:rStyle w:val="PageNumber"/>
        <w:sz w:val="32"/>
        <w:szCs w:val="36"/>
      </w:rPr>
    </w:pPr>
    <w:r>
      <w:rPr>
        <w:rStyle w:val="PageNumber"/>
        <w:szCs w:val="36"/>
      </w:rPr>
      <w:t>Netplan Discounts Section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73D1" w14:textId="77777777" w:rsidR="00E5651C" w:rsidRDefault="00E5651C">
    <w:pPr>
      <w:pStyle w:val="Header"/>
      <w:pBdr>
        <w:bottom w:val="single" w:sz="8" w:space="1" w:color="auto"/>
      </w:pBdr>
      <w:tabs>
        <w:tab w:val="right" w:pos="8505"/>
      </w:tabs>
      <w:rPr>
        <w:rStyle w:val="PageNumber"/>
        <w:rFonts w:ascii="Courier New" w:hAnsi="Courier New"/>
        <w:color w:val="FF0000"/>
        <w:sz w:val="4"/>
        <w:szCs w:val="36"/>
      </w:rPr>
    </w:pPr>
    <w:r>
      <w:rPr>
        <w:rStyle w:val="PageNumber"/>
        <w:rFonts w:ascii="Courier New" w:hAnsi="Courier New"/>
        <w:noProof/>
        <w:color w:val="FF0000"/>
        <w:sz w:val="6"/>
        <w:szCs w:val="36"/>
        <w:lang w:val="en-US"/>
      </w:rPr>
      <w:pict w14:anchorId="39EA915B">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margin-left:83.65pt;margin-top:374.95pt;width:323.25pt;height:149.05pt;z-index:-2;mso-wrap-edited:f;mso-position-horizontal-relative:page;mso-position-vertical-relative:page" wrapcoords="20798 1737 17541 2279 16588 2605 16338 4993 15887 6513 15887 6947 16288 6947 11677 8575 11376 9118 10975 10094 2456 11288 351 11614 351 12157 -50 12265 -50 12591 401 13893 301 20840 100 20949 -50 21166 -50 21383 10775 21383 1503 20840 2857 19429 3308 19104 7467 17584 7618 17367 7568 16607 7267 15630 10224 15630 13030 14762 13130 13893 16839 12265 17340 12157 17340 11723 16889 10420 19696 10420 21600 9769 21600 8358 21049 6947 21099 5210 21600 3690 21600 3473 21049 1737 20798 1737" o:allowoverlap="f" fillcolor="yellow" stroked="f">
          <v:shadow color="#868686"/>
          <v:textpath style="font-family:&quot;Times New Roman&quot;;v-text-kern:t" trim="t" fitpath="t" string="D  r  a  f  t"/>
          <o:lock v:ext="edit" aspectratio="t"/>
          <w10:wrap anchorx="page" anchory="page"/>
          <w10:anchorlock/>
        </v:shape>
      </w:pict>
    </w:r>
  </w:p>
  <w:p w14:paraId="1886FFA8" w14:textId="77777777" w:rsidR="00E5651C" w:rsidRDefault="00E5651C">
    <w:pPr>
      <w:pStyle w:val="Header"/>
      <w:pBdr>
        <w:bottom w:val="single" w:sz="8" w:space="1" w:color="auto"/>
      </w:pBdr>
      <w:tabs>
        <w:tab w:val="right" w:pos="8505"/>
      </w:tabs>
      <w:rPr>
        <w:rStyle w:val="PageNumber"/>
        <w:szCs w:val="36"/>
      </w:rPr>
    </w:pPr>
    <w:r>
      <w:rPr>
        <w:rFonts w:ascii="Times New Roman" w:hAnsi="Times New Roman"/>
        <w:noProof/>
        <w:szCs w:val="36"/>
      </w:rPr>
      <w:pict w14:anchorId="76D710DE">
        <v:rect id="_x0000_s1025" style="position:absolute;margin-left:196.7pt;margin-top:-106.1pt;width:223.25pt;height:43.25pt;z-index:1" o:allowincell="f" filled="f" stroked="f">
          <v:textbox style="mso-next-textbox:#_x0000_s1025" inset="1pt,1pt,1pt,1pt">
            <w:txbxContent>
              <w:p w14:paraId="51C0103A" w14:textId="77777777" w:rsidR="00E5651C" w:rsidRDefault="00E5651C">
                <w:pPr>
                  <w:jc w:val="right"/>
                  <w:rPr>
                    <w:rFonts w:ascii="Arial" w:hAnsi="Arial"/>
                    <w:sz w:val="18"/>
                  </w:rPr>
                </w:pPr>
                <w:r>
                  <w:rPr>
                    <w:rFonts w:ascii="Arial" w:hAnsi="Arial"/>
                    <w:sz w:val="18"/>
                  </w:rPr>
                  <w:t>DRAFT [NO.]: [Date]</w:t>
                </w:r>
              </w:p>
              <w:p w14:paraId="503B5C2F" w14:textId="77777777" w:rsidR="00E5651C" w:rsidRDefault="00E5651C">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0E0A84A2" w14:textId="77777777" w:rsidR="00E5651C" w:rsidRDefault="00E5651C">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448F01F5" w14:textId="77777777" w:rsidR="00E5651C" w:rsidRDefault="00E5651C">
    <w:pPr>
      <w:pStyle w:val="Header"/>
      <w:pBdr>
        <w:bottom w:val="single" w:sz="8" w:space="1" w:color="auto"/>
      </w:pBdr>
      <w:tabs>
        <w:tab w:val="right" w:pos="8505"/>
      </w:tabs>
      <w:rPr>
        <w:rFonts w:ascii="Times New Roman" w:hAnsi="Times New Roman"/>
        <w:b w:val="0"/>
        <w:bCs/>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02F" w14:textId="77777777" w:rsidR="00E5651C" w:rsidRDefault="00E5651C">
    <w:pPr>
      <w:pStyle w:val="Header"/>
      <w:framePr w:w="1555" w:wrap="around" w:vAnchor="text" w:hAnchor="page" w:x="8902" w:y="1"/>
      <w:rPr>
        <w:rStyle w:val="PageNumber"/>
        <w:rFonts w:ascii="Courier New" w:hAnsi="Courier New"/>
        <w:b w:val="0"/>
        <w:bCs/>
        <w:color w:val="FF0000"/>
        <w:sz w:val="4"/>
      </w:rPr>
    </w:pPr>
  </w:p>
  <w:p w14:paraId="167F985E" w14:textId="77777777" w:rsidR="00E5651C" w:rsidRDefault="00E5651C">
    <w:pPr>
      <w:pStyle w:val="Header"/>
      <w:framePr w:w="1555" w:wrap="around" w:vAnchor="text" w:hAnchor="page" w:x="8902" w:y="1"/>
      <w:rPr>
        <w:rStyle w:val="PageNumber"/>
        <w:b w:val="0"/>
        <w:bCs/>
        <w:sz w:val="20"/>
      </w:rPr>
    </w:pPr>
    <w:r>
      <w:rPr>
        <w:rStyle w:val="PageNumber"/>
        <w:b w:val="0"/>
        <w:bCs/>
        <w:sz w:val="20"/>
      </w:rPr>
      <w:t xml:space="preserve">Page </w:t>
    </w:r>
    <w:r>
      <w:rPr>
        <w:rStyle w:val="PageNumber"/>
        <w:b w:val="0"/>
        <w:bCs/>
        <w:sz w:val="20"/>
      </w:rPr>
      <w:fldChar w:fldCharType="begin"/>
    </w:r>
    <w:r>
      <w:rPr>
        <w:rStyle w:val="PageNumber"/>
        <w:b w:val="0"/>
        <w:bCs/>
        <w:sz w:val="20"/>
      </w:rPr>
      <w:instrText xml:space="preserve">PAGE  </w:instrText>
    </w:r>
    <w:r>
      <w:rPr>
        <w:rStyle w:val="PageNumber"/>
        <w:b w:val="0"/>
        <w:bCs/>
        <w:sz w:val="20"/>
      </w:rPr>
      <w:fldChar w:fldCharType="separate"/>
    </w:r>
    <w:r w:rsidR="00AC1082">
      <w:rPr>
        <w:rStyle w:val="PageNumber"/>
        <w:b w:val="0"/>
        <w:bCs/>
        <w:noProof/>
        <w:sz w:val="20"/>
      </w:rPr>
      <w:t>7</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AC1082">
      <w:rPr>
        <w:rStyle w:val="PageNumber"/>
        <w:b w:val="0"/>
        <w:bCs/>
        <w:noProof/>
        <w:sz w:val="20"/>
      </w:rPr>
      <w:t>7</w:t>
    </w:r>
    <w:r>
      <w:rPr>
        <w:rStyle w:val="PageNumber"/>
        <w:b w:val="0"/>
        <w:bCs/>
        <w:sz w:val="20"/>
      </w:rPr>
      <w:fldChar w:fldCharType="end"/>
    </w:r>
  </w:p>
  <w:p w14:paraId="380517F4" w14:textId="77777777" w:rsidR="00E5651C" w:rsidRDefault="00E5651C">
    <w:pPr>
      <w:pStyle w:val="Header"/>
      <w:rPr>
        <w:rFonts w:cs="Arial"/>
      </w:rPr>
    </w:pPr>
    <w:r>
      <w:rPr>
        <w:rFonts w:cs="Arial"/>
      </w:rPr>
      <w:t>Our Customer Terms</w:t>
    </w:r>
  </w:p>
  <w:p w14:paraId="3674CDC3" w14:textId="77777777" w:rsidR="00E5651C" w:rsidRDefault="00E5651C">
    <w:pPr>
      <w:pStyle w:val="Header"/>
      <w:spacing w:after="1240"/>
      <w:rPr>
        <w:rFonts w:cs="Arial"/>
        <w:b w:val="0"/>
        <w:bCs/>
      </w:rPr>
    </w:pPr>
    <w:r>
      <w:rPr>
        <w:b w:val="0"/>
        <w:bCs/>
      </w:rPr>
      <w:t>Netplan Discounts</w:t>
    </w:r>
    <w:r>
      <w:rPr>
        <w:rFonts w:cs="Arial"/>
        <w:b w:val="0"/>
        <w:bCs/>
      </w:rPr>
      <w:t xml:space="preserve">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39D6"/>
    <w:multiLevelType w:val="hybridMultilevel"/>
    <w:tmpl w:val="0EB490CA"/>
    <w:lvl w:ilvl="0" w:tplc="8CA28A7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2B55FC"/>
    <w:multiLevelType w:val="multilevel"/>
    <w:tmpl w:val="89F4C42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3"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1806511311">
    <w:abstractNumId w:val="3"/>
  </w:num>
  <w:num w:numId="2" w16cid:durableId="1079055764">
    <w:abstractNumId w:val="2"/>
  </w:num>
  <w:num w:numId="3" w16cid:durableId="83888127">
    <w:abstractNumId w:val="1"/>
  </w:num>
  <w:num w:numId="4" w16cid:durableId="165421483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6708645"/>
    <w:docVar w:name="FirstTime" w:val="No"/>
    <w:docVar w:name="M_BRAND" w:val="YES"/>
  </w:docVars>
  <w:rsids>
    <w:rsidRoot w:val="008805AF"/>
    <w:rsid w:val="00240233"/>
    <w:rsid w:val="003F45CA"/>
    <w:rsid w:val="004A7756"/>
    <w:rsid w:val="004F5984"/>
    <w:rsid w:val="00565BC8"/>
    <w:rsid w:val="007719A7"/>
    <w:rsid w:val="007C3B74"/>
    <w:rsid w:val="008558DB"/>
    <w:rsid w:val="008805AF"/>
    <w:rsid w:val="00A0729A"/>
    <w:rsid w:val="00AC1082"/>
    <w:rsid w:val="00B20AA6"/>
    <w:rsid w:val="00BF49D9"/>
    <w:rsid w:val="00D45AB2"/>
    <w:rsid w:val="00E5651C"/>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B9332"/>
  <w15:chartTrackingRefBased/>
  <w15:docId w15:val="{6202D360-1F44-4AE7-BA24-4CAC291D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pPr>
      <w:numPr>
        <w:ilvl w:val="3"/>
        <w:numId w:val="3"/>
      </w:numPr>
      <w:spacing w:after="240"/>
      <w:outlineLvl w:val="3"/>
    </w:pPr>
  </w:style>
  <w:style w:type="paragraph" w:styleId="Heading5">
    <w:name w:val="heading 5"/>
    <w:aliases w:val="Block Label,H5,Sub4Para,l5,Level 5,Para5,h5,5"/>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768"/>
      </w:tabs>
      <w:ind w:left="1701" w:right="1701"/>
    </w:pPr>
    <w:rPr>
      <w:rFonts w:ascii="Arial" w:hAnsi="Arial"/>
      <w:sz w:val="18"/>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ind w:left="737"/>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keepNext/>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Indent0"/>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30">
    <w:name w:val="Indent3"/>
    <w:basedOn w:val="Normal"/>
    <w:next w:val="Normal"/>
    <w:pPr>
      <w:spacing w:before="120" w:after="120"/>
      <w:ind w:left="2948" w:hanging="737"/>
    </w:pPr>
    <w:rPr>
      <w:sz w:val="20"/>
      <w:lang w:eastAsia="en-GB" w:bidi="he-IL"/>
    </w:rPr>
  </w:style>
  <w:style w:type="paragraph" w:styleId="BodyTextIndent">
    <w:name w:val="Body Text Indent"/>
    <w:basedOn w:val="Normal"/>
    <w:pPr>
      <w:spacing w:after="120"/>
      <w:ind w:left="283"/>
    </w:pPr>
  </w:style>
  <w:style w:type="paragraph" w:styleId="BodyTextIndent3">
    <w:name w:val="Body Text Indent 3"/>
    <w:basedOn w:val="Normal"/>
    <w:pPr>
      <w:spacing w:after="120"/>
      <w:ind w:left="283"/>
    </w:pPr>
    <w:rPr>
      <w:sz w:val="16"/>
      <w:szCs w:val="16"/>
    </w:rPr>
  </w:style>
  <w:style w:type="paragraph" w:customStyle="1" w:styleId="S">
    <w:name w:val="S"/>
    <w:basedOn w:val="Normal"/>
    <w:pPr>
      <w:spacing w:before="120" w:after="120"/>
    </w:pPr>
    <w:rPr>
      <w:sz w:val="20"/>
      <w:lang w:eastAsia="en-GB" w:bidi="he-IL"/>
    </w:rPr>
  </w:style>
  <w:style w:type="paragraph" w:customStyle="1" w:styleId="NormalIndent2">
    <w:name w:val="Normal Indent 2"/>
    <w:basedOn w:val="NormalIndent"/>
    <w:pPr>
      <w:spacing w:before="120" w:after="120"/>
      <w:ind w:left="1474"/>
    </w:pPr>
    <w:rPr>
      <w:lang w:eastAsia="en-GB" w:bidi="he-IL"/>
    </w:rPr>
  </w:style>
  <w:style w:type="paragraph" w:customStyle="1" w:styleId="NormalIndent3">
    <w:name w:val="Normal Indent 3"/>
    <w:basedOn w:val="Normal"/>
    <w:next w:val="Normal"/>
    <w:pPr>
      <w:spacing w:before="120" w:after="120"/>
      <w:ind w:left="2211"/>
    </w:pPr>
    <w:rPr>
      <w:sz w:val="20"/>
      <w:lang w:eastAsia="en-GB" w:bidi="he-IL"/>
    </w:rPr>
  </w:style>
  <w:style w:type="paragraph" w:styleId="CommentText">
    <w:name w:val="annotation text"/>
    <w:basedOn w:val="Normal"/>
    <w:semiHidden/>
    <w:pPr>
      <w:spacing w:before="120" w:after="120"/>
    </w:pPr>
    <w:rPr>
      <w:sz w:val="20"/>
      <w:lang w:eastAsia="en-GB" w:bidi="he-IL"/>
    </w:rPr>
  </w:style>
  <w:style w:type="paragraph" w:customStyle="1" w:styleId="Mick1">
    <w:name w:val="Mick 1"/>
    <w:basedOn w:val="Normal"/>
    <w:pPr>
      <w:spacing w:before="120" w:after="120"/>
    </w:pPr>
    <w:rPr>
      <w:b/>
      <w:bCs/>
      <w:sz w:val="20"/>
      <w:lang w:eastAsia="en-GB" w:bidi="he-IL"/>
    </w:rPr>
  </w:style>
  <w:style w:type="paragraph" w:customStyle="1" w:styleId="I3">
    <w:name w:val="I3"/>
    <w:pPr>
      <w:ind w:left="1077" w:hanging="340"/>
    </w:pPr>
    <w:rPr>
      <w:rFonts w:ascii="Times New Roman" w:hAnsi="Times New Roman"/>
      <w:sz w:val="22"/>
      <w:szCs w:val="22"/>
      <w:lang w:val="en-GB" w:eastAsia="en-GB" w:bidi="he-IL"/>
    </w:rPr>
  </w:style>
  <w:style w:type="paragraph" w:customStyle="1" w:styleId="Title1">
    <w:name w:val="Title1"/>
    <w:basedOn w:val="Normal"/>
    <w:pPr>
      <w:spacing w:before="120" w:after="120"/>
      <w:jc w:val="center"/>
    </w:pPr>
    <w:rPr>
      <w:rFonts w:ascii="Arial Narrow" w:hAnsi="Arial Narrow"/>
      <w:b/>
      <w:sz w:val="32"/>
    </w:rPr>
  </w:style>
  <w:style w:type="paragraph" w:customStyle="1" w:styleId="table">
    <w:name w:val="table"/>
    <w:basedOn w:val="Normal"/>
    <w:pPr>
      <w:tabs>
        <w:tab w:val="decimal" w:pos="720"/>
      </w:tabs>
    </w:pPr>
    <w:rPr>
      <w:lang w:val="en-GB"/>
    </w:rPr>
  </w:style>
  <w:style w:type="paragraph" w:styleId="Index1">
    <w:name w:val="index 1"/>
    <w:basedOn w:val="Normal"/>
    <w:next w:val="Normal"/>
    <w:semiHidden/>
    <w:pPr>
      <w:spacing w:before="120" w:after="120"/>
    </w:pPr>
    <w:rPr>
      <w:sz w:val="20"/>
    </w:rPr>
  </w:style>
  <w:style w:type="paragraph" w:customStyle="1" w:styleId="NormalIndent20">
    <w:name w:val="Normal Indent2"/>
    <w:basedOn w:val="Normal"/>
    <w:next w:val="NormalIndent"/>
    <w:pPr>
      <w:ind w:left="1474"/>
    </w:pPr>
  </w:style>
  <w:style w:type="paragraph" w:customStyle="1" w:styleId="textend">
    <w:name w:val="textend"/>
    <w:basedOn w:val="Normal"/>
    <w:pPr>
      <w:spacing w:after="300"/>
      <w:ind w:left="1418"/>
    </w:pPr>
    <w:rPr>
      <w:rFonts w:ascii="CG Times (W1)" w:hAnsi="CG Times (W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elstra.com.au/customerterms/bus_governmen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7</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Telstra - Our Customer Terms - Netplan Discounts Section</vt:lpstr>
    </vt:vector>
  </TitlesOfParts>
  <Manager/>
  <Company/>
  <LinksUpToDate>false</LinksUpToDate>
  <CharactersWithSpaces>11004</CharactersWithSpaces>
  <SharedDoc>false</SharedDoc>
  <HyperlinkBase/>
  <HLinks>
    <vt:vector size="144" baseType="variant">
      <vt:variant>
        <vt:i4>327786</vt:i4>
      </vt:variant>
      <vt:variant>
        <vt:i4>138</vt:i4>
      </vt:variant>
      <vt:variant>
        <vt:i4>0</vt:i4>
      </vt:variant>
      <vt:variant>
        <vt:i4>5</vt:i4>
      </vt:variant>
      <vt:variant>
        <vt:lpwstr>http://www.telstra.com.au/customerterms/bus_government.htm</vt:lpwstr>
      </vt:variant>
      <vt:variant>
        <vt:lpwstr/>
      </vt:variant>
      <vt:variant>
        <vt:i4>327786</vt:i4>
      </vt:variant>
      <vt:variant>
        <vt:i4>135</vt:i4>
      </vt:variant>
      <vt:variant>
        <vt:i4>0</vt:i4>
      </vt:variant>
      <vt:variant>
        <vt:i4>5</vt:i4>
      </vt:variant>
      <vt:variant>
        <vt:lpwstr>http://www.telstra.com.au/customerterms/bus_government.htm</vt:lpwstr>
      </vt:variant>
      <vt:variant>
        <vt:lpwstr/>
      </vt:variant>
      <vt:variant>
        <vt:i4>2031666</vt:i4>
      </vt:variant>
      <vt:variant>
        <vt:i4>128</vt:i4>
      </vt:variant>
      <vt:variant>
        <vt:i4>0</vt:i4>
      </vt:variant>
      <vt:variant>
        <vt:i4>5</vt:i4>
      </vt:variant>
      <vt:variant>
        <vt:lpwstr/>
      </vt:variant>
      <vt:variant>
        <vt:lpwstr>_Toc477177690</vt:lpwstr>
      </vt:variant>
      <vt:variant>
        <vt:i4>1966130</vt:i4>
      </vt:variant>
      <vt:variant>
        <vt:i4>122</vt:i4>
      </vt:variant>
      <vt:variant>
        <vt:i4>0</vt:i4>
      </vt:variant>
      <vt:variant>
        <vt:i4>5</vt:i4>
      </vt:variant>
      <vt:variant>
        <vt:lpwstr/>
      </vt:variant>
      <vt:variant>
        <vt:lpwstr>_Toc477177689</vt:lpwstr>
      </vt:variant>
      <vt:variant>
        <vt:i4>1966130</vt:i4>
      </vt:variant>
      <vt:variant>
        <vt:i4>116</vt:i4>
      </vt:variant>
      <vt:variant>
        <vt:i4>0</vt:i4>
      </vt:variant>
      <vt:variant>
        <vt:i4>5</vt:i4>
      </vt:variant>
      <vt:variant>
        <vt:lpwstr/>
      </vt:variant>
      <vt:variant>
        <vt:lpwstr>_Toc477177688</vt:lpwstr>
      </vt:variant>
      <vt:variant>
        <vt:i4>1966130</vt:i4>
      </vt:variant>
      <vt:variant>
        <vt:i4>110</vt:i4>
      </vt:variant>
      <vt:variant>
        <vt:i4>0</vt:i4>
      </vt:variant>
      <vt:variant>
        <vt:i4>5</vt:i4>
      </vt:variant>
      <vt:variant>
        <vt:lpwstr/>
      </vt:variant>
      <vt:variant>
        <vt:lpwstr>_Toc477177687</vt:lpwstr>
      </vt:variant>
      <vt:variant>
        <vt:i4>1966130</vt:i4>
      </vt:variant>
      <vt:variant>
        <vt:i4>104</vt:i4>
      </vt:variant>
      <vt:variant>
        <vt:i4>0</vt:i4>
      </vt:variant>
      <vt:variant>
        <vt:i4>5</vt:i4>
      </vt:variant>
      <vt:variant>
        <vt:lpwstr/>
      </vt:variant>
      <vt:variant>
        <vt:lpwstr>_Toc477177686</vt:lpwstr>
      </vt:variant>
      <vt:variant>
        <vt:i4>1966130</vt:i4>
      </vt:variant>
      <vt:variant>
        <vt:i4>98</vt:i4>
      </vt:variant>
      <vt:variant>
        <vt:i4>0</vt:i4>
      </vt:variant>
      <vt:variant>
        <vt:i4>5</vt:i4>
      </vt:variant>
      <vt:variant>
        <vt:lpwstr/>
      </vt:variant>
      <vt:variant>
        <vt:lpwstr>_Toc477177685</vt:lpwstr>
      </vt:variant>
      <vt:variant>
        <vt:i4>1966130</vt:i4>
      </vt:variant>
      <vt:variant>
        <vt:i4>92</vt:i4>
      </vt:variant>
      <vt:variant>
        <vt:i4>0</vt:i4>
      </vt:variant>
      <vt:variant>
        <vt:i4>5</vt:i4>
      </vt:variant>
      <vt:variant>
        <vt:lpwstr/>
      </vt:variant>
      <vt:variant>
        <vt:lpwstr>_Toc477177684</vt:lpwstr>
      </vt:variant>
      <vt:variant>
        <vt:i4>1966130</vt:i4>
      </vt:variant>
      <vt:variant>
        <vt:i4>86</vt:i4>
      </vt:variant>
      <vt:variant>
        <vt:i4>0</vt:i4>
      </vt:variant>
      <vt:variant>
        <vt:i4>5</vt:i4>
      </vt:variant>
      <vt:variant>
        <vt:lpwstr/>
      </vt:variant>
      <vt:variant>
        <vt:lpwstr>_Toc477177683</vt:lpwstr>
      </vt:variant>
      <vt:variant>
        <vt:i4>1966130</vt:i4>
      </vt:variant>
      <vt:variant>
        <vt:i4>80</vt:i4>
      </vt:variant>
      <vt:variant>
        <vt:i4>0</vt:i4>
      </vt:variant>
      <vt:variant>
        <vt:i4>5</vt:i4>
      </vt:variant>
      <vt:variant>
        <vt:lpwstr/>
      </vt:variant>
      <vt:variant>
        <vt:lpwstr>_Toc477177682</vt:lpwstr>
      </vt:variant>
      <vt:variant>
        <vt:i4>1966130</vt:i4>
      </vt:variant>
      <vt:variant>
        <vt:i4>74</vt:i4>
      </vt:variant>
      <vt:variant>
        <vt:i4>0</vt:i4>
      </vt:variant>
      <vt:variant>
        <vt:i4>5</vt:i4>
      </vt:variant>
      <vt:variant>
        <vt:lpwstr/>
      </vt:variant>
      <vt:variant>
        <vt:lpwstr>_Toc477177681</vt:lpwstr>
      </vt:variant>
      <vt:variant>
        <vt:i4>1966130</vt:i4>
      </vt:variant>
      <vt:variant>
        <vt:i4>68</vt:i4>
      </vt:variant>
      <vt:variant>
        <vt:i4>0</vt:i4>
      </vt:variant>
      <vt:variant>
        <vt:i4>5</vt:i4>
      </vt:variant>
      <vt:variant>
        <vt:lpwstr/>
      </vt:variant>
      <vt:variant>
        <vt:lpwstr>_Toc477177680</vt:lpwstr>
      </vt:variant>
      <vt:variant>
        <vt:i4>1114162</vt:i4>
      </vt:variant>
      <vt:variant>
        <vt:i4>62</vt:i4>
      </vt:variant>
      <vt:variant>
        <vt:i4>0</vt:i4>
      </vt:variant>
      <vt:variant>
        <vt:i4>5</vt:i4>
      </vt:variant>
      <vt:variant>
        <vt:lpwstr/>
      </vt:variant>
      <vt:variant>
        <vt:lpwstr>_Toc477177679</vt:lpwstr>
      </vt:variant>
      <vt:variant>
        <vt:i4>1114162</vt:i4>
      </vt:variant>
      <vt:variant>
        <vt:i4>56</vt:i4>
      </vt:variant>
      <vt:variant>
        <vt:i4>0</vt:i4>
      </vt:variant>
      <vt:variant>
        <vt:i4>5</vt:i4>
      </vt:variant>
      <vt:variant>
        <vt:lpwstr/>
      </vt:variant>
      <vt:variant>
        <vt:lpwstr>_Toc477177678</vt:lpwstr>
      </vt:variant>
      <vt:variant>
        <vt:i4>1114162</vt:i4>
      </vt:variant>
      <vt:variant>
        <vt:i4>50</vt:i4>
      </vt:variant>
      <vt:variant>
        <vt:i4>0</vt:i4>
      </vt:variant>
      <vt:variant>
        <vt:i4>5</vt:i4>
      </vt:variant>
      <vt:variant>
        <vt:lpwstr/>
      </vt:variant>
      <vt:variant>
        <vt:lpwstr>_Toc477177677</vt:lpwstr>
      </vt:variant>
      <vt:variant>
        <vt:i4>1114162</vt:i4>
      </vt:variant>
      <vt:variant>
        <vt:i4>44</vt:i4>
      </vt:variant>
      <vt:variant>
        <vt:i4>0</vt:i4>
      </vt:variant>
      <vt:variant>
        <vt:i4>5</vt:i4>
      </vt:variant>
      <vt:variant>
        <vt:lpwstr/>
      </vt:variant>
      <vt:variant>
        <vt:lpwstr>_Toc477177676</vt:lpwstr>
      </vt:variant>
      <vt:variant>
        <vt:i4>1114162</vt:i4>
      </vt:variant>
      <vt:variant>
        <vt:i4>38</vt:i4>
      </vt:variant>
      <vt:variant>
        <vt:i4>0</vt:i4>
      </vt:variant>
      <vt:variant>
        <vt:i4>5</vt:i4>
      </vt:variant>
      <vt:variant>
        <vt:lpwstr/>
      </vt:variant>
      <vt:variant>
        <vt:lpwstr>_Toc477177675</vt:lpwstr>
      </vt:variant>
      <vt:variant>
        <vt:i4>1114162</vt:i4>
      </vt:variant>
      <vt:variant>
        <vt:i4>32</vt:i4>
      </vt:variant>
      <vt:variant>
        <vt:i4>0</vt:i4>
      </vt:variant>
      <vt:variant>
        <vt:i4>5</vt:i4>
      </vt:variant>
      <vt:variant>
        <vt:lpwstr/>
      </vt:variant>
      <vt:variant>
        <vt:lpwstr>_Toc477177674</vt:lpwstr>
      </vt:variant>
      <vt:variant>
        <vt:i4>1114162</vt:i4>
      </vt:variant>
      <vt:variant>
        <vt:i4>26</vt:i4>
      </vt:variant>
      <vt:variant>
        <vt:i4>0</vt:i4>
      </vt:variant>
      <vt:variant>
        <vt:i4>5</vt:i4>
      </vt:variant>
      <vt:variant>
        <vt:lpwstr/>
      </vt:variant>
      <vt:variant>
        <vt:lpwstr>_Toc477177673</vt:lpwstr>
      </vt:variant>
      <vt:variant>
        <vt:i4>1114162</vt:i4>
      </vt:variant>
      <vt:variant>
        <vt:i4>20</vt:i4>
      </vt:variant>
      <vt:variant>
        <vt:i4>0</vt:i4>
      </vt:variant>
      <vt:variant>
        <vt:i4>5</vt:i4>
      </vt:variant>
      <vt:variant>
        <vt:lpwstr/>
      </vt:variant>
      <vt:variant>
        <vt:lpwstr>_Toc477177672</vt:lpwstr>
      </vt:variant>
      <vt:variant>
        <vt:i4>1114162</vt:i4>
      </vt:variant>
      <vt:variant>
        <vt:i4>14</vt:i4>
      </vt:variant>
      <vt:variant>
        <vt:i4>0</vt:i4>
      </vt:variant>
      <vt:variant>
        <vt:i4>5</vt:i4>
      </vt:variant>
      <vt:variant>
        <vt:lpwstr/>
      </vt:variant>
      <vt:variant>
        <vt:lpwstr>_Toc477177671</vt:lpwstr>
      </vt:variant>
      <vt:variant>
        <vt:i4>1114162</vt:i4>
      </vt:variant>
      <vt:variant>
        <vt:i4>8</vt:i4>
      </vt:variant>
      <vt:variant>
        <vt:i4>0</vt:i4>
      </vt:variant>
      <vt:variant>
        <vt:i4>5</vt:i4>
      </vt:variant>
      <vt:variant>
        <vt:lpwstr/>
      </vt:variant>
      <vt:variant>
        <vt:lpwstr>_Toc477177670</vt:lpwstr>
      </vt:variant>
      <vt:variant>
        <vt:i4>1048626</vt:i4>
      </vt:variant>
      <vt:variant>
        <vt:i4>2</vt:i4>
      </vt:variant>
      <vt:variant>
        <vt:i4>0</vt:i4>
      </vt:variant>
      <vt:variant>
        <vt:i4>5</vt:i4>
      </vt:variant>
      <vt:variant>
        <vt:lpwstr/>
      </vt:variant>
      <vt:variant>
        <vt:lpwstr>_Toc477177669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Netplan Discounts Section</dc:title>
  <dc:subject>This is Our Customer Terms - Netplan Discounts Section which contains information on Netplan 1 and Netplan 2</dc:subject>
  <dc:creator>Netplan 1, Netplan 2, Netplan Discounts</dc:creator>
  <cp:keywords>Netplan 1, Netplan 2, Netplan Discounts</cp:keywords>
  <dc:description>Firstpage + Cover only - Recitals and Schedule, Execution and Cover pages in AutoText files</dc:description>
  <cp:lastModifiedBy>Corona, Adrian</cp:lastModifiedBy>
  <cp:revision>2</cp:revision>
  <cp:lastPrinted>2017-03-13T21:55:00Z</cp:lastPrinted>
  <dcterms:created xsi:type="dcterms:W3CDTF">2025-03-18T02:18:00Z</dcterms:created>
  <dcterms:modified xsi:type="dcterms:W3CDTF">2025-03-18T02:18:00Z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2025-03-18T02:18:35Z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69b0c7d6-afe6-4a27-a8e2-80c3a42d458c</vt:lpwstr>
  </property>
  <property fmtid="{D5CDD505-2E9C-101B-9397-08002B2CF9AE}" pid="8" name="MSIP_Label_f4ab56b7-6ec4-4073-8d92-ac7cc2e7a5df_ContentBits">
    <vt:lpwstr>0</vt:lpwstr>
  </property>
</Properties>
</file>