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F1B4" w14:textId="500CDE0D" w:rsidR="0040380B" w:rsidRPr="00D82AF7" w:rsidRDefault="0040380B">
      <w:pPr>
        <w:pStyle w:val="TOCHeading"/>
      </w:pPr>
      <w:r w:rsidRPr="00D82AF7">
        <w:t>Contents</w:t>
      </w:r>
    </w:p>
    <w:p w14:paraId="73E74BC5" w14:textId="77777777" w:rsidR="0040380B" w:rsidRPr="00D82AF7" w:rsidRDefault="0040380B">
      <w:pPr>
        <w:pStyle w:val="TOC1"/>
        <w:tabs>
          <w:tab w:val="left" w:pos="1474"/>
        </w:tabs>
        <w:spacing w:before="0" w:after="240"/>
        <w:rPr>
          <w:b w:val="0"/>
          <w:bCs/>
        </w:rPr>
      </w:pPr>
      <w:r w:rsidRPr="00D82AF7">
        <w:rPr>
          <w:b w:val="0"/>
          <w:bCs/>
        </w:rPr>
        <w:t>Click on the section that you are interested in.</w:t>
      </w:r>
    </w:p>
    <w:p w14:paraId="295A4346" w14:textId="3EB01F35" w:rsidR="00897159" w:rsidRDefault="0040380B">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D82AF7">
        <w:fldChar w:fldCharType="begin"/>
      </w:r>
      <w:r w:rsidRPr="00D82AF7">
        <w:instrText xml:space="preserve"> TOC \h \z \t "Heading 1,1,Indent 1,2" </w:instrText>
      </w:r>
      <w:r w:rsidRPr="00D82AF7">
        <w:fldChar w:fldCharType="separate"/>
      </w:r>
      <w:hyperlink w:anchor="_Toc208576765" w:history="1">
        <w:r w:rsidR="00897159" w:rsidRPr="00217811">
          <w:rPr>
            <w:rStyle w:val="Hyperlink"/>
            <w:noProof/>
          </w:rPr>
          <w:t>1</w:t>
        </w:r>
        <w:r w:rsidR="00897159">
          <w:rPr>
            <w:rFonts w:asciiTheme="minorHAnsi" w:eastAsiaTheme="minorEastAsia" w:hAnsiTheme="minorHAnsi" w:cstheme="minorBidi"/>
            <w:b w:val="0"/>
            <w:noProof/>
            <w:kern w:val="2"/>
            <w:sz w:val="24"/>
            <w:szCs w:val="24"/>
            <w:lang w:eastAsia="en-AU"/>
            <w14:ligatures w14:val="standardContextual"/>
          </w:rPr>
          <w:tab/>
        </w:r>
        <w:r w:rsidR="00897159" w:rsidRPr="00217811">
          <w:rPr>
            <w:rStyle w:val="Hyperlink"/>
            <w:noProof/>
          </w:rPr>
          <w:t>About this Part</w:t>
        </w:r>
        <w:r w:rsidR="00897159">
          <w:rPr>
            <w:noProof/>
            <w:webHidden/>
          </w:rPr>
          <w:tab/>
        </w:r>
        <w:r w:rsidR="00897159">
          <w:rPr>
            <w:noProof/>
            <w:webHidden/>
          </w:rPr>
          <w:fldChar w:fldCharType="begin"/>
        </w:r>
        <w:r w:rsidR="00897159">
          <w:rPr>
            <w:noProof/>
            <w:webHidden/>
          </w:rPr>
          <w:instrText xml:space="preserve"> PAGEREF _Toc208576765 \h </w:instrText>
        </w:r>
        <w:r w:rsidR="00897159">
          <w:rPr>
            <w:noProof/>
            <w:webHidden/>
          </w:rPr>
        </w:r>
        <w:r w:rsidR="00897159">
          <w:rPr>
            <w:noProof/>
            <w:webHidden/>
          </w:rPr>
          <w:fldChar w:fldCharType="separate"/>
        </w:r>
        <w:r w:rsidR="00CA259E">
          <w:rPr>
            <w:noProof/>
            <w:webHidden/>
          </w:rPr>
          <w:t>2</w:t>
        </w:r>
        <w:r w:rsidR="00897159">
          <w:rPr>
            <w:noProof/>
            <w:webHidden/>
          </w:rPr>
          <w:fldChar w:fldCharType="end"/>
        </w:r>
      </w:hyperlink>
    </w:p>
    <w:p w14:paraId="06D39E76" w14:textId="7E828FC8"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66" w:history="1">
        <w:r w:rsidRPr="00217811">
          <w:rPr>
            <w:rStyle w:val="Hyperlink"/>
            <w:noProof/>
          </w:rPr>
          <w:t>Inconsistencies</w:t>
        </w:r>
        <w:r>
          <w:rPr>
            <w:noProof/>
            <w:webHidden/>
          </w:rPr>
          <w:tab/>
        </w:r>
        <w:r>
          <w:rPr>
            <w:noProof/>
            <w:webHidden/>
          </w:rPr>
          <w:fldChar w:fldCharType="begin"/>
        </w:r>
        <w:r>
          <w:rPr>
            <w:noProof/>
            <w:webHidden/>
          </w:rPr>
          <w:instrText xml:space="preserve"> PAGEREF _Toc208576766 \h </w:instrText>
        </w:r>
        <w:r>
          <w:rPr>
            <w:noProof/>
            <w:webHidden/>
          </w:rPr>
        </w:r>
        <w:r>
          <w:rPr>
            <w:noProof/>
            <w:webHidden/>
          </w:rPr>
          <w:fldChar w:fldCharType="separate"/>
        </w:r>
        <w:r w:rsidR="00CA259E">
          <w:rPr>
            <w:noProof/>
            <w:webHidden/>
          </w:rPr>
          <w:t>2</w:t>
        </w:r>
        <w:r>
          <w:rPr>
            <w:noProof/>
            <w:webHidden/>
          </w:rPr>
          <w:fldChar w:fldCharType="end"/>
        </w:r>
      </w:hyperlink>
    </w:p>
    <w:p w14:paraId="7F72DA06" w14:textId="4098AC29"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67" w:history="1">
        <w:r w:rsidRPr="00217811">
          <w:rPr>
            <w:rStyle w:val="Hyperlink"/>
            <w:noProof/>
          </w:rPr>
          <w:t>Availability</w:t>
        </w:r>
        <w:r>
          <w:rPr>
            <w:noProof/>
            <w:webHidden/>
          </w:rPr>
          <w:tab/>
        </w:r>
        <w:r>
          <w:rPr>
            <w:noProof/>
            <w:webHidden/>
          </w:rPr>
          <w:fldChar w:fldCharType="begin"/>
        </w:r>
        <w:r>
          <w:rPr>
            <w:noProof/>
            <w:webHidden/>
          </w:rPr>
          <w:instrText xml:space="preserve"> PAGEREF _Toc208576767 \h </w:instrText>
        </w:r>
        <w:r>
          <w:rPr>
            <w:noProof/>
            <w:webHidden/>
          </w:rPr>
        </w:r>
        <w:r>
          <w:rPr>
            <w:noProof/>
            <w:webHidden/>
          </w:rPr>
          <w:fldChar w:fldCharType="separate"/>
        </w:r>
        <w:r w:rsidR="00CA259E">
          <w:rPr>
            <w:noProof/>
            <w:webHidden/>
          </w:rPr>
          <w:t>2</w:t>
        </w:r>
        <w:r>
          <w:rPr>
            <w:noProof/>
            <w:webHidden/>
          </w:rPr>
          <w:fldChar w:fldCharType="end"/>
        </w:r>
      </w:hyperlink>
    </w:p>
    <w:p w14:paraId="74230B1E" w14:textId="02EC6F03" w:rsidR="00897159" w:rsidRDefault="0089715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576768" w:history="1">
        <w:r w:rsidRPr="00217811">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217811">
          <w:rPr>
            <w:rStyle w:val="Hyperlink"/>
            <w:noProof/>
          </w:rPr>
          <w:t>Standard Restoration and SLA Premium</w:t>
        </w:r>
        <w:r>
          <w:rPr>
            <w:noProof/>
            <w:webHidden/>
          </w:rPr>
          <w:tab/>
        </w:r>
        <w:r>
          <w:rPr>
            <w:noProof/>
            <w:webHidden/>
          </w:rPr>
          <w:fldChar w:fldCharType="begin"/>
        </w:r>
        <w:r>
          <w:rPr>
            <w:noProof/>
            <w:webHidden/>
          </w:rPr>
          <w:instrText xml:space="preserve"> PAGEREF _Toc208576768 \h </w:instrText>
        </w:r>
        <w:r>
          <w:rPr>
            <w:noProof/>
            <w:webHidden/>
          </w:rPr>
        </w:r>
        <w:r>
          <w:rPr>
            <w:noProof/>
            <w:webHidden/>
          </w:rPr>
          <w:fldChar w:fldCharType="separate"/>
        </w:r>
        <w:r w:rsidR="00CA259E">
          <w:rPr>
            <w:noProof/>
            <w:webHidden/>
          </w:rPr>
          <w:t>2</w:t>
        </w:r>
        <w:r>
          <w:rPr>
            <w:noProof/>
            <w:webHidden/>
          </w:rPr>
          <w:fldChar w:fldCharType="end"/>
        </w:r>
      </w:hyperlink>
    </w:p>
    <w:p w14:paraId="7F6E704F" w14:textId="0BD0509D"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69" w:history="1">
        <w:r w:rsidRPr="00217811">
          <w:rPr>
            <w:rStyle w:val="Hyperlink"/>
            <w:noProof/>
          </w:rPr>
          <w:t>Description of Standard Restoration service levels and SLA Premium service levels</w:t>
        </w:r>
        <w:r>
          <w:rPr>
            <w:noProof/>
            <w:webHidden/>
          </w:rPr>
          <w:tab/>
        </w:r>
        <w:r>
          <w:rPr>
            <w:noProof/>
            <w:webHidden/>
          </w:rPr>
          <w:fldChar w:fldCharType="begin"/>
        </w:r>
        <w:r>
          <w:rPr>
            <w:noProof/>
            <w:webHidden/>
          </w:rPr>
          <w:instrText xml:space="preserve"> PAGEREF _Toc208576769 \h </w:instrText>
        </w:r>
        <w:r>
          <w:rPr>
            <w:noProof/>
            <w:webHidden/>
          </w:rPr>
        </w:r>
        <w:r>
          <w:rPr>
            <w:noProof/>
            <w:webHidden/>
          </w:rPr>
          <w:fldChar w:fldCharType="separate"/>
        </w:r>
        <w:r w:rsidR="00CA259E">
          <w:rPr>
            <w:noProof/>
            <w:webHidden/>
          </w:rPr>
          <w:t>2</w:t>
        </w:r>
        <w:r>
          <w:rPr>
            <w:noProof/>
            <w:webHidden/>
          </w:rPr>
          <w:fldChar w:fldCharType="end"/>
        </w:r>
      </w:hyperlink>
    </w:p>
    <w:p w14:paraId="4AD794FD" w14:textId="1B0863CE"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0" w:history="1">
        <w:r w:rsidRPr="00217811">
          <w:rPr>
            <w:rStyle w:val="Hyperlink"/>
            <w:noProof/>
          </w:rPr>
          <w:t>Response times, report and restoration targets</w:t>
        </w:r>
        <w:r>
          <w:rPr>
            <w:noProof/>
            <w:webHidden/>
          </w:rPr>
          <w:tab/>
        </w:r>
        <w:r>
          <w:rPr>
            <w:noProof/>
            <w:webHidden/>
          </w:rPr>
          <w:fldChar w:fldCharType="begin"/>
        </w:r>
        <w:r>
          <w:rPr>
            <w:noProof/>
            <w:webHidden/>
          </w:rPr>
          <w:instrText xml:space="preserve"> PAGEREF _Toc208576770 \h </w:instrText>
        </w:r>
        <w:r>
          <w:rPr>
            <w:noProof/>
            <w:webHidden/>
          </w:rPr>
        </w:r>
        <w:r>
          <w:rPr>
            <w:noProof/>
            <w:webHidden/>
          </w:rPr>
          <w:fldChar w:fldCharType="separate"/>
        </w:r>
        <w:r w:rsidR="00CA259E">
          <w:rPr>
            <w:noProof/>
            <w:webHidden/>
          </w:rPr>
          <w:t>3</w:t>
        </w:r>
        <w:r>
          <w:rPr>
            <w:noProof/>
            <w:webHidden/>
          </w:rPr>
          <w:fldChar w:fldCharType="end"/>
        </w:r>
      </w:hyperlink>
    </w:p>
    <w:p w14:paraId="4B7B855A" w14:textId="3C115388"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1" w:history="1">
        <w:r w:rsidRPr="00217811">
          <w:rPr>
            <w:rStyle w:val="Hyperlink"/>
            <w:noProof/>
          </w:rPr>
          <w:t>Service level exclusions - restoration</w:t>
        </w:r>
        <w:r>
          <w:rPr>
            <w:noProof/>
            <w:webHidden/>
          </w:rPr>
          <w:tab/>
        </w:r>
        <w:r>
          <w:rPr>
            <w:noProof/>
            <w:webHidden/>
          </w:rPr>
          <w:fldChar w:fldCharType="begin"/>
        </w:r>
        <w:r>
          <w:rPr>
            <w:noProof/>
            <w:webHidden/>
          </w:rPr>
          <w:instrText xml:space="preserve"> PAGEREF _Toc208576771 \h </w:instrText>
        </w:r>
        <w:r>
          <w:rPr>
            <w:noProof/>
            <w:webHidden/>
          </w:rPr>
        </w:r>
        <w:r>
          <w:rPr>
            <w:noProof/>
            <w:webHidden/>
          </w:rPr>
          <w:fldChar w:fldCharType="separate"/>
        </w:r>
        <w:r w:rsidR="00CA259E">
          <w:rPr>
            <w:noProof/>
            <w:webHidden/>
          </w:rPr>
          <w:t>3</w:t>
        </w:r>
        <w:r>
          <w:rPr>
            <w:noProof/>
            <w:webHidden/>
          </w:rPr>
          <w:fldChar w:fldCharType="end"/>
        </w:r>
      </w:hyperlink>
    </w:p>
    <w:p w14:paraId="5CB7A68F" w14:textId="472D6CA7"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2" w:history="1">
        <w:r w:rsidRPr="00217811">
          <w:rPr>
            <w:rStyle w:val="Hyperlink"/>
            <w:noProof/>
          </w:rPr>
          <w:t>Minimum commitment</w:t>
        </w:r>
        <w:r>
          <w:rPr>
            <w:noProof/>
            <w:webHidden/>
          </w:rPr>
          <w:tab/>
        </w:r>
        <w:r>
          <w:rPr>
            <w:noProof/>
            <w:webHidden/>
          </w:rPr>
          <w:fldChar w:fldCharType="begin"/>
        </w:r>
        <w:r>
          <w:rPr>
            <w:noProof/>
            <w:webHidden/>
          </w:rPr>
          <w:instrText xml:space="preserve"> PAGEREF _Toc208576772 \h </w:instrText>
        </w:r>
        <w:r>
          <w:rPr>
            <w:noProof/>
            <w:webHidden/>
          </w:rPr>
        </w:r>
        <w:r>
          <w:rPr>
            <w:noProof/>
            <w:webHidden/>
          </w:rPr>
          <w:fldChar w:fldCharType="separate"/>
        </w:r>
        <w:r w:rsidR="00CA259E">
          <w:rPr>
            <w:noProof/>
            <w:webHidden/>
          </w:rPr>
          <w:t>4</w:t>
        </w:r>
        <w:r>
          <w:rPr>
            <w:noProof/>
            <w:webHidden/>
          </w:rPr>
          <w:fldChar w:fldCharType="end"/>
        </w:r>
      </w:hyperlink>
    </w:p>
    <w:p w14:paraId="0C7DA620" w14:textId="1540C7A5"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3" w:history="1">
        <w:r w:rsidRPr="00217811">
          <w:rPr>
            <w:rStyle w:val="Hyperlink"/>
            <w:noProof/>
          </w:rPr>
          <w:t>SLA Premium charges (excluding Telstra products on nbn</w:t>
        </w:r>
        <w:r w:rsidRPr="00217811">
          <w:rPr>
            <w:rStyle w:val="Hyperlink"/>
            <w:noProof/>
            <w:vertAlign w:val="superscript"/>
          </w:rPr>
          <w:t>TM</w:t>
        </w:r>
        <w:r>
          <w:rPr>
            <w:noProof/>
            <w:webHidden/>
          </w:rPr>
          <w:tab/>
        </w:r>
        <w:r>
          <w:rPr>
            <w:noProof/>
            <w:webHidden/>
          </w:rPr>
          <w:fldChar w:fldCharType="begin"/>
        </w:r>
        <w:r>
          <w:rPr>
            <w:noProof/>
            <w:webHidden/>
          </w:rPr>
          <w:instrText xml:space="preserve"> PAGEREF _Toc208576773 \h </w:instrText>
        </w:r>
        <w:r>
          <w:rPr>
            <w:noProof/>
            <w:webHidden/>
          </w:rPr>
        </w:r>
        <w:r>
          <w:rPr>
            <w:noProof/>
            <w:webHidden/>
          </w:rPr>
          <w:fldChar w:fldCharType="separate"/>
        </w:r>
        <w:r w:rsidR="00CA259E">
          <w:rPr>
            <w:noProof/>
            <w:webHidden/>
          </w:rPr>
          <w:t>5</w:t>
        </w:r>
        <w:r>
          <w:rPr>
            <w:noProof/>
            <w:webHidden/>
          </w:rPr>
          <w:fldChar w:fldCharType="end"/>
        </w:r>
      </w:hyperlink>
    </w:p>
    <w:p w14:paraId="4B5ADBDC" w14:textId="0303A307"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4" w:history="1">
        <w:r w:rsidRPr="00217811">
          <w:rPr>
            <w:rStyle w:val="Hyperlink"/>
            <w:noProof/>
          </w:rPr>
          <w:t>SLA Premium charges (Telstra products on nbn</w:t>
        </w:r>
        <w:r w:rsidRPr="00217811">
          <w:rPr>
            <w:rStyle w:val="Hyperlink"/>
            <w:noProof/>
            <w:vertAlign w:val="superscript"/>
          </w:rPr>
          <w:t>TM</w:t>
        </w:r>
        <w:r w:rsidRPr="00217811">
          <w:rPr>
            <w:rStyle w:val="Hyperlink"/>
            <w:noProof/>
          </w:rPr>
          <w:t>)</w:t>
        </w:r>
        <w:r>
          <w:rPr>
            <w:noProof/>
            <w:webHidden/>
          </w:rPr>
          <w:tab/>
        </w:r>
        <w:r>
          <w:rPr>
            <w:noProof/>
            <w:webHidden/>
          </w:rPr>
          <w:fldChar w:fldCharType="begin"/>
        </w:r>
        <w:r>
          <w:rPr>
            <w:noProof/>
            <w:webHidden/>
          </w:rPr>
          <w:instrText xml:space="preserve"> PAGEREF _Toc208576774 \h </w:instrText>
        </w:r>
        <w:r>
          <w:rPr>
            <w:noProof/>
            <w:webHidden/>
          </w:rPr>
        </w:r>
        <w:r>
          <w:rPr>
            <w:noProof/>
            <w:webHidden/>
          </w:rPr>
          <w:fldChar w:fldCharType="separate"/>
        </w:r>
        <w:r w:rsidR="00CA259E">
          <w:rPr>
            <w:noProof/>
            <w:webHidden/>
          </w:rPr>
          <w:t>6</w:t>
        </w:r>
        <w:r>
          <w:rPr>
            <w:noProof/>
            <w:webHidden/>
          </w:rPr>
          <w:fldChar w:fldCharType="end"/>
        </w:r>
      </w:hyperlink>
    </w:p>
    <w:p w14:paraId="77B176A3" w14:textId="2453C5C5"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5" w:history="1">
        <w:r w:rsidRPr="00217811">
          <w:rPr>
            <w:rStyle w:val="Hyperlink"/>
            <w:noProof/>
          </w:rPr>
          <w:t>Restoration rebate eligibility criteria</w:t>
        </w:r>
        <w:r>
          <w:rPr>
            <w:noProof/>
            <w:webHidden/>
          </w:rPr>
          <w:tab/>
        </w:r>
        <w:r>
          <w:rPr>
            <w:noProof/>
            <w:webHidden/>
          </w:rPr>
          <w:fldChar w:fldCharType="begin"/>
        </w:r>
        <w:r>
          <w:rPr>
            <w:noProof/>
            <w:webHidden/>
          </w:rPr>
          <w:instrText xml:space="preserve"> PAGEREF _Toc208576775 \h </w:instrText>
        </w:r>
        <w:r>
          <w:rPr>
            <w:noProof/>
            <w:webHidden/>
          </w:rPr>
        </w:r>
        <w:r>
          <w:rPr>
            <w:noProof/>
            <w:webHidden/>
          </w:rPr>
          <w:fldChar w:fldCharType="separate"/>
        </w:r>
        <w:r w:rsidR="00CA259E">
          <w:rPr>
            <w:noProof/>
            <w:webHidden/>
          </w:rPr>
          <w:t>7</w:t>
        </w:r>
        <w:r>
          <w:rPr>
            <w:noProof/>
            <w:webHidden/>
          </w:rPr>
          <w:fldChar w:fldCharType="end"/>
        </w:r>
      </w:hyperlink>
    </w:p>
    <w:p w14:paraId="6E2144BF" w14:textId="1714B98B"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6" w:history="1">
        <w:r w:rsidRPr="00217811">
          <w:rPr>
            <w:rStyle w:val="Hyperlink"/>
            <w:noProof/>
          </w:rPr>
          <w:t>Restoration rebates</w:t>
        </w:r>
        <w:r>
          <w:rPr>
            <w:noProof/>
            <w:webHidden/>
          </w:rPr>
          <w:tab/>
        </w:r>
        <w:r>
          <w:rPr>
            <w:noProof/>
            <w:webHidden/>
          </w:rPr>
          <w:fldChar w:fldCharType="begin"/>
        </w:r>
        <w:r>
          <w:rPr>
            <w:noProof/>
            <w:webHidden/>
          </w:rPr>
          <w:instrText xml:space="preserve"> PAGEREF _Toc208576776 \h </w:instrText>
        </w:r>
        <w:r>
          <w:rPr>
            <w:noProof/>
            <w:webHidden/>
          </w:rPr>
        </w:r>
        <w:r>
          <w:rPr>
            <w:noProof/>
            <w:webHidden/>
          </w:rPr>
          <w:fldChar w:fldCharType="separate"/>
        </w:r>
        <w:r w:rsidR="00CA259E">
          <w:rPr>
            <w:noProof/>
            <w:webHidden/>
          </w:rPr>
          <w:t>7</w:t>
        </w:r>
        <w:r>
          <w:rPr>
            <w:noProof/>
            <w:webHidden/>
          </w:rPr>
          <w:fldChar w:fldCharType="end"/>
        </w:r>
      </w:hyperlink>
    </w:p>
    <w:p w14:paraId="0D574535" w14:textId="62951604" w:rsidR="00897159" w:rsidRDefault="00897159">
      <w:pPr>
        <w:pStyle w:val="TOC2"/>
        <w:rPr>
          <w:rFonts w:asciiTheme="minorHAnsi" w:eastAsiaTheme="minorEastAsia" w:hAnsiTheme="minorHAnsi" w:cstheme="minorBidi"/>
          <w:noProof/>
          <w:kern w:val="2"/>
          <w:sz w:val="24"/>
          <w:szCs w:val="24"/>
          <w:lang w:eastAsia="en-AU"/>
          <w14:ligatures w14:val="standardContextual"/>
        </w:rPr>
      </w:pPr>
      <w:hyperlink w:anchor="_Toc208576777" w:history="1">
        <w:r w:rsidRPr="00217811">
          <w:rPr>
            <w:rStyle w:val="Hyperlink"/>
            <w:noProof/>
          </w:rPr>
          <w:t>Faults caused by you</w:t>
        </w:r>
        <w:r>
          <w:rPr>
            <w:noProof/>
            <w:webHidden/>
          </w:rPr>
          <w:tab/>
        </w:r>
        <w:r>
          <w:rPr>
            <w:noProof/>
            <w:webHidden/>
          </w:rPr>
          <w:fldChar w:fldCharType="begin"/>
        </w:r>
        <w:r>
          <w:rPr>
            <w:noProof/>
            <w:webHidden/>
          </w:rPr>
          <w:instrText xml:space="preserve"> PAGEREF _Toc208576777 \h </w:instrText>
        </w:r>
        <w:r>
          <w:rPr>
            <w:noProof/>
            <w:webHidden/>
          </w:rPr>
        </w:r>
        <w:r>
          <w:rPr>
            <w:noProof/>
            <w:webHidden/>
          </w:rPr>
          <w:fldChar w:fldCharType="separate"/>
        </w:r>
        <w:r w:rsidR="00CA259E">
          <w:rPr>
            <w:noProof/>
            <w:webHidden/>
          </w:rPr>
          <w:t>9</w:t>
        </w:r>
        <w:r>
          <w:rPr>
            <w:noProof/>
            <w:webHidden/>
          </w:rPr>
          <w:fldChar w:fldCharType="end"/>
        </w:r>
      </w:hyperlink>
    </w:p>
    <w:p w14:paraId="6806B26E" w14:textId="53755818" w:rsidR="00897159" w:rsidRDefault="0089715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576778" w:history="1">
        <w:r w:rsidRPr="00217811">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217811">
          <w:rPr>
            <w:rStyle w:val="Hyperlink"/>
            <w:noProof/>
          </w:rPr>
          <w:t>Restoration service level table</w:t>
        </w:r>
        <w:r>
          <w:rPr>
            <w:noProof/>
            <w:webHidden/>
          </w:rPr>
          <w:tab/>
        </w:r>
        <w:r>
          <w:rPr>
            <w:noProof/>
            <w:webHidden/>
          </w:rPr>
          <w:fldChar w:fldCharType="begin"/>
        </w:r>
        <w:r>
          <w:rPr>
            <w:noProof/>
            <w:webHidden/>
          </w:rPr>
          <w:instrText xml:space="preserve"> PAGEREF _Toc208576778 \h </w:instrText>
        </w:r>
        <w:r>
          <w:rPr>
            <w:noProof/>
            <w:webHidden/>
          </w:rPr>
        </w:r>
        <w:r>
          <w:rPr>
            <w:noProof/>
            <w:webHidden/>
          </w:rPr>
          <w:fldChar w:fldCharType="separate"/>
        </w:r>
        <w:r w:rsidR="00CA259E">
          <w:rPr>
            <w:noProof/>
            <w:webHidden/>
          </w:rPr>
          <w:t>10</w:t>
        </w:r>
        <w:r>
          <w:rPr>
            <w:noProof/>
            <w:webHidden/>
          </w:rPr>
          <w:fldChar w:fldCharType="end"/>
        </w:r>
      </w:hyperlink>
    </w:p>
    <w:p w14:paraId="63F81E4B" w14:textId="3377D23B" w:rsidR="00897159" w:rsidRDefault="0089715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576779" w:history="1">
        <w:r w:rsidRPr="00217811">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217811">
          <w:rPr>
            <w:rStyle w:val="Hyperlink"/>
            <w:noProof/>
          </w:rPr>
          <w:t>Restoration levels for Telstra Products on nbn</w:t>
        </w:r>
        <w:r w:rsidRPr="00217811">
          <w:rPr>
            <w:rStyle w:val="Hyperlink"/>
            <w:noProof/>
            <w:vertAlign w:val="superscript"/>
          </w:rPr>
          <w:t>TM</w:t>
        </w:r>
        <w:r>
          <w:rPr>
            <w:noProof/>
            <w:webHidden/>
          </w:rPr>
          <w:tab/>
        </w:r>
        <w:r>
          <w:rPr>
            <w:noProof/>
            <w:webHidden/>
          </w:rPr>
          <w:fldChar w:fldCharType="begin"/>
        </w:r>
        <w:r>
          <w:rPr>
            <w:noProof/>
            <w:webHidden/>
          </w:rPr>
          <w:instrText xml:space="preserve"> PAGEREF _Toc208576779 \h </w:instrText>
        </w:r>
        <w:r>
          <w:rPr>
            <w:noProof/>
            <w:webHidden/>
          </w:rPr>
        </w:r>
        <w:r>
          <w:rPr>
            <w:noProof/>
            <w:webHidden/>
          </w:rPr>
          <w:fldChar w:fldCharType="separate"/>
        </w:r>
        <w:r w:rsidR="00CA259E">
          <w:rPr>
            <w:noProof/>
            <w:webHidden/>
          </w:rPr>
          <w:t>13</w:t>
        </w:r>
        <w:r>
          <w:rPr>
            <w:noProof/>
            <w:webHidden/>
          </w:rPr>
          <w:fldChar w:fldCharType="end"/>
        </w:r>
      </w:hyperlink>
    </w:p>
    <w:p w14:paraId="40AF1882" w14:textId="388A5086" w:rsidR="00897159" w:rsidRDefault="0089715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576780" w:history="1">
        <w:r w:rsidRPr="00217811">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217811">
          <w:rPr>
            <w:rStyle w:val="Hyperlink"/>
            <w:noProof/>
          </w:rPr>
          <w:t>Special meanings</w:t>
        </w:r>
        <w:r>
          <w:rPr>
            <w:noProof/>
            <w:webHidden/>
          </w:rPr>
          <w:tab/>
        </w:r>
        <w:r>
          <w:rPr>
            <w:noProof/>
            <w:webHidden/>
          </w:rPr>
          <w:fldChar w:fldCharType="begin"/>
        </w:r>
        <w:r>
          <w:rPr>
            <w:noProof/>
            <w:webHidden/>
          </w:rPr>
          <w:instrText xml:space="preserve"> PAGEREF _Toc208576780 \h </w:instrText>
        </w:r>
        <w:r>
          <w:rPr>
            <w:noProof/>
            <w:webHidden/>
          </w:rPr>
        </w:r>
        <w:r>
          <w:rPr>
            <w:noProof/>
            <w:webHidden/>
          </w:rPr>
          <w:fldChar w:fldCharType="separate"/>
        </w:r>
        <w:r w:rsidR="00CA259E">
          <w:rPr>
            <w:noProof/>
            <w:webHidden/>
          </w:rPr>
          <w:t>14</w:t>
        </w:r>
        <w:r>
          <w:rPr>
            <w:noProof/>
            <w:webHidden/>
          </w:rPr>
          <w:fldChar w:fldCharType="end"/>
        </w:r>
      </w:hyperlink>
    </w:p>
    <w:p w14:paraId="184C1755" w14:textId="0967B943" w:rsidR="00897159" w:rsidRDefault="0089715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576781" w:history="1">
        <w:r w:rsidRPr="00217811">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217811">
          <w:rPr>
            <w:rStyle w:val="Hyperlink"/>
            <w:noProof/>
          </w:rPr>
          <w:t>Non-current plans</w:t>
        </w:r>
        <w:r>
          <w:rPr>
            <w:noProof/>
            <w:webHidden/>
          </w:rPr>
          <w:tab/>
        </w:r>
        <w:r>
          <w:rPr>
            <w:noProof/>
            <w:webHidden/>
          </w:rPr>
          <w:fldChar w:fldCharType="begin"/>
        </w:r>
        <w:r>
          <w:rPr>
            <w:noProof/>
            <w:webHidden/>
          </w:rPr>
          <w:instrText xml:space="preserve"> PAGEREF _Toc208576781 \h </w:instrText>
        </w:r>
        <w:r>
          <w:rPr>
            <w:noProof/>
            <w:webHidden/>
          </w:rPr>
        </w:r>
        <w:r>
          <w:rPr>
            <w:noProof/>
            <w:webHidden/>
          </w:rPr>
          <w:fldChar w:fldCharType="separate"/>
        </w:r>
        <w:r w:rsidR="00CA259E">
          <w:rPr>
            <w:noProof/>
            <w:webHidden/>
          </w:rPr>
          <w:t>15</w:t>
        </w:r>
        <w:r>
          <w:rPr>
            <w:noProof/>
            <w:webHidden/>
          </w:rPr>
          <w:fldChar w:fldCharType="end"/>
        </w:r>
      </w:hyperlink>
    </w:p>
    <w:p w14:paraId="3A27E521" w14:textId="4F796DFC" w:rsidR="00897159" w:rsidRDefault="00897159">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8576782" w:history="1">
        <w:r w:rsidRPr="00217811">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217811">
          <w:rPr>
            <w:rStyle w:val="Hyperlink"/>
            <w:noProof/>
          </w:rPr>
          <w:t>Telstra Provisioning Commitment</w:t>
        </w:r>
        <w:r>
          <w:rPr>
            <w:noProof/>
            <w:webHidden/>
          </w:rPr>
          <w:tab/>
        </w:r>
        <w:r>
          <w:rPr>
            <w:noProof/>
            <w:webHidden/>
          </w:rPr>
          <w:fldChar w:fldCharType="begin"/>
        </w:r>
        <w:r>
          <w:rPr>
            <w:noProof/>
            <w:webHidden/>
          </w:rPr>
          <w:instrText xml:space="preserve"> PAGEREF _Toc208576782 \h </w:instrText>
        </w:r>
        <w:r>
          <w:rPr>
            <w:noProof/>
            <w:webHidden/>
          </w:rPr>
        </w:r>
        <w:r>
          <w:rPr>
            <w:noProof/>
            <w:webHidden/>
          </w:rPr>
          <w:fldChar w:fldCharType="separate"/>
        </w:r>
        <w:r w:rsidR="00CA259E">
          <w:rPr>
            <w:noProof/>
            <w:webHidden/>
          </w:rPr>
          <w:t>17</w:t>
        </w:r>
        <w:r>
          <w:rPr>
            <w:noProof/>
            <w:webHidden/>
          </w:rPr>
          <w:fldChar w:fldCharType="end"/>
        </w:r>
      </w:hyperlink>
    </w:p>
    <w:p w14:paraId="63502CC9" w14:textId="278E073F" w:rsidR="00047204" w:rsidRDefault="0040380B" w:rsidP="00047204">
      <w:r w:rsidRPr="00D82AF7">
        <w:rPr>
          <w:rFonts w:ascii="Arial" w:hAnsi="Arial"/>
          <w:sz w:val="21"/>
        </w:rPr>
        <w:fldChar w:fldCharType="end"/>
      </w:r>
    </w:p>
    <w:p w14:paraId="296AD81E" w14:textId="183194C0" w:rsidR="00047204" w:rsidRDefault="00047204" w:rsidP="00047204">
      <w:pPr>
        <w:tabs>
          <w:tab w:val="left" w:pos="2769"/>
        </w:tabs>
      </w:pPr>
      <w:r>
        <w:tab/>
      </w:r>
    </w:p>
    <w:p w14:paraId="107784A1" w14:textId="5427DC0C" w:rsidR="0040380B" w:rsidRPr="00047204" w:rsidRDefault="00047204" w:rsidP="00047204">
      <w:pPr>
        <w:tabs>
          <w:tab w:val="left" w:pos="2769"/>
        </w:tabs>
        <w:sectPr w:rsidR="0040380B" w:rsidRPr="00047204" w:rsidSect="00051267">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sectPr>
      </w:pPr>
      <w:r>
        <w:tab/>
      </w:r>
    </w:p>
    <w:p w14:paraId="39C9D6E8" w14:textId="77777777" w:rsidR="0040380B" w:rsidRPr="00D82AF7" w:rsidRDefault="0040380B">
      <w:pPr>
        <w:pStyle w:val="BodyText2"/>
      </w:pPr>
      <w:r w:rsidRPr="00D82AF7">
        <w:lastRenderedPageBreak/>
        <w:t xml:space="preserve">Certain words are used with the specific meanings set out in </w:t>
      </w:r>
      <w:hyperlink r:id="rId16" w:history="1">
        <w:r w:rsidRPr="00D82AF7">
          <w:rPr>
            <w:rStyle w:val="Hyperlink"/>
            <w:bCs w:val="0"/>
          </w:rPr>
          <w:t>the General Terms of our Customer Terms</w:t>
        </w:r>
      </w:hyperlink>
      <w:r w:rsidRPr="00D82AF7">
        <w:t>.</w:t>
      </w:r>
    </w:p>
    <w:p w14:paraId="0F465F0C" w14:textId="7586D876" w:rsidR="0040380B" w:rsidRPr="00D82AF7" w:rsidRDefault="0040380B">
      <w:pPr>
        <w:pStyle w:val="Heading1"/>
      </w:pPr>
      <w:bookmarkStart w:id="1" w:name="_Toc49366233"/>
      <w:bookmarkStart w:id="2" w:name="_Toc52674844"/>
      <w:bookmarkStart w:id="3" w:name="_Toc52674897"/>
      <w:bookmarkStart w:id="4" w:name="_Toc59261139"/>
      <w:bookmarkStart w:id="5" w:name="_Toc208576765"/>
      <w:r w:rsidRPr="00D82AF7">
        <w:t>About this Part</w:t>
      </w:r>
      <w:bookmarkEnd w:id="1"/>
      <w:bookmarkEnd w:id="2"/>
      <w:bookmarkEnd w:id="3"/>
      <w:bookmarkEnd w:id="4"/>
      <w:bookmarkEnd w:id="5"/>
    </w:p>
    <w:p w14:paraId="19B8FDE4" w14:textId="761A6A47" w:rsidR="0040380B" w:rsidRPr="007720E4" w:rsidRDefault="0040380B">
      <w:pPr>
        <w:pStyle w:val="Heading2"/>
        <w:rPr>
          <w:szCs w:val="23"/>
        </w:rPr>
      </w:pPr>
      <w:bookmarkStart w:id="6" w:name="_Toc52674845"/>
      <w:r w:rsidRPr="00D82AF7">
        <w:t xml:space="preserve">This is the </w:t>
      </w:r>
      <w:r w:rsidR="00535E0E">
        <w:t>Standard Restoration</w:t>
      </w:r>
      <w:r w:rsidR="007720E4">
        <w:t>,</w:t>
      </w:r>
      <w:r w:rsidR="00535E0E">
        <w:t xml:space="preserve"> </w:t>
      </w:r>
      <w:r w:rsidR="00E42069">
        <w:t>SLA Premium</w:t>
      </w:r>
      <w:r w:rsidR="007720E4">
        <w:t xml:space="preserve">, and Telstra Provisioning </w:t>
      </w:r>
      <w:r w:rsidR="007720E4" w:rsidRPr="007720E4">
        <w:rPr>
          <w:szCs w:val="23"/>
        </w:rPr>
        <w:t>Commitment</w:t>
      </w:r>
      <w:r w:rsidR="004E1598" w:rsidRPr="007720E4">
        <w:rPr>
          <w:szCs w:val="23"/>
        </w:rPr>
        <w:t xml:space="preserve"> </w:t>
      </w:r>
      <w:r w:rsidRPr="007720E4">
        <w:rPr>
          <w:szCs w:val="23"/>
        </w:rPr>
        <w:t xml:space="preserve">section of Our Customer Terms.  Provisions in other parts </w:t>
      </w:r>
      <w:r w:rsidR="00957E13" w:rsidRPr="007720E4">
        <w:rPr>
          <w:szCs w:val="23"/>
        </w:rPr>
        <w:t>of Our Customer Terms,</w:t>
      </w:r>
      <w:r w:rsidRPr="007720E4">
        <w:rPr>
          <w:szCs w:val="23"/>
        </w:rPr>
        <w:t xml:space="preserve"> as well as in </w:t>
      </w:r>
      <w:hyperlink r:id="rId17" w:history="1">
        <w:r w:rsidR="00A874EA" w:rsidRPr="007720E4">
          <w:rPr>
            <w:rStyle w:val="Hyperlink"/>
            <w:szCs w:val="23"/>
          </w:rPr>
          <w:t>General Terms of Our Customer Terms</w:t>
        </w:r>
      </w:hyperlink>
      <w:r w:rsidRPr="007720E4">
        <w:rPr>
          <w:szCs w:val="23"/>
        </w:rPr>
        <w:t>, may apply.</w:t>
      </w:r>
      <w:bookmarkEnd w:id="6"/>
    </w:p>
    <w:p w14:paraId="68F0E5F3" w14:textId="77777777" w:rsidR="0040380B" w:rsidRPr="007720E4" w:rsidRDefault="0040380B">
      <w:pPr>
        <w:pStyle w:val="Heading8"/>
        <w:numPr>
          <w:ilvl w:val="0"/>
          <w:numId w:val="0"/>
        </w:numPr>
        <w:ind w:left="737"/>
        <w:rPr>
          <w:szCs w:val="23"/>
        </w:rPr>
      </w:pPr>
      <w:r w:rsidRPr="007720E4">
        <w:rPr>
          <w:szCs w:val="23"/>
        </w:rPr>
        <w:t xml:space="preserve">See clause 1 of </w:t>
      </w:r>
      <w:hyperlink r:id="rId18" w:history="1">
        <w:r w:rsidRPr="007720E4">
          <w:rPr>
            <w:rStyle w:val="Hyperlink"/>
            <w:szCs w:val="23"/>
          </w:rPr>
          <w:t>the General Terms of Our Customer Terms</w:t>
        </w:r>
      </w:hyperlink>
      <w:r w:rsidRPr="007720E4">
        <w:rPr>
          <w:szCs w:val="23"/>
        </w:rPr>
        <w:t xml:space="preserve"> for more detail on how the various sections of Our Customer Terms should be read together.</w:t>
      </w:r>
    </w:p>
    <w:p w14:paraId="7CB2781C" w14:textId="34CA9E95" w:rsidR="00703978" w:rsidRPr="004F4EE8" w:rsidRDefault="00703978" w:rsidP="00703978">
      <w:pPr>
        <w:pStyle w:val="Indent1"/>
      </w:pPr>
      <w:bookmarkStart w:id="7" w:name="_Toc224561934"/>
      <w:bookmarkStart w:id="8" w:name="_Toc208576766"/>
      <w:r w:rsidRPr="004F4EE8">
        <w:t>Inconsistencies</w:t>
      </w:r>
      <w:bookmarkEnd w:id="7"/>
      <w:bookmarkEnd w:id="8"/>
    </w:p>
    <w:p w14:paraId="65B6CC65" w14:textId="77777777" w:rsidR="00563271" w:rsidRPr="007720E4" w:rsidRDefault="00703978" w:rsidP="00BA4E7D">
      <w:pPr>
        <w:pStyle w:val="Heading2"/>
      </w:pPr>
      <w:r w:rsidRPr="007720E4">
        <w:t xml:space="preserve">If the </w:t>
      </w:r>
      <w:hyperlink r:id="rId19" w:history="1">
        <w:r w:rsidRPr="007720E4">
          <w:rPr>
            <w:rStyle w:val="Hyperlink"/>
            <w:szCs w:val="23"/>
          </w:rPr>
          <w:t>General Terms of Our Customer Terms</w:t>
        </w:r>
      </w:hyperlink>
      <w:r w:rsidRPr="007720E4">
        <w:t xml:space="preserve"> are inconsistent with something in </w:t>
      </w:r>
      <w:r w:rsidR="007C6130">
        <w:t>this</w:t>
      </w:r>
      <w:r w:rsidRPr="007720E4">
        <w:t xml:space="preserve"> </w:t>
      </w:r>
      <w:r w:rsidR="00535E0E" w:rsidRPr="007720E4">
        <w:t>Standard Restoration</w:t>
      </w:r>
      <w:r w:rsidR="00BA4E7D">
        <w:t>,</w:t>
      </w:r>
      <w:r w:rsidR="00535E0E" w:rsidRPr="007720E4">
        <w:t xml:space="preserve"> </w:t>
      </w:r>
      <w:r w:rsidR="00E42069" w:rsidRPr="007720E4">
        <w:t>SLA Premium</w:t>
      </w:r>
      <w:r w:rsidR="004E1598" w:rsidRPr="007720E4">
        <w:t xml:space="preserve"> </w:t>
      </w:r>
      <w:r w:rsidR="00BA4E7D">
        <w:t xml:space="preserve">and Telstra Provisioning Commitment </w:t>
      </w:r>
      <w:r w:rsidRPr="007720E4">
        <w:t xml:space="preserve">section, then </w:t>
      </w:r>
      <w:r w:rsidR="00F13883" w:rsidRPr="007720E4">
        <w:t xml:space="preserve">this </w:t>
      </w:r>
      <w:r w:rsidR="00BA4E7D" w:rsidRPr="00BA4E7D">
        <w:rPr>
          <w:szCs w:val="23"/>
        </w:rPr>
        <w:t xml:space="preserve">Standard Restoration, SLA Premium and Telstra Provisioning Commitment section </w:t>
      </w:r>
      <w:r w:rsidRPr="007720E4">
        <w:t>applies instead of the General Terms of Our Customer Terms to the extent of the inconsistency.</w:t>
      </w:r>
    </w:p>
    <w:p w14:paraId="30CC3335" w14:textId="13477502" w:rsidR="00EA3EF8" w:rsidRDefault="00EA3EF8" w:rsidP="00BA4E7D">
      <w:pPr>
        <w:pStyle w:val="Heading2"/>
      </w:pPr>
      <w:r w:rsidRPr="00D82AF7">
        <w:t xml:space="preserve">If </w:t>
      </w:r>
      <w:r w:rsidR="00BA4E7D">
        <w:t>this</w:t>
      </w:r>
      <w:r w:rsidR="00BA4E7D" w:rsidRPr="00BA4E7D">
        <w:t xml:space="preserve"> Standard Restoration, SLA Premium and Telstra Provisioning Commitment section </w:t>
      </w:r>
      <w:r w:rsidRPr="00D82AF7">
        <w:t>is inconsistent with something in the individual product sections of Our Customer Terms, then the Service Level section applies instead of the individual product section of Our Customer Terms to the extent of the inconsistency.</w:t>
      </w:r>
    </w:p>
    <w:p w14:paraId="376090FA" w14:textId="3A05295D" w:rsidR="00354397" w:rsidRDefault="00354397" w:rsidP="005111B9">
      <w:pPr>
        <w:pStyle w:val="Indent1"/>
      </w:pPr>
      <w:bookmarkStart w:id="9" w:name="_Toc208576767"/>
      <w:r>
        <w:t>Availability</w:t>
      </w:r>
      <w:bookmarkEnd w:id="9"/>
    </w:p>
    <w:p w14:paraId="0D0C6387" w14:textId="1EE48AD6" w:rsidR="00354397" w:rsidRPr="00D82AF7" w:rsidRDefault="00354397" w:rsidP="00BA4E7D">
      <w:pPr>
        <w:pStyle w:val="Heading2"/>
      </w:pPr>
      <w:r>
        <w:t xml:space="preserve">The Standard Restoration and SLA Premium service levels in this section are </w:t>
      </w:r>
      <w:r w:rsidRPr="005111B9">
        <w:rPr>
          <w:b/>
          <w:bCs w:val="0"/>
        </w:rPr>
        <w:t>no longer available on and from 8 January 202</w:t>
      </w:r>
      <w:r>
        <w:rPr>
          <w:b/>
          <w:bCs w:val="0"/>
        </w:rPr>
        <w:t>1</w:t>
      </w:r>
      <w:r>
        <w:t>.  Please refer to the new Standard Restoration and SLA Premium section of Our Customer Terms for our current standard and enhanced service levels.</w:t>
      </w:r>
    </w:p>
    <w:p w14:paraId="24D53D0A" w14:textId="45462E2B" w:rsidR="00BA0434" w:rsidRDefault="00535E0E" w:rsidP="00BA0434">
      <w:pPr>
        <w:pStyle w:val="Heading1"/>
      </w:pPr>
      <w:bookmarkStart w:id="10" w:name="_Toc226449105"/>
      <w:bookmarkStart w:id="11" w:name="_Toc208576768"/>
      <w:bookmarkEnd w:id="10"/>
      <w:r>
        <w:t xml:space="preserve">Standard Restoration and </w:t>
      </w:r>
      <w:r w:rsidR="00E42069">
        <w:t>SLA Premium</w:t>
      </w:r>
      <w:bookmarkEnd w:id="11"/>
    </w:p>
    <w:p w14:paraId="239378BC" w14:textId="65CEB046" w:rsidR="00BA0434" w:rsidRPr="00D82AF7" w:rsidRDefault="00382D59" w:rsidP="00BA0434">
      <w:pPr>
        <w:pStyle w:val="Indent1"/>
      </w:pPr>
      <w:bookmarkStart w:id="12" w:name="_Toc208576769"/>
      <w:r w:rsidRPr="00D82AF7">
        <w:t>D</w:t>
      </w:r>
      <w:r w:rsidR="00BA0434" w:rsidRPr="00D82AF7">
        <w:t xml:space="preserve">escription </w:t>
      </w:r>
      <w:r w:rsidR="00995734" w:rsidRPr="00D82AF7">
        <w:t xml:space="preserve">of </w:t>
      </w:r>
      <w:r w:rsidR="00535E0E">
        <w:t xml:space="preserve">Standard Restoration service levels and </w:t>
      </w:r>
      <w:r w:rsidR="00E42069">
        <w:t>SLA Premium</w:t>
      </w:r>
      <w:r w:rsidR="00953DA3" w:rsidRPr="00D82AF7">
        <w:t xml:space="preserve"> </w:t>
      </w:r>
      <w:r w:rsidR="00995734" w:rsidRPr="00D82AF7">
        <w:t>service levels</w:t>
      </w:r>
      <w:bookmarkEnd w:id="12"/>
    </w:p>
    <w:p w14:paraId="6B8B7E70" w14:textId="56A3C14B" w:rsidR="0075704A" w:rsidRDefault="0075704A" w:rsidP="0075704A">
      <w:pPr>
        <w:pStyle w:val="Heading2"/>
      </w:pPr>
      <w:r>
        <w:rPr>
          <w:bCs w:val="0"/>
        </w:rPr>
        <w:t xml:space="preserve">On and from 29 May 2012, any application for </w:t>
      </w:r>
      <w:r w:rsidR="002D74B8">
        <w:rPr>
          <w:bCs w:val="0"/>
        </w:rPr>
        <w:t>an</w:t>
      </w:r>
      <w:r>
        <w:rPr>
          <w:bCs w:val="0"/>
        </w:rPr>
        <w:t xml:space="preserve"> SLA Premium service level is </w:t>
      </w:r>
      <w:r w:rsidRPr="00051CB9">
        <w:rPr>
          <w:bCs w:val="0"/>
        </w:rPr>
        <w:t>subject to feasibility and our approval</w:t>
      </w:r>
      <w:r>
        <w:rPr>
          <w:bCs w:val="0"/>
        </w:rPr>
        <w:t>.  We will notify you if your application is successful.</w:t>
      </w:r>
    </w:p>
    <w:p w14:paraId="617E8D17" w14:textId="05D6CE60" w:rsidR="006140FC" w:rsidRPr="00D82AF7" w:rsidRDefault="006140FC" w:rsidP="00954CE2">
      <w:pPr>
        <w:pStyle w:val="Heading2"/>
      </w:pPr>
      <w:r w:rsidRPr="00D82AF7">
        <w:t>The</w:t>
      </w:r>
      <w:r w:rsidR="00966B9E" w:rsidRPr="00D82AF7">
        <w:t xml:space="preserve"> </w:t>
      </w:r>
      <w:r w:rsidR="00535E0E">
        <w:t xml:space="preserve">Standard Restoration service levels and </w:t>
      </w:r>
      <w:r w:rsidR="00E42069">
        <w:t>SLA Premium</w:t>
      </w:r>
      <w:r w:rsidRPr="00D82AF7">
        <w:t xml:space="preserve"> service levels </w:t>
      </w:r>
      <w:r w:rsidR="00DE780F" w:rsidRPr="00D82AF7">
        <w:t>are</w:t>
      </w:r>
      <w:r w:rsidRPr="00D82AF7">
        <w:t xml:space="preserve"> indicative timeframe</w:t>
      </w:r>
      <w:r w:rsidR="00DE780F" w:rsidRPr="00D82AF7">
        <w:t>s</w:t>
      </w:r>
      <w:r w:rsidR="007065FA" w:rsidRPr="00D82AF7">
        <w:t xml:space="preserve"> for</w:t>
      </w:r>
      <w:r w:rsidRPr="00D82AF7">
        <w:t xml:space="preserve"> </w:t>
      </w:r>
      <w:r w:rsidR="00DE780F" w:rsidRPr="00D82AF7">
        <w:t>the restoration of</w:t>
      </w:r>
      <w:r w:rsidR="006B4A9A" w:rsidRPr="00D82AF7">
        <w:t xml:space="preserve"> your service following</w:t>
      </w:r>
      <w:r w:rsidR="00DE780F" w:rsidRPr="00D82AF7">
        <w:t xml:space="preserve"> </w:t>
      </w:r>
      <w:r w:rsidR="00824CCF" w:rsidRPr="00D82AF7">
        <w:t xml:space="preserve">a fault in </w:t>
      </w:r>
      <w:r w:rsidR="00DE780F" w:rsidRPr="00D82AF7">
        <w:t xml:space="preserve">your </w:t>
      </w:r>
      <w:r w:rsidR="00D74638" w:rsidRPr="00D82AF7">
        <w:t xml:space="preserve">product or </w:t>
      </w:r>
      <w:r w:rsidR="00DE780F" w:rsidRPr="00D82AF7">
        <w:t xml:space="preserve">service. </w:t>
      </w:r>
      <w:r w:rsidR="0035457E" w:rsidRPr="00D82AF7">
        <w:t xml:space="preserve"> We aim to meet the restoration </w:t>
      </w:r>
      <w:r w:rsidR="002D74B8">
        <w:t>times,</w:t>
      </w:r>
      <w:r w:rsidR="0035457E" w:rsidRPr="00D82AF7">
        <w:t xml:space="preserve"> but we do not guarantee that we will meet them.</w:t>
      </w:r>
    </w:p>
    <w:p w14:paraId="4EF795AE" w14:textId="77777777" w:rsidR="00A71540" w:rsidRPr="00D82AF7" w:rsidRDefault="00A71540" w:rsidP="00954CE2">
      <w:pPr>
        <w:pStyle w:val="Heading2"/>
      </w:pPr>
      <w:r w:rsidRPr="00D82AF7">
        <w:t xml:space="preserve">Our restoration </w:t>
      </w:r>
      <w:r w:rsidR="00E528F2">
        <w:t>times</w:t>
      </w:r>
      <w:r w:rsidRPr="00D82AF7">
        <w:t xml:space="preserve"> commence once we have entered </w:t>
      </w:r>
      <w:r w:rsidR="00A43B98" w:rsidRPr="00D82AF7">
        <w:t xml:space="preserve">all the required </w:t>
      </w:r>
      <w:r w:rsidR="001A4A6F" w:rsidRPr="00D82AF7">
        <w:t>information</w:t>
      </w:r>
      <w:r w:rsidR="00A43B98" w:rsidRPr="00D82AF7">
        <w:t xml:space="preserve"> from you in our sy</w:t>
      </w:r>
      <w:r w:rsidR="00DA4966" w:rsidRPr="00D82AF7">
        <w:t>s</w:t>
      </w:r>
      <w:r w:rsidR="00A43B98" w:rsidRPr="00D82AF7">
        <w:t>tems</w:t>
      </w:r>
      <w:r w:rsidR="0032246E">
        <w:t xml:space="preserve"> and a fault number is generated</w:t>
      </w:r>
      <w:r w:rsidR="00A43B98" w:rsidRPr="00D82AF7">
        <w:t>.  You can ask us to tell you when that is.</w:t>
      </w:r>
    </w:p>
    <w:p w14:paraId="0B360463" w14:textId="42FAAD79" w:rsidR="00E838DE" w:rsidRDefault="00E838DE" w:rsidP="00954CE2">
      <w:pPr>
        <w:pStyle w:val="Heading2"/>
      </w:pPr>
      <w:r w:rsidRPr="00D82AF7">
        <w:lastRenderedPageBreak/>
        <w:t xml:space="preserve">Unless otherwise agreed with you, where </w:t>
      </w:r>
      <w:r w:rsidR="004C6DA0" w:rsidRPr="00D82AF7">
        <w:t xml:space="preserve">a </w:t>
      </w:r>
      <w:r w:rsidRPr="00D82AF7">
        <w:t xml:space="preserve">service has one end in a different </w:t>
      </w:r>
      <w:r w:rsidR="00702E4C">
        <w:t>area</w:t>
      </w:r>
      <w:r w:rsidR="00743B7B">
        <w:t xml:space="preserve"> (</w:t>
      </w:r>
      <w:r w:rsidR="002D74B8">
        <w:t>e.g.</w:t>
      </w:r>
      <w:r w:rsidR="00743B7B">
        <w:t xml:space="preserve"> </w:t>
      </w:r>
      <w:r w:rsidR="00702E4C">
        <w:t>u</w:t>
      </w:r>
      <w:r w:rsidR="00743B7B">
        <w:t>rban</w:t>
      </w:r>
      <w:r w:rsidR="00702E4C">
        <w:t xml:space="preserve"> area</w:t>
      </w:r>
      <w:r w:rsidR="00743B7B">
        <w:t>, rural</w:t>
      </w:r>
      <w:r w:rsidR="00702E4C">
        <w:t xml:space="preserve"> area</w:t>
      </w:r>
      <w:r w:rsidR="00743B7B">
        <w:t xml:space="preserve"> or remote</w:t>
      </w:r>
      <w:r w:rsidR="00702E4C">
        <w:t xml:space="preserve"> area</w:t>
      </w:r>
      <w:r w:rsidR="00743B7B">
        <w:t>)</w:t>
      </w:r>
      <w:r w:rsidRPr="00D82AF7">
        <w:t xml:space="preserve"> to the other end, the service will</w:t>
      </w:r>
      <w:r w:rsidR="00743B7B">
        <w:t xml:space="preserve"> be</w:t>
      </w:r>
      <w:r w:rsidRPr="00D82AF7">
        <w:t xml:space="preserve"> classed according to the </w:t>
      </w:r>
      <w:r w:rsidR="00702E4C">
        <w:t>area</w:t>
      </w:r>
      <w:r w:rsidRPr="00D82AF7">
        <w:t xml:space="preserve"> which provides the l</w:t>
      </w:r>
      <w:r w:rsidR="004C6DA0" w:rsidRPr="00D82AF7">
        <w:t>o</w:t>
      </w:r>
      <w:r w:rsidR="00A54EE9">
        <w:t>nger</w:t>
      </w:r>
      <w:r w:rsidRPr="00D82AF7">
        <w:t xml:space="preserve"> restoration</w:t>
      </w:r>
      <w:r w:rsidR="004C6DA0" w:rsidRPr="00D82AF7">
        <w:t xml:space="preserve"> </w:t>
      </w:r>
      <w:r w:rsidR="00E528F2">
        <w:t>time.</w:t>
      </w:r>
    </w:p>
    <w:p w14:paraId="32530B14" w14:textId="77777777" w:rsidR="00743B7B" w:rsidRDefault="00743B7B" w:rsidP="00954CE2">
      <w:pPr>
        <w:pStyle w:val="Heading2"/>
      </w:pPr>
      <w:r>
        <w:t>We will tell you at the time that you apply for</w:t>
      </w:r>
      <w:r w:rsidR="00535E0E">
        <w:t xml:space="preserve"> the Standard Restoration service level or the</w:t>
      </w:r>
      <w:r>
        <w:t xml:space="preserve"> </w:t>
      </w:r>
      <w:r w:rsidR="00E42069">
        <w:t>SLA Premium</w:t>
      </w:r>
      <w:r>
        <w:t xml:space="preserve"> service</w:t>
      </w:r>
      <w:r w:rsidR="00702E4C">
        <w:t xml:space="preserve"> level</w:t>
      </w:r>
      <w:r>
        <w:t xml:space="preserve"> whether your site or sites where the service level applies is located in an urban area, a rural area or a remote area. </w:t>
      </w:r>
    </w:p>
    <w:p w14:paraId="36DCD230" w14:textId="0FBB0350" w:rsidR="00A43B98" w:rsidRPr="00D82AF7" w:rsidRDefault="00A43B98" w:rsidP="00A43B98">
      <w:pPr>
        <w:pStyle w:val="Indent1"/>
      </w:pPr>
      <w:bookmarkStart w:id="13" w:name="_Toc262205603"/>
      <w:bookmarkStart w:id="14" w:name="_Toc208576770"/>
      <w:r w:rsidRPr="00D82AF7">
        <w:t>Response times,</w:t>
      </w:r>
      <w:r w:rsidR="00A56791" w:rsidRPr="00D82AF7">
        <w:t xml:space="preserve"> report and </w:t>
      </w:r>
      <w:r w:rsidRPr="00D82AF7">
        <w:t>restoration targets</w:t>
      </w:r>
      <w:bookmarkEnd w:id="13"/>
      <w:bookmarkEnd w:id="14"/>
    </w:p>
    <w:p w14:paraId="50783FB2" w14:textId="77777777" w:rsidR="00A43B98" w:rsidRPr="00D82AF7" w:rsidRDefault="00A43B98" w:rsidP="00A43B98">
      <w:pPr>
        <w:pStyle w:val="Heading2"/>
      </w:pPr>
      <w:r w:rsidRPr="00D82AF7">
        <w:t xml:space="preserve">Our </w:t>
      </w:r>
      <w:r w:rsidRPr="00D82AF7">
        <w:rPr>
          <w:b/>
          <w:bCs w:val="0"/>
        </w:rPr>
        <w:t>response time</w:t>
      </w:r>
      <w:r w:rsidRPr="00D82AF7">
        <w:t xml:space="preserve"> is the period commencing when a valid service fault report is received by us and ending on the first to occur of:</w:t>
      </w:r>
    </w:p>
    <w:p w14:paraId="30307BB6" w14:textId="77777777" w:rsidR="00A43B98" w:rsidRPr="00D82AF7" w:rsidRDefault="00A43B98" w:rsidP="00A43B98">
      <w:pPr>
        <w:pStyle w:val="Heading3"/>
      </w:pPr>
      <w:r w:rsidRPr="00D82AF7">
        <w:t xml:space="preserve">when we tell you that the fault has been identified by remote diagnostics and that work has commenced to identify the </w:t>
      </w:r>
      <w:proofErr w:type="gramStart"/>
      <w:r w:rsidRPr="00D82AF7">
        <w:t>fault;</w:t>
      </w:r>
      <w:proofErr w:type="gramEnd"/>
    </w:p>
    <w:p w14:paraId="4F06CC1C" w14:textId="77777777" w:rsidR="00A43B98" w:rsidRPr="00D82AF7" w:rsidRDefault="00A43B98" w:rsidP="00A43B98">
      <w:pPr>
        <w:pStyle w:val="Heading3"/>
      </w:pPr>
      <w:r w:rsidRPr="00D82AF7">
        <w:t>when we tell you that a site visit is required; or</w:t>
      </w:r>
    </w:p>
    <w:p w14:paraId="52D12397" w14:textId="77777777" w:rsidR="00A43B98" w:rsidRPr="00D82AF7" w:rsidRDefault="00A43B98" w:rsidP="00A43B98">
      <w:pPr>
        <w:pStyle w:val="Heading3"/>
      </w:pPr>
      <w:r w:rsidRPr="00D82AF7">
        <w:t>when one of our representatives attends the site.</w:t>
      </w:r>
    </w:p>
    <w:p w14:paraId="3C4F3464" w14:textId="77777777" w:rsidR="00A43B98" w:rsidRPr="00D82AF7" w:rsidRDefault="00A43B98" w:rsidP="00A43B98">
      <w:pPr>
        <w:pStyle w:val="Indent2"/>
      </w:pPr>
      <w:r w:rsidRPr="00D82AF7">
        <w:t>We exclude any hours during that period that are outside the coverage period.</w:t>
      </w:r>
    </w:p>
    <w:p w14:paraId="4599C6AE" w14:textId="77777777" w:rsidR="00A56791" w:rsidRPr="00D82AF7" w:rsidRDefault="00A56791" w:rsidP="00A56791">
      <w:pPr>
        <w:pStyle w:val="Heading2"/>
      </w:pPr>
      <w:r w:rsidRPr="00D82AF7">
        <w:t xml:space="preserve">Our </w:t>
      </w:r>
      <w:r w:rsidRPr="00D82AF7">
        <w:rPr>
          <w:b/>
          <w:bCs w:val="0"/>
        </w:rPr>
        <w:t>restoration time</w:t>
      </w:r>
      <w:r w:rsidRPr="00D82AF7">
        <w:t xml:space="preserve"> is the period commencing when a valid service fault report is received by us </w:t>
      </w:r>
      <w:r w:rsidR="0032246E">
        <w:t xml:space="preserve">and </w:t>
      </w:r>
      <w:r w:rsidR="0032246E" w:rsidRPr="00D82AF7">
        <w:t xml:space="preserve">we have entered all the required information from you in our </w:t>
      </w:r>
      <w:proofErr w:type="gramStart"/>
      <w:r w:rsidR="0032246E" w:rsidRPr="00D82AF7">
        <w:t>systems</w:t>
      </w:r>
      <w:proofErr w:type="gramEnd"/>
      <w:r w:rsidR="0032246E" w:rsidRPr="00D82AF7">
        <w:t xml:space="preserve"> </w:t>
      </w:r>
      <w:r w:rsidR="0032246E">
        <w:t>and a fault number is generated</w:t>
      </w:r>
      <w:r w:rsidR="00965615">
        <w:t xml:space="preserve"> </w:t>
      </w:r>
      <w:r w:rsidRPr="00D82AF7">
        <w:t>and ending on the first to occur of:</w:t>
      </w:r>
    </w:p>
    <w:p w14:paraId="3767DFB2" w14:textId="77777777" w:rsidR="00A56791" w:rsidRPr="00D82AF7" w:rsidRDefault="00A56791" w:rsidP="00A56791">
      <w:pPr>
        <w:pStyle w:val="Heading3"/>
        <w:numPr>
          <w:ilvl w:val="2"/>
          <w:numId w:val="21"/>
        </w:numPr>
      </w:pPr>
      <w:r w:rsidRPr="00D82AF7">
        <w:t>the service is returned to full working order; or</w:t>
      </w:r>
    </w:p>
    <w:p w14:paraId="26FD8B61" w14:textId="77777777" w:rsidR="00A56791" w:rsidRPr="00D82AF7" w:rsidRDefault="00A56791" w:rsidP="00A56791">
      <w:pPr>
        <w:pStyle w:val="Heading3"/>
      </w:pPr>
      <w:r w:rsidRPr="00D82AF7">
        <w:t>a temporary repair is performed which allows the service to be used.</w:t>
      </w:r>
    </w:p>
    <w:p w14:paraId="67D8C84D" w14:textId="77777777" w:rsidR="00A56791" w:rsidRPr="00D82AF7" w:rsidRDefault="00A56791" w:rsidP="00A56791">
      <w:pPr>
        <w:pStyle w:val="Indent2"/>
      </w:pPr>
      <w:r w:rsidRPr="00D82AF7">
        <w:t>We exclude any hours during that period, which are outside the coverage period.</w:t>
      </w:r>
    </w:p>
    <w:p w14:paraId="0289176E" w14:textId="7BA9A73F" w:rsidR="000B0945" w:rsidRPr="00D82AF7" w:rsidRDefault="000B0945" w:rsidP="000B0945">
      <w:pPr>
        <w:pStyle w:val="Indent1"/>
      </w:pPr>
      <w:bookmarkStart w:id="15" w:name="_Toc208576771"/>
      <w:r w:rsidRPr="00D82AF7">
        <w:t>Service level exclusions - restoration</w:t>
      </w:r>
      <w:bookmarkEnd w:id="15"/>
    </w:p>
    <w:p w14:paraId="60548830" w14:textId="77777777" w:rsidR="000B0945" w:rsidRPr="00D82AF7" w:rsidRDefault="005C038D" w:rsidP="000B0945">
      <w:pPr>
        <w:pStyle w:val="Heading2"/>
      </w:pPr>
      <w:r w:rsidRPr="00D82AF7">
        <w:t>Our restoration service levels do not apply where the restoration time is affected by</w:t>
      </w:r>
      <w:r w:rsidR="000B0945" w:rsidRPr="00D82AF7">
        <w:t>:</w:t>
      </w:r>
    </w:p>
    <w:p w14:paraId="25F9803E" w14:textId="77777777" w:rsidR="000B0945" w:rsidRPr="00D82AF7" w:rsidRDefault="005C038D" w:rsidP="000B0945">
      <w:pPr>
        <w:pStyle w:val="Heading3"/>
      </w:pPr>
      <w:r w:rsidRPr="00D82AF7">
        <w:t>a</w:t>
      </w:r>
      <w:r w:rsidR="000B0945" w:rsidRPr="00D82AF7">
        <w:t xml:space="preserve"> fault with your product or service</w:t>
      </w:r>
      <w:r w:rsidRPr="00D82AF7">
        <w:t xml:space="preserve"> that</w:t>
      </w:r>
      <w:r w:rsidR="000B0945" w:rsidRPr="00D82AF7">
        <w:t xml:space="preserve"> is caused by </w:t>
      </w:r>
      <w:proofErr w:type="gramStart"/>
      <w:r w:rsidR="000B0945" w:rsidRPr="00D82AF7">
        <w:t>you;</w:t>
      </w:r>
      <w:proofErr w:type="gramEnd"/>
    </w:p>
    <w:p w14:paraId="6FB99D18" w14:textId="77777777" w:rsidR="000B0945" w:rsidRPr="00D82AF7" w:rsidRDefault="005C038D" w:rsidP="000B0945">
      <w:pPr>
        <w:pStyle w:val="Heading3"/>
      </w:pPr>
      <w:r w:rsidRPr="00D82AF7">
        <w:t xml:space="preserve">the cutting of </w:t>
      </w:r>
      <w:r w:rsidR="000B0945" w:rsidRPr="00D82AF7">
        <w:t>cable</w:t>
      </w:r>
      <w:r w:rsidR="00420E10" w:rsidRPr="00D82AF7">
        <w:t xml:space="preserve"> </w:t>
      </w:r>
      <w:r w:rsidR="00A03386" w:rsidRPr="00D82AF7">
        <w:t xml:space="preserve">or fibre </w:t>
      </w:r>
      <w:r w:rsidR="00420E10" w:rsidRPr="00D82AF7">
        <w:t>which</w:t>
      </w:r>
      <w:r w:rsidR="000B0945" w:rsidRPr="00D82AF7">
        <w:t xml:space="preserve"> is needed to pro</w:t>
      </w:r>
      <w:r w:rsidR="00F46119" w:rsidRPr="00D82AF7">
        <w:t xml:space="preserve">vide your product or </w:t>
      </w:r>
      <w:proofErr w:type="gramStart"/>
      <w:r w:rsidR="00F46119" w:rsidRPr="00D82AF7">
        <w:t>service;</w:t>
      </w:r>
      <w:proofErr w:type="gramEnd"/>
    </w:p>
    <w:p w14:paraId="3ECC8201" w14:textId="77777777" w:rsidR="00A43B98" w:rsidRPr="00D82AF7" w:rsidRDefault="000B0945" w:rsidP="00F46119">
      <w:pPr>
        <w:pStyle w:val="Heading3"/>
      </w:pPr>
      <w:r w:rsidRPr="00D82AF7">
        <w:t>interference or damag</w:t>
      </w:r>
      <w:r w:rsidR="00F46119" w:rsidRPr="00D82AF7">
        <w:t xml:space="preserve">e </w:t>
      </w:r>
      <w:r w:rsidR="00420E10" w:rsidRPr="00D82AF7">
        <w:t>to</w:t>
      </w:r>
      <w:r w:rsidR="00F46119" w:rsidRPr="00D82AF7">
        <w:t xml:space="preserve"> our equipment or network</w:t>
      </w:r>
      <w:r w:rsidR="00420E10" w:rsidRPr="00D82AF7">
        <w:t xml:space="preserve"> by you or by a third </w:t>
      </w:r>
      <w:proofErr w:type="gramStart"/>
      <w:r w:rsidR="00420E10" w:rsidRPr="00D82AF7">
        <w:t>party</w:t>
      </w:r>
      <w:r w:rsidR="00F46119" w:rsidRPr="00D82AF7">
        <w:t>;</w:t>
      </w:r>
      <w:proofErr w:type="gramEnd"/>
    </w:p>
    <w:p w14:paraId="46A42393" w14:textId="77777777" w:rsidR="009032D2" w:rsidRPr="00D82AF7" w:rsidRDefault="00D9651C" w:rsidP="00F46119">
      <w:pPr>
        <w:pStyle w:val="Heading3"/>
      </w:pPr>
      <w:r w:rsidRPr="00D82AF7">
        <w:t>a fault beyond our network boundary point or with your equipment (unless we have specifically agreed in writing to support these things)</w:t>
      </w:r>
      <w:r w:rsidR="004B4949">
        <w:t xml:space="preserve">.  Without limiting the foregoing, </w:t>
      </w:r>
      <w:r w:rsidR="00970D3E" w:rsidRPr="004B4949">
        <w:t xml:space="preserve">FTTN and FTTB (VDSL) devices not registered with </w:t>
      </w:r>
      <w:proofErr w:type="spellStart"/>
      <w:r w:rsidR="00970D3E" w:rsidRPr="004B4949">
        <w:rPr>
          <w:b/>
        </w:rPr>
        <w:t>nbn</w:t>
      </w:r>
      <w:proofErr w:type="spellEnd"/>
      <w:r w:rsidR="00970D3E" w:rsidRPr="004B4949">
        <w:t>™ will not be supported on, or eligible for, SLA</w:t>
      </w:r>
      <w:r w:rsidR="004B4949">
        <w:t xml:space="preserve"> </w:t>
      </w:r>
      <w:proofErr w:type="gramStart"/>
      <w:r w:rsidR="004B4949">
        <w:t>Premium;</w:t>
      </w:r>
      <w:proofErr w:type="gramEnd"/>
    </w:p>
    <w:p w14:paraId="21F5959F" w14:textId="77777777" w:rsidR="00F46119" w:rsidRPr="00D82AF7" w:rsidRDefault="009032D2" w:rsidP="00F46119">
      <w:pPr>
        <w:pStyle w:val="Heading3"/>
      </w:pPr>
      <w:r w:rsidRPr="00D82AF7">
        <w:t xml:space="preserve">you not giving us sufficient and timely access to your premises and equipment so that we can carry out the repair or restoration; </w:t>
      </w:r>
      <w:r w:rsidR="00F46119" w:rsidRPr="00D82AF7">
        <w:t>or</w:t>
      </w:r>
    </w:p>
    <w:p w14:paraId="6579B8B8" w14:textId="77777777" w:rsidR="00174CAC" w:rsidRPr="00D82AF7" w:rsidRDefault="00420E10" w:rsidP="00F46119">
      <w:pPr>
        <w:pStyle w:val="Heading3"/>
      </w:pPr>
      <w:r w:rsidRPr="00D82AF7">
        <w:lastRenderedPageBreak/>
        <w:t>any other cause beyond our reasonable control</w:t>
      </w:r>
      <w:r w:rsidR="009F6B9F" w:rsidRPr="00D82AF7">
        <w:t xml:space="preserve"> (including, but not limited to, acts of God, industrial disputes of any kind, lightening, fire, earthquake, storm, flood, government </w:t>
      </w:r>
      <w:r w:rsidR="00A1073B" w:rsidRPr="00D82AF7">
        <w:t>restriction</w:t>
      </w:r>
      <w:r w:rsidR="00530238" w:rsidRPr="00D82AF7">
        <w:t>, determination of the Australian Competition and Consumer Commission, determination of any court of law</w:t>
      </w:r>
      <w:r w:rsidR="009F6B9F" w:rsidRPr="00D82AF7">
        <w:t xml:space="preserve"> or any such similar event)</w:t>
      </w:r>
      <w:r w:rsidR="00F46119" w:rsidRPr="00D82AF7">
        <w:t>.</w:t>
      </w:r>
    </w:p>
    <w:p w14:paraId="09B06162" w14:textId="77777777" w:rsidR="00954CE2" w:rsidRPr="00D82AF7" w:rsidRDefault="00C641F8" w:rsidP="00954CE2">
      <w:pPr>
        <w:pStyle w:val="Heading2"/>
      </w:pPr>
      <w:r>
        <w:t xml:space="preserve">For the </w:t>
      </w:r>
      <w:r w:rsidR="00535E0E">
        <w:t xml:space="preserve">access services and </w:t>
      </w:r>
      <w:r>
        <w:t xml:space="preserve">solutions set out in restoration service level table below we offer </w:t>
      </w:r>
      <w:r w:rsidR="00535E0E">
        <w:t xml:space="preserve">you the option to select </w:t>
      </w:r>
      <w:r>
        <w:t xml:space="preserve">a </w:t>
      </w:r>
      <w:r w:rsidR="00535E0E">
        <w:t>S</w:t>
      </w:r>
      <w:r>
        <w:t xml:space="preserve">tandard </w:t>
      </w:r>
      <w:r w:rsidR="00535E0E">
        <w:t>R</w:t>
      </w:r>
      <w:r>
        <w:t>estoration service level</w:t>
      </w:r>
      <w:r w:rsidR="00535E0E">
        <w:t xml:space="preserve"> or for an additional charge</w:t>
      </w:r>
      <w:r w:rsidR="0049653F">
        <w:t>,</w:t>
      </w:r>
      <w:r w:rsidR="00535E0E">
        <w:t xml:space="preserve"> to apply for an SLA Premium service level.  The Standard Restoration service levels and the </w:t>
      </w:r>
      <w:r w:rsidR="00E42069">
        <w:t>SLA Premium</w:t>
      </w:r>
      <w:r w:rsidR="00927CD2" w:rsidRPr="00D82AF7">
        <w:t xml:space="preserve"> </w:t>
      </w:r>
      <w:r w:rsidR="00B26ED7" w:rsidRPr="00D82AF7">
        <w:t>service levels</w:t>
      </w:r>
      <w:r w:rsidR="00F37D52" w:rsidRPr="00D82AF7">
        <w:t xml:space="preserve"> are explained in the table below</w:t>
      </w:r>
      <w:r w:rsidR="00C804E7" w:rsidRPr="00D82AF7">
        <w:t>:</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4715"/>
        <w:gridCol w:w="2070"/>
      </w:tblGrid>
      <w:tr w:rsidR="00F37D52" w:rsidRPr="001A031B" w14:paraId="34E100E5" w14:textId="77777777" w:rsidTr="001A031B">
        <w:trPr>
          <w:cantSplit/>
        </w:trPr>
        <w:tc>
          <w:tcPr>
            <w:tcW w:w="2293" w:type="dxa"/>
            <w:shd w:val="clear" w:color="auto" w:fill="E0E0E0"/>
          </w:tcPr>
          <w:p w14:paraId="4E94ADB7" w14:textId="77777777" w:rsidR="00F37D52" w:rsidRPr="00D14611" w:rsidRDefault="00F37D52" w:rsidP="006959EF">
            <w:pPr>
              <w:pStyle w:val="TableData"/>
            </w:pPr>
            <w:r w:rsidRPr="00D14611">
              <w:t>Restoration service level</w:t>
            </w:r>
          </w:p>
        </w:tc>
        <w:tc>
          <w:tcPr>
            <w:tcW w:w="4715" w:type="dxa"/>
            <w:shd w:val="clear" w:color="auto" w:fill="E0E0E0"/>
          </w:tcPr>
          <w:p w14:paraId="38D91967" w14:textId="77777777" w:rsidR="00F37D52" w:rsidRPr="00D14611" w:rsidRDefault="00F37D52" w:rsidP="006959EF">
            <w:pPr>
              <w:pStyle w:val="TableData"/>
            </w:pPr>
            <w:r w:rsidRPr="00D14611">
              <w:t xml:space="preserve">Description </w:t>
            </w:r>
          </w:p>
        </w:tc>
        <w:tc>
          <w:tcPr>
            <w:tcW w:w="2070" w:type="dxa"/>
            <w:shd w:val="clear" w:color="auto" w:fill="E0E0E0"/>
          </w:tcPr>
          <w:p w14:paraId="7BB048AD" w14:textId="77777777" w:rsidR="00F37D52" w:rsidRPr="00D14611" w:rsidRDefault="00F37D52" w:rsidP="006959EF">
            <w:pPr>
              <w:pStyle w:val="TableData"/>
            </w:pPr>
            <w:r w:rsidRPr="00D14611">
              <w:t>Charges</w:t>
            </w:r>
          </w:p>
        </w:tc>
      </w:tr>
      <w:tr w:rsidR="00F37D52" w:rsidRPr="001A031B" w14:paraId="32D55EF2" w14:textId="77777777" w:rsidTr="001A031B">
        <w:trPr>
          <w:cantSplit/>
        </w:trPr>
        <w:tc>
          <w:tcPr>
            <w:tcW w:w="2293" w:type="dxa"/>
          </w:tcPr>
          <w:p w14:paraId="36EC2855" w14:textId="77777777" w:rsidR="00F37D52" w:rsidRPr="00D82AF7" w:rsidRDefault="00F37D52" w:rsidP="006959EF">
            <w:pPr>
              <w:pStyle w:val="TableData"/>
            </w:pPr>
            <w:r w:rsidRPr="00D82AF7">
              <w:t>Standard restoration service level</w:t>
            </w:r>
          </w:p>
        </w:tc>
        <w:tc>
          <w:tcPr>
            <w:tcW w:w="4715" w:type="dxa"/>
          </w:tcPr>
          <w:p w14:paraId="1CD4283C" w14:textId="77777777" w:rsidR="008A3B2B" w:rsidRPr="001A031B" w:rsidRDefault="00EC4F6F" w:rsidP="00DC1918">
            <w:pPr>
              <w:pStyle w:val="TableData"/>
              <w:rPr>
                <w:b w:val="0"/>
              </w:rPr>
            </w:pPr>
            <w:r w:rsidRPr="001A031B">
              <w:rPr>
                <w:b w:val="0"/>
              </w:rPr>
              <w:t xml:space="preserve">For </w:t>
            </w:r>
            <w:r w:rsidR="008A3B2B" w:rsidRPr="001A031B">
              <w:rPr>
                <w:b w:val="0"/>
              </w:rPr>
              <w:t xml:space="preserve">some products and services, </w:t>
            </w:r>
            <w:r w:rsidR="00DC1918" w:rsidRPr="001A031B">
              <w:rPr>
                <w:b w:val="0"/>
              </w:rPr>
              <w:t>i</w:t>
            </w:r>
            <w:r w:rsidR="008A3B2B" w:rsidRPr="001A031B">
              <w:rPr>
                <w:b w:val="0"/>
              </w:rPr>
              <w:t>f we fail to restore your product or service by th</w:t>
            </w:r>
            <w:r w:rsidR="00DC1918" w:rsidRPr="001A031B">
              <w:rPr>
                <w:b w:val="0"/>
              </w:rPr>
              <w:t xml:space="preserve">e standard restoration </w:t>
            </w:r>
            <w:r w:rsidR="00E528F2">
              <w:rPr>
                <w:b w:val="0"/>
              </w:rPr>
              <w:t>time</w:t>
            </w:r>
            <w:r w:rsidR="008A3B2B" w:rsidRPr="001A031B">
              <w:rPr>
                <w:b w:val="0"/>
              </w:rPr>
              <w:t>, you may be eligible for the rebate described below.  Your ability to claim a rebate will depend on whether you meet the rebate eligibility criteria (as explained below).</w:t>
            </w:r>
          </w:p>
          <w:p w14:paraId="12185A18" w14:textId="77777777" w:rsidR="00F37D52" w:rsidRPr="001A031B" w:rsidRDefault="008A3B2B" w:rsidP="00E528F2">
            <w:pPr>
              <w:pStyle w:val="Heading4"/>
              <w:numPr>
                <w:ilvl w:val="0"/>
                <w:numId w:val="0"/>
              </w:numPr>
              <w:rPr>
                <w:rFonts w:ascii="Arial" w:hAnsi="Arial"/>
                <w:sz w:val="18"/>
              </w:rPr>
            </w:pPr>
            <w:r w:rsidRPr="001A031B">
              <w:rPr>
                <w:rFonts w:ascii="Arial" w:hAnsi="Arial"/>
                <w:sz w:val="18"/>
              </w:rPr>
              <w:t xml:space="preserve">Our standard restoration </w:t>
            </w:r>
            <w:r w:rsidR="00E528F2">
              <w:rPr>
                <w:rFonts w:ascii="Arial" w:hAnsi="Arial"/>
                <w:sz w:val="18"/>
              </w:rPr>
              <w:t>time</w:t>
            </w:r>
            <w:r w:rsidRPr="001A031B">
              <w:rPr>
                <w:rFonts w:ascii="Arial" w:hAnsi="Arial"/>
                <w:sz w:val="18"/>
              </w:rPr>
              <w:t xml:space="preserve">s and the eligible products and services for these </w:t>
            </w:r>
            <w:r w:rsidR="00E528F2">
              <w:rPr>
                <w:rFonts w:ascii="Arial" w:hAnsi="Arial"/>
                <w:sz w:val="18"/>
              </w:rPr>
              <w:t>restoration times</w:t>
            </w:r>
            <w:r w:rsidRPr="001A031B">
              <w:rPr>
                <w:rFonts w:ascii="Arial" w:hAnsi="Arial"/>
                <w:sz w:val="18"/>
              </w:rPr>
              <w:t xml:space="preserve"> are listed in the next section.</w:t>
            </w:r>
          </w:p>
        </w:tc>
        <w:tc>
          <w:tcPr>
            <w:tcW w:w="2070" w:type="dxa"/>
          </w:tcPr>
          <w:p w14:paraId="4B450B75" w14:textId="77777777" w:rsidR="00F37D52" w:rsidRPr="001A031B" w:rsidRDefault="00F37D52" w:rsidP="004D79C1">
            <w:pPr>
              <w:pStyle w:val="TableData"/>
              <w:rPr>
                <w:b w:val="0"/>
              </w:rPr>
            </w:pPr>
            <w:r w:rsidRPr="001A031B">
              <w:rPr>
                <w:b w:val="0"/>
              </w:rPr>
              <w:t>No charge</w:t>
            </w:r>
          </w:p>
        </w:tc>
      </w:tr>
      <w:tr w:rsidR="00F37D52" w:rsidRPr="00D82AF7" w14:paraId="51E3E4C4" w14:textId="77777777" w:rsidTr="001A031B">
        <w:trPr>
          <w:cantSplit/>
        </w:trPr>
        <w:tc>
          <w:tcPr>
            <w:tcW w:w="2293" w:type="dxa"/>
          </w:tcPr>
          <w:p w14:paraId="3EA842C8" w14:textId="77777777" w:rsidR="00F37D52" w:rsidRPr="00D82AF7" w:rsidRDefault="00E42069" w:rsidP="006959EF">
            <w:pPr>
              <w:pStyle w:val="TableData"/>
            </w:pPr>
            <w:r>
              <w:t>SLA Premium</w:t>
            </w:r>
            <w:r w:rsidR="0084507A" w:rsidRPr="00D82AF7">
              <w:t xml:space="preserve"> </w:t>
            </w:r>
            <w:r w:rsidR="00927CD2" w:rsidRPr="00D82AF7">
              <w:t>service levels</w:t>
            </w:r>
          </w:p>
        </w:tc>
        <w:tc>
          <w:tcPr>
            <w:tcW w:w="4715" w:type="dxa"/>
          </w:tcPr>
          <w:p w14:paraId="5816B677" w14:textId="77777777" w:rsidR="00F37D52" w:rsidRPr="001A031B" w:rsidRDefault="00EC4F6F" w:rsidP="00CD5BEB">
            <w:pPr>
              <w:pStyle w:val="TableData"/>
              <w:rPr>
                <w:b w:val="0"/>
              </w:rPr>
            </w:pPr>
            <w:r w:rsidRPr="001A031B">
              <w:rPr>
                <w:b w:val="0"/>
              </w:rPr>
              <w:t xml:space="preserve">For </w:t>
            </w:r>
            <w:r w:rsidR="00F37D52" w:rsidRPr="001A031B">
              <w:rPr>
                <w:b w:val="0"/>
              </w:rPr>
              <w:t>some products or services,</w:t>
            </w:r>
            <w:r w:rsidR="008A3B2B" w:rsidRPr="001A031B">
              <w:rPr>
                <w:b w:val="0"/>
              </w:rPr>
              <w:t xml:space="preserve"> for an additional charge, you can </w:t>
            </w:r>
            <w:r w:rsidR="00A03386" w:rsidRPr="001A031B">
              <w:rPr>
                <w:b w:val="0"/>
              </w:rPr>
              <w:t>apply for</w:t>
            </w:r>
            <w:r w:rsidR="008A3B2B" w:rsidRPr="001A031B">
              <w:rPr>
                <w:b w:val="0"/>
              </w:rPr>
              <w:t xml:space="preserve"> </w:t>
            </w:r>
            <w:r w:rsidR="00E42069">
              <w:rPr>
                <w:b w:val="0"/>
              </w:rPr>
              <w:t>SLA Premium</w:t>
            </w:r>
            <w:r w:rsidR="001A0467" w:rsidRPr="001A031B">
              <w:rPr>
                <w:b w:val="0"/>
              </w:rPr>
              <w:t xml:space="preserve"> </w:t>
            </w:r>
            <w:r w:rsidR="00420E10" w:rsidRPr="001A031B">
              <w:rPr>
                <w:b w:val="0"/>
              </w:rPr>
              <w:t>service levels</w:t>
            </w:r>
            <w:r w:rsidR="00F37D52" w:rsidRPr="001A031B">
              <w:rPr>
                <w:b w:val="0"/>
              </w:rPr>
              <w:t>.</w:t>
            </w:r>
          </w:p>
          <w:p w14:paraId="7A62DBD4" w14:textId="77777777" w:rsidR="00F37D52" w:rsidRPr="001A031B" w:rsidRDefault="00F37D52" w:rsidP="001A031B">
            <w:pPr>
              <w:pStyle w:val="Heading4"/>
              <w:numPr>
                <w:ilvl w:val="0"/>
                <w:numId w:val="0"/>
              </w:numPr>
              <w:rPr>
                <w:rFonts w:ascii="Arial" w:hAnsi="Arial"/>
                <w:sz w:val="18"/>
              </w:rPr>
            </w:pPr>
            <w:r w:rsidRPr="001A031B">
              <w:rPr>
                <w:rFonts w:ascii="Arial" w:hAnsi="Arial"/>
                <w:sz w:val="18"/>
              </w:rPr>
              <w:t xml:space="preserve">If we fail to </w:t>
            </w:r>
            <w:r w:rsidR="008A3B2B" w:rsidRPr="001A031B">
              <w:rPr>
                <w:rFonts w:ascii="Arial" w:hAnsi="Arial"/>
                <w:sz w:val="18"/>
              </w:rPr>
              <w:t>restore</w:t>
            </w:r>
            <w:r w:rsidRPr="001A031B">
              <w:rPr>
                <w:rFonts w:ascii="Arial" w:hAnsi="Arial"/>
                <w:sz w:val="18"/>
              </w:rPr>
              <w:t xml:space="preserve"> your product or service by that </w:t>
            </w:r>
            <w:r w:rsidR="00985266" w:rsidRPr="001A031B">
              <w:rPr>
                <w:rFonts w:ascii="Arial" w:hAnsi="Arial"/>
                <w:sz w:val="18"/>
              </w:rPr>
              <w:t>time</w:t>
            </w:r>
            <w:r w:rsidRPr="001A031B">
              <w:rPr>
                <w:rFonts w:ascii="Arial" w:hAnsi="Arial"/>
                <w:sz w:val="18"/>
              </w:rPr>
              <w:t>, you may be eligible for the rebate described below.  Your ability to claim a rebate will depend on whether you meet the rebate eligibility criteria (as explained below).</w:t>
            </w:r>
          </w:p>
          <w:p w14:paraId="3D9843BC" w14:textId="1DA9377A" w:rsidR="005A09AC" w:rsidRPr="001A031B" w:rsidRDefault="002D74B8" w:rsidP="001A031B">
            <w:pPr>
              <w:pStyle w:val="Heading4"/>
              <w:numPr>
                <w:ilvl w:val="0"/>
                <w:numId w:val="0"/>
              </w:numPr>
              <w:rPr>
                <w:rFonts w:ascii="Arial" w:hAnsi="Arial"/>
                <w:sz w:val="18"/>
              </w:rPr>
            </w:pPr>
            <w:r w:rsidRPr="001A031B">
              <w:rPr>
                <w:rFonts w:ascii="Arial" w:hAnsi="Arial"/>
                <w:sz w:val="18"/>
              </w:rPr>
              <w:t>Our SLA</w:t>
            </w:r>
            <w:r w:rsidR="00E42069">
              <w:rPr>
                <w:rFonts w:ascii="Arial" w:hAnsi="Arial"/>
                <w:sz w:val="18"/>
              </w:rPr>
              <w:t xml:space="preserve"> Premium</w:t>
            </w:r>
            <w:r w:rsidR="001A0467" w:rsidRPr="001A031B">
              <w:rPr>
                <w:rFonts w:ascii="Arial" w:hAnsi="Arial"/>
                <w:sz w:val="18"/>
              </w:rPr>
              <w:t xml:space="preserve"> </w:t>
            </w:r>
            <w:r w:rsidR="00927CD2" w:rsidRPr="001A031B">
              <w:rPr>
                <w:rFonts w:ascii="Arial" w:hAnsi="Arial"/>
                <w:sz w:val="18"/>
              </w:rPr>
              <w:t xml:space="preserve">service </w:t>
            </w:r>
            <w:r w:rsidR="00F37D52" w:rsidRPr="001A031B">
              <w:rPr>
                <w:rFonts w:ascii="Arial" w:hAnsi="Arial"/>
                <w:sz w:val="18"/>
              </w:rPr>
              <w:t>levels</w:t>
            </w:r>
            <w:r w:rsidR="008A3B2B" w:rsidRPr="001A031B">
              <w:rPr>
                <w:rFonts w:ascii="Arial" w:hAnsi="Arial"/>
                <w:sz w:val="18"/>
              </w:rPr>
              <w:t xml:space="preserve"> </w:t>
            </w:r>
            <w:r w:rsidR="00F37D52" w:rsidRPr="001A031B">
              <w:rPr>
                <w:rFonts w:ascii="Arial" w:hAnsi="Arial"/>
                <w:sz w:val="18"/>
              </w:rPr>
              <w:t>and the eligible products and services for these service levels are listed in the next section.</w:t>
            </w:r>
          </w:p>
        </w:tc>
        <w:tc>
          <w:tcPr>
            <w:tcW w:w="2070" w:type="dxa"/>
          </w:tcPr>
          <w:p w14:paraId="156B568C" w14:textId="77777777" w:rsidR="00F37D52" w:rsidRPr="001A031B" w:rsidRDefault="00CD5BEB" w:rsidP="00CD5BEB">
            <w:pPr>
              <w:pStyle w:val="TableData"/>
              <w:rPr>
                <w:b w:val="0"/>
              </w:rPr>
            </w:pPr>
            <w:r w:rsidRPr="001A031B">
              <w:rPr>
                <w:b w:val="0"/>
              </w:rPr>
              <w:t>As set out below</w:t>
            </w:r>
          </w:p>
        </w:tc>
      </w:tr>
    </w:tbl>
    <w:p w14:paraId="25ED4B39" w14:textId="77777777" w:rsidR="000B65BD" w:rsidRDefault="000B65BD" w:rsidP="00F105F3">
      <w:pPr>
        <w:pStyle w:val="Indent1"/>
      </w:pPr>
    </w:p>
    <w:p w14:paraId="67A6D370" w14:textId="3AE2B2AC" w:rsidR="00F105F3" w:rsidRPr="00D82AF7" w:rsidRDefault="0019637F" w:rsidP="00F105F3">
      <w:pPr>
        <w:pStyle w:val="Indent1"/>
      </w:pPr>
      <w:bookmarkStart w:id="16" w:name="_Toc208576772"/>
      <w:r w:rsidRPr="0049653F">
        <w:t>M</w:t>
      </w:r>
      <w:r w:rsidR="00F105F3" w:rsidRPr="0049653F">
        <w:t>inimum commitment</w:t>
      </w:r>
      <w:bookmarkEnd w:id="16"/>
    </w:p>
    <w:p w14:paraId="060A64CE" w14:textId="4B7A167C" w:rsidR="00F105F3" w:rsidRPr="00D82AF7" w:rsidRDefault="00F105F3" w:rsidP="00F105F3">
      <w:pPr>
        <w:pStyle w:val="Heading2"/>
      </w:pPr>
      <w:r w:rsidRPr="00D82AF7">
        <w:t xml:space="preserve">The minimum term for your </w:t>
      </w:r>
      <w:r w:rsidR="00E42069">
        <w:t>SLA Premium</w:t>
      </w:r>
      <w:r w:rsidR="001A0467" w:rsidRPr="00D82AF7" w:rsidDel="001A0467">
        <w:t xml:space="preserve"> </w:t>
      </w:r>
      <w:r w:rsidRPr="00D82AF7">
        <w:t>service level is 12 months</w:t>
      </w:r>
      <w:r w:rsidR="007727FF">
        <w:t xml:space="preserve"> </w:t>
      </w:r>
      <w:r w:rsidR="00C46749">
        <w:t>(</w:t>
      </w:r>
      <w:r w:rsidR="007727FF">
        <w:t>ex</w:t>
      </w:r>
      <w:r w:rsidR="00C46749">
        <w:t>cept</w:t>
      </w:r>
      <w:r w:rsidR="007727FF">
        <w:t xml:space="preserve"> </w:t>
      </w:r>
      <w:r w:rsidR="00C46749" w:rsidRPr="00C46749">
        <w:t>T</w:t>
      </w:r>
      <w:r w:rsidR="00C46749">
        <w:t xml:space="preserve">elstra </w:t>
      </w:r>
      <w:r w:rsidR="00C46749" w:rsidRPr="00C46749">
        <w:t>B</w:t>
      </w:r>
      <w:r w:rsidR="00C46749">
        <w:t xml:space="preserve">usiness </w:t>
      </w:r>
      <w:r w:rsidR="00C46749" w:rsidRPr="00C46749">
        <w:t>B</w:t>
      </w:r>
      <w:r w:rsidR="00C46749">
        <w:t xml:space="preserve">roadband on </w:t>
      </w:r>
      <w:proofErr w:type="spellStart"/>
      <w:r w:rsidR="00C46749">
        <w:t>nbn</w:t>
      </w:r>
      <w:proofErr w:type="spellEnd"/>
      <w:r w:rsidR="00C46749">
        <w:t>™</w:t>
      </w:r>
      <w:r w:rsidR="00C46749" w:rsidRPr="00C46749">
        <w:t xml:space="preserve"> Premium Connectivity Packages</w:t>
      </w:r>
      <w:r w:rsidR="00C46749">
        <w:t xml:space="preserve"> which do not have a minimum term)</w:t>
      </w:r>
      <w:r w:rsidRPr="00D82AF7">
        <w:t xml:space="preserve">.  If you cancel </w:t>
      </w:r>
      <w:r w:rsidR="002D74B8" w:rsidRPr="00D82AF7">
        <w:t>an</w:t>
      </w:r>
      <w:r w:rsidRPr="00D82AF7">
        <w:t xml:space="preserve"> </w:t>
      </w:r>
      <w:r w:rsidR="00E42069">
        <w:t>SLA Premium</w:t>
      </w:r>
      <w:r w:rsidR="001A0467" w:rsidRPr="00D82AF7" w:rsidDel="001A0467">
        <w:t xml:space="preserve"> </w:t>
      </w:r>
      <w:r w:rsidRPr="00D82AF7">
        <w:t xml:space="preserve">service level before the end of the minimum term, you may be required to pay an early </w:t>
      </w:r>
      <w:r w:rsidR="000B28A1">
        <w:t>t</w:t>
      </w:r>
      <w:r w:rsidRPr="00D82AF7">
        <w:t xml:space="preserve">ermination </w:t>
      </w:r>
      <w:r w:rsidR="000B28A1">
        <w:t>ch</w:t>
      </w:r>
      <w:r w:rsidRPr="00D82AF7">
        <w:t>arge which is equal to 35% of your remaining monthly charges.</w:t>
      </w:r>
    </w:p>
    <w:p w14:paraId="57C9E2A4" w14:textId="77777777" w:rsidR="00F105F3" w:rsidRPr="00D82AF7" w:rsidRDefault="00F105F3" w:rsidP="00F105F3">
      <w:pPr>
        <w:pStyle w:val="Heading2"/>
      </w:pPr>
      <w:r w:rsidRPr="00D82AF7">
        <w:t xml:space="preserve">You can ask us to upgrade your </w:t>
      </w:r>
      <w:r w:rsidR="00E42069">
        <w:t>SLA Premium</w:t>
      </w:r>
      <w:r w:rsidR="001A0467" w:rsidRPr="00D82AF7" w:rsidDel="001A0467">
        <w:t xml:space="preserve"> </w:t>
      </w:r>
      <w:r w:rsidRPr="00D82AF7">
        <w:t xml:space="preserve">service level to a faster restoration time.  We will not charge you an early termination fee if we agree to upgrade your </w:t>
      </w:r>
      <w:r w:rsidR="00E42069">
        <w:t>SLA Premium</w:t>
      </w:r>
      <w:r w:rsidRPr="00D82AF7">
        <w:t xml:space="preserve"> service level </w:t>
      </w:r>
      <w:r w:rsidR="000B28A1">
        <w:t>d</w:t>
      </w:r>
      <w:r w:rsidRPr="00D82AF7">
        <w:t xml:space="preserve">uring your </w:t>
      </w:r>
      <w:r w:rsidR="00586F78">
        <w:t>mi</w:t>
      </w:r>
      <w:r w:rsidRPr="00D82AF7">
        <w:t xml:space="preserve">nimum term.  However, the minimum term for your </w:t>
      </w:r>
      <w:r w:rsidR="00E42069">
        <w:t>SLA Premium</w:t>
      </w:r>
      <w:r w:rsidR="001A0467" w:rsidRPr="00D82AF7" w:rsidDel="001A0467">
        <w:t xml:space="preserve"> </w:t>
      </w:r>
      <w:r w:rsidRPr="00D82AF7">
        <w:t>service level will re-start from the date that you upgrade it.</w:t>
      </w:r>
    </w:p>
    <w:p w14:paraId="77088311" w14:textId="6D3A2AB0" w:rsidR="00F37D52" w:rsidRPr="00D82AF7" w:rsidRDefault="00E42069" w:rsidP="00BA0434">
      <w:pPr>
        <w:pStyle w:val="Indent1"/>
      </w:pPr>
      <w:bookmarkStart w:id="17" w:name="_Toc208576773"/>
      <w:r>
        <w:lastRenderedPageBreak/>
        <w:t>SLA Premium</w:t>
      </w:r>
      <w:r w:rsidR="00A74995" w:rsidRPr="00D82AF7">
        <w:t xml:space="preserve"> </w:t>
      </w:r>
      <w:r w:rsidR="000A7900" w:rsidRPr="00D82AF7">
        <w:t>c</w:t>
      </w:r>
      <w:r w:rsidR="000B0945" w:rsidRPr="00D82AF7">
        <w:t>harges</w:t>
      </w:r>
      <w:r w:rsidR="00D01CB5">
        <w:t xml:space="preserve"> (excluding Telstra </w:t>
      </w:r>
      <w:r w:rsidR="006B2D4B">
        <w:t>products</w:t>
      </w:r>
      <w:r w:rsidR="00D01CB5">
        <w:t xml:space="preserve"> on </w:t>
      </w:r>
      <w:proofErr w:type="spellStart"/>
      <w:r w:rsidR="006B2D4B">
        <w:t>nbn</w:t>
      </w:r>
      <w:r w:rsidR="006B2D4B" w:rsidRPr="008767BC">
        <w:rPr>
          <w:vertAlign w:val="superscript"/>
        </w:rPr>
        <w:t>TM</w:t>
      </w:r>
      <w:bookmarkEnd w:id="17"/>
      <w:proofErr w:type="spellEnd"/>
    </w:p>
    <w:p w14:paraId="1C992D0C" w14:textId="62E3F758" w:rsidR="00662CB4" w:rsidRPr="00D82AF7" w:rsidRDefault="00A74995" w:rsidP="00CD5BEB">
      <w:pPr>
        <w:pStyle w:val="Heading2"/>
      </w:pPr>
      <w:r w:rsidRPr="00D82AF7">
        <w:t xml:space="preserve">We charge you </w:t>
      </w:r>
      <w:r w:rsidR="00927CD2" w:rsidRPr="00D82AF7">
        <w:t>the following</w:t>
      </w:r>
      <w:r w:rsidRPr="00D82AF7">
        <w:t xml:space="preserve"> </w:t>
      </w:r>
      <w:r w:rsidR="000B28A1">
        <w:t>m</w:t>
      </w:r>
      <w:r w:rsidRPr="00D82AF7">
        <w:t xml:space="preserve">onthly fee for your </w:t>
      </w:r>
      <w:r w:rsidR="00E42069">
        <w:t>SLA Premium</w:t>
      </w:r>
      <w:r w:rsidRPr="00D82AF7">
        <w:t xml:space="preserve"> service level</w:t>
      </w:r>
      <w:r w:rsidR="00D01CB5">
        <w:t xml:space="preserve"> for Telstra products (excluding Telstra services on </w:t>
      </w:r>
      <w:proofErr w:type="spellStart"/>
      <w:r w:rsidR="008767BC" w:rsidRPr="008767BC">
        <w:rPr>
          <w:b/>
        </w:rPr>
        <w:t>nbn</w:t>
      </w:r>
      <w:r w:rsidR="008767BC" w:rsidRPr="008767BC">
        <w:rPr>
          <w:vertAlign w:val="superscript"/>
        </w:rPr>
        <w:t>TM</w:t>
      </w:r>
      <w:proofErr w:type="spellEnd"/>
      <w:r w:rsidR="00D01CB5">
        <w:t>)</w:t>
      </w:r>
      <w:r w:rsidRPr="00D82AF7">
        <w:t>,</w:t>
      </w:r>
      <w:r w:rsidR="0040484A" w:rsidRPr="00D82AF7">
        <w:t xml:space="preserve"> as described below</w:t>
      </w:r>
      <w:r w:rsidR="00F60A35" w:rsidRPr="00D82AF7">
        <w:t>.</w:t>
      </w:r>
    </w:p>
    <w:p w14:paraId="3B61E13A" w14:textId="77777777" w:rsidR="00F105F3" w:rsidRDefault="00F105F3" w:rsidP="00F105F3">
      <w:pPr>
        <w:ind w:left="737"/>
        <w:rPr>
          <w:sz w:val="20"/>
        </w:rPr>
      </w:pPr>
    </w:p>
    <w:p w14:paraId="00D12699" w14:textId="77777777" w:rsidR="004B4949" w:rsidRDefault="004B4949" w:rsidP="000B65BD">
      <w:pPr>
        <w:rPr>
          <w:sz w:val="20"/>
        </w:rPr>
      </w:pPr>
    </w:p>
    <w:tbl>
      <w:tblPr>
        <w:tblW w:w="5480" w:type="dxa"/>
        <w:tblInd w:w="558" w:type="dxa"/>
        <w:tblLook w:val="04A0" w:firstRow="1" w:lastRow="0" w:firstColumn="1" w:lastColumn="0" w:noHBand="0" w:noVBand="1"/>
      </w:tblPr>
      <w:tblGrid>
        <w:gridCol w:w="2660"/>
        <w:gridCol w:w="1320"/>
        <w:gridCol w:w="1500"/>
      </w:tblGrid>
      <w:tr w:rsidR="00D243A5" w:rsidRPr="00D243A5" w14:paraId="14186670" w14:textId="77777777" w:rsidTr="004B4949">
        <w:trPr>
          <w:trHeight w:val="495"/>
        </w:trPr>
        <w:tc>
          <w:tcPr>
            <w:tcW w:w="2660" w:type="dxa"/>
            <w:vMerge w:val="restart"/>
            <w:tcBorders>
              <w:top w:val="single" w:sz="8" w:space="0" w:color="auto"/>
              <w:left w:val="single" w:sz="8" w:space="0" w:color="auto"/>
              <w:bottom w:val="single" w:sz="8" w:space="0" w:color="000000"/>
              <w:right w:val="single" w:sz="8" w:space="0" w:color="auto"/>
            </w:tcBorders>
            <w:shd w:val="clear" w:color="000000" w:fill="E0E0E0"/>
            <w:hideMark/>
          </w:tcPr>
          <w:p w14:paraId="72C26816"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SLA Premium charges (excluding Connect IP)</w:t>
            </w:r>
          </w:p>
        </w:tc>
        <w:tc>
          <w:tcPr>
            <w:tcW w:w="2820" w:type="dxa"/>
            <w:gridSpan w:val="2"/>
            <w:tcBorders>
              <w:top w:val="single" w:sz="8" w:space="0" w:color="auto"/>
              <w:left w:val="nil"/>
              <w:bottom w:val="single" w:sz="8" w:space="0" w:color="auto"/>
              <w:right w:val="single" w:sz="8" w:space="0" w:color="000000"/>
            </w:tcBorders>
            <w:shd w:val="clear" w:color="000000" w:fill="E0E0E0"/>
            <w:hideMark/>
          </w:tcPr>
          <w:p w14:paraId="27201027"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Monthly Charge</w:t>
            </w:r>
          </w:p>
        </w:tc>
      </w:tr>
      <w:tr w:rsidR="00D243A5" w:rsidRPr="00D243A5" w14:paraId="4EAFA88A" w14:textId="77777777" w:rsidTr="004B4949">
        <w:trPr>
          <w:trHeight w:val="315"/>
        </w:trPr>
        <w:tc>
          <w:tcPr>
            <w:tcW w:w="2660" w:type="dxa"/>
            <w:vMerge/>
            <w:tcBorders>
              <w:top w:val="single" w:sz="8" w:space="0" w:color="auto"/>
              <w:left w:val="single" w:sz="8" w:space="0" w:color="auto"/>
              <w:bottom w:val="single" w:sz="8" w:space="0" w:color="000000"/>
              <w:right w:val="single" w:sz="8" w:space="0" w:color="auto"/>
            </w:tcBorders>
            <w:vAlign w:val="center"/>
            <w:hideMark/>
          </w:tcPr>
          <w:p w14:paraId="071E87FE" w14:textId="77777777" w:rsidR="00D243A5" w:rsidRPr="00D243A5" w:rsidRDefault="00D243A5" w:rsidP="00D243A5">
            <w:pPr>
              <w:rPr>
                <w:rFonts w:ascii="Arial" w:hAnsi="Arial" w:cs="Arial"/>
                <w:b/>
                <w:bCs/>
                <w:color w:val="000000"/>
                <w:sz w:val="18"/>
                <w:szCs w:val="18"/>
                <w:lang w:eastAsia="en-AU"/>
              </w:rPr>
            </w:pPr>
          </w:p>
        </w:tc>
        <w:tc>
          <w:tcPr>
            <w:tcW w:w="1320" w:type="dxa"/>
            <w:tcBorders>
              <w:top w:val="nil"/>
              <w:left w:val="nil"/>
              <w:bottom w:val="single" w:sz="8" w:space="0" w:color="auto"/>
              <w:right w:val="single" w:sz="8" w:space="0" w:color="auto"/>
            </w:tcBorders>
            <w:shd w:val="clear" w:color="000000" w:fill="E0E0E0"/>
            <w:hideMark/>
          </w:tcPr>
          <w:p w14:paraId="3953E2AE"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GST excl.</w:t>
            </w:r>
          </w:p>
        </w:tc>
        <w:tc>
          <w:tcPr>
            <w:tcW w:w="1500" w:type="dxa"/>
            <w:tcBorders>
              <w:top w:val="nil"/>
              <w:left w:val="nil"/>
              <w:bottom w:val="single" w:sz="8" w:space="0" w:color="auto"/>
              <w:right w:val="single" w:sz="8" w:space="0" w:color="auto"/>
            </w:tcBorders>
            <w:shd w:val="clear" w:color="000000" w:fill="E0E0E0"/>
            <w:hideMark/>
          </w:tcPr>
          <w:p w14:paraId="622C0B05"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GST incl.</w:t>
            </w:r>
          </w:p>
        </w:tc>
      </w:tr>
      <w:tr w:rsidR="00D243A5" w:rsidRPr="00D243A5" w14:paraId="2A4DE215" w14:textId="77777777" w:rsidTr="004B4949">
        <w:trPr>
          <w:trHeight w:val="315"/>
        </w:trPr>
        <w:tc>
          <w:tcPr>
            <w:tcW w:w="2660" w:type="dxa"/>
            <w:tcBorders>
              <w:top w:val="nil"/>
              <w:left w:val="single" w:sz="8" w:space="0" w:color="auto"/>
              <w:bottom w:val="single" w:sz="8" w:space="0" w:color="auto"/>
              <w:right w:val="single" w:sz="8" w:space="0" w:color="auto"/>
            </w:tcBorders>
            <w:vAlign w:val="center"/>
            <w:hideMark/>
          </w:tcPr>
          <w:p w14:paraId="43E19B49"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2 plus</w:t>
            </w:r>
          </w:p>
        </w:tc>
        <w:tc>
          <w:tcPr>
            <w:tcW w:w="1320" w:type="dxa"/>
            <w:tcBorders>
              <w:top w:val="nil"/>
              <w:left w:val="nil"/>
              <w:bottom w:val="single" w:sz="8" w:space="0" w:color="auto"/>
              <w:right w:val="single" w:sz="8" w:space="0" w:color="auto"/>
            </w:tcBorders>
            <w:vAlign w:val="center"/>
            <w:hideMark/>
          </w:tcPr>
          <w:p w14:paraId="410F219A"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$100.00</w:t>
            </w:r>
          </w:p>
        </w:tc>
        <w:tc>
          <w:tcPr>
            <w:tcW w:w="1500" w:type="dxa"/>
            <w:tcBorders>
              <w:top w:val="nil"/>
              <w:left w:val="nil"/>
              <w:bottom w:val="single" w:sz="8" w:space="0" w:color="auto"/>
              <w:right w:val="single" w:sz="8" w:space="0" w:color="auto"/>
            </w:tcBorders>
            <w:vAlign w:val="center"/>
            <w:hideMark/>
          </w:tcPr>
          <w:p w14:paraId="7C88E1DD"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$110.00</w:t>
            </w:r>
          </w:p>
        </w:tc>
      </w:tr>
      <w:tr w:rsidR="00D243A5" w:rsidRPr="00D243A5" w14:paraId="2DEA236D" w14:textId="77777777" w:rsidTr="004B4949">
        <w:trPr>
          <w:trHeight w:val="315"/>
        </w:trPr>
        <w:tc>
          <w:tcPr>
            <w:tcW w:w="2660" w:type="dxa"/>
            <w:tcBorders>
              <w:top w:val="nil"/>
              <w:left w:val="single" w:sz="8" w:space="0" w:color="auto"/>
              <w:bottom w:val="single" w:sz="8" w:space="0" w:color="auto"/>
              <w:right w:val="single" w:sz="8" w:space="0" w:color="auto"/>
            </w:tcBorders>
            <w:vAlign w:val="center"/>
            <w:hideMark/>
          </w:tcPr>
          <w:p w14:paraId="08E710C8"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2</w:t>
            </w:r>
          </w:p>
        </w:tc>
        <w:tc>
          <w:tcPr>
            <w:tcW w:w="1320" w:type="dxa"/>
            <w:tcBorders>
              <w:top w:val="nil"/>
              <w:left w:val="nil"/>
              <w:bottom w:val="single" w:sz="8" w:space="0" w:color="auto"/>
              <w:right w:val="single" w:sz="8" w:space="0" w:color="auto"/>
            </w:tcBorders>
            <w:vAlign w:val="center"/>
            <w:hideMark/>
          </w:tcPr>
          <w:p w14:paraId="237B7145"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$58.73</w:t>
            </w:r>
          </w:p>
        </w:tc>
        <w:tc>
          <w:tcPr>
            <w:tcW w:w="1500" w:type="dxa"/>
            <w:tcBorders>
              <w:top w:val="nil"/>
              <w:left w:val="nil"/>
              <w:bottom w:val="single" w:sz="8" w:space="0" w:color="auto"/>
              <w:right w:val="single" w:sz="8" w:space="0" w:color="auto"/>
            </w:tcBorders>
            <w:vAlign w:val="center"/>
            <w:hideMark/>
          </w:tcPr>
          <w:p w14:paraId="51B528C6"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$64.60</w:t>
            </w:r>
          </w:p>
        </w:tc>
      </w:tr>
      <w:tr w:rsidR="00D243A5" w:rsidRPr="00D243A5" w14:paraId="56A6F12B" w14:textId="77777777" w:rsidTr="004B4949">
        <w:trPr>
          <w:trHeight w:val="360"/>
        </w:trPr>
        <w:tc>
          <w:tcPr>
            <w:tcW w:w="2660" w:type="dxa"/>
            <w:tcBorders>
              <w:top w:val="nil"/>
              <w:left w:val="single" w:sz="8" w:space="0" w:color="auto"/>
              <w:bottom w:val="single" w:sz="8" w:space="0" w:color="auto"/>
              <w:right w:val="single" w:sz="8" w:space="0" w:color="auto"/>
            </w:tcBorders>
            <w:vAlign w:val="center"/>
            <w:hideMark/>
          </w:tcPr>
          <w:p w14:paraId="0A5DCADE"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4 plus</w:t>
            </w:r>
          </w:p>
        </w:tc>
        <w:tc>
          <w:tcPr>
            <w:tcW w:w="1320" w:type="dxa"/>
            <w:tcBorders>
              <w:top w:val="nil"/>
              <w:left w:val="nil"/>
              <w:bottom w:val="single" w:sz="8" w:space="0" w:color="auto"/>
              <w:right w:val="single" w:sz="8" w:space="0" w:color="auto"/>
            </w:tcBorders>
            <w:vAlign w:val="center"/>
            <w:hideMark/>
          </w:tcPr>
          <w:p w14:paraId="4B3C57F3"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$75.00</w:t>
            </w:r>
          </w:p>
        </w:tc>
        <w:tc>
          <w:tcPr>
            <w:tcW w:w="1500" w:type="dxa"/>
            <w:tcBorders>
              <w:top w:val="nil"/>
              <w:left w:val="nil"/>
              <w:bottom w:val="single" w:sz="8" w:space="0" w:color="auto"/>
              <w:right w:val="single" w:sz="8" w:space="0" w:color="auto"/>
            </w:tcBorders>
            <w:vAlign w:val="center"/>
            <w:hideMark/>
          </w:tcPr>
          <w:p w14:paraId="6506F30C"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$82.50</w:t>
            </w:r>
          </w:p>
        </w:tc>
      </w:tr>
      <w:tr w:rsidR="00D243A5" w:rsidRPr="00D243A5" w14:paraId="6F3810E4" w14:textId="77777777" w:rsidTr="004B4949">
        <w:trPr>
          <w:trHeight w:val="315"/>
        </w:trPr>
        <w:tc>
          <w:tcPr>
            <w:tcW w:w="2660" w:type="dxa"/>
            <w:tcBorders>
              <w:top w:val="nil"/>
              <w:left w:val="single" w:sz="8" w:space="0" w:color="auto"/>
              <w:bottom w:val="single" w:sz="8" w:space="0" w:color="auto"/>
              <w:right w:val="single" w:sz="8" w:space="0" w:color="auto"/>
            </w:tcBorders>
            <w:vAlign w:val="center"/>
            <w:hideMark/>
          </w:tcPr>
          <w:p w14:paraId="5D7EE858"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4</w:t>
            </w:r>
          </w:p>
        </w:tc>
        <w:tc>
          <w:tcPr>
            <w:tcW w:w="1320" w:type="dxa"/>
            <w:tcBorders>
              <w:top w:val="nil"/>
              <w:left w:val="nil"/>
              <w:bottom w:val="single" w:sz="8" w:space="0" w:color="auto"/>
              <w:right w:val="single" w:sz="8" w:space="0" w:color="auto"/>
            </w:tcBorders>
            <w:vAlign w:val="center"/>
            <w:hideMark/>
          </w:tcPr>
          <w:p w14:paraId="68A45D1F"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$40.00</w:t>
            </w:r>
          </w:p>
        </w:tc>
        <w:tc>
          <w:tcPr>
            <w:tcW w:w="1500" w:type="dxa"/>
            <w:tcBorders>
              <w:top w:val="nil"/>
              <w:left w:val="nil"/>
              <w:bottom w:val="single" w:sz="8" w:space="0" w:color="auto"/>
              <w:right w:val="single" w:sz="8" w:space="0" w:color="auto"/>
            </w:tcBorders>
            <w:vAlign w:val="center"/>
            <w:hideMark/>
          </w:tcPr>
          <w:p w14:paraId="04955059"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$44.00</w:t>
            </w:r>
          </w:p>
        </w:tc>
      </w:tr>
      <w:tr w:rsidR="00D243A5" w:rsidRPr="00D243A5" w14:paraId="6265F6AC" w14:textId="77777777" w:rsidTr="004B4949">
        <w:trPr>
          <w:trHeight w:val="360"/>
        </w:trPr>
        <w:tc>
          <w:tcPr>
            <w:tcW w:w="2660" w:type="dxa"/>
            <w:tcBorders>
              <w:top w:val="nil"/>
              <w:left w:val="single" w:sz="8" w:space="0" w:color="auto"/>
              <w:bottom w:val="single" w:sz="8" w:space="0" w:color="auto"/>
              <w:right w:val="single" w:sz="8" w:space="0" w:color="auto"/>
            </w:tcBorders>
            <w:vAlign w:val="center"/>
            <w:hideMark/>
          </w:tcPr>
          <w:p w14:paraId="54ECDB43"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6 plus</w:t>
            </w:r>
          </w:p>
        </w:tc>
        <w:tc>
          <w:tcPr>
            <w:tcW w:w="1320" w:type="dxa"/>
            <w:tcBorders>
              <w:top w:val="nil"/>
              <w:left w:val="nil"/>
              <w:bottom w:val="single" w:sz="8" w:space="0" w:color="auto"/>
              <w:right w:val="single" w:sz="8" w:space="0" w:color="auto"/>
            </w:tcBorders>
            <w:vAlign w:val="center"/>
            <w:hideMark/>
          </w:tcPr>
          <w:p w14:paraId="1DA46A7D"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$65.00</w:t>
            </w:r>
          </w:p>
        </w:tc>
        <w:tc>
          <w:tcPr>
            <w:tcW w:w="1500" w:type="dxa"/>
            <w:tcBorders>
              <w:top w:val="nil"/>
              <w:left w:val="nil"/>
              <w:bottom w:val="single" w:sz="8" w:space="0" w:color="auto"/>
              <w:right w:val="single" w:sz="8" w:space="0" w:color="auto"/>
            </w:tcBorders>
            <w:vAlign w:val="center"/>
            <w:hideMark/>
          </w:tcPr>
          <w:p w14:paraId="47960C62"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$71.50</w:t>
            </w:r>
          </w:p>
        </w:tc>
      </w:tr>
      <w:tr w:rsidR="00D243A5" w:rsidRPr="00D243A5" w14:paraId="67F975B0" w14:textId="77777777" w:rsidTr="004B4949">
        <w:trPr>
          <w:trHeight w:val="315"/>
        </w:trPr>
        <w:tc>
          <w:tcPr>
            <w:tcW w:w="2660" w:type="dxa"/>
            <w:tcBorders>
              <w:top w:val="nil"/>
              <w:left w:val="single" w:sz="8" w:space="0" w:color="auto"/>
              <w:bottom w:val="single" w:sz="8" w:space="0" w:color="auto"/>
              <w:right w:val="single" w:sz="8" w:space="0" w:color="auto"/>
            </w:tcBorders>
            <w:vAlign w:val="center"/>
            <w:hideMark/>
          </w:tcPr>
          <w:p w14:paraId="7CB513F9"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6</w:t>
            </w:r>
          </w:p>
        </w:tc>
        <w:tc>
          <w:tcPr>
            <w:tcW w:w="1320" w:type="dxa"/>
            <w:tcBorders>
              <w:top w:val="nil"/>
              <w:left w:val="nil"/>
              <w:bottom w:val="single" w:sz="8" w:space="0" w:color="auto"/>
              <w:right w:val="single" w:sz="8" w:space="0" w:color="auto"/>
            </w:tcBorders>
            <w:vAlign w:val="center"/>
            <w:hideMark/>
          </w:tcPr>
          <w:p w14:paraId="49CC4273"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$32.50</w:t>
            </w:r>
          </w:p>
        </w:tc>
        <w:tc>
          <w:tcPr>
            <w:tcW w:w="1500" w:type="dxa"/>
            <w:tcBorders>
              <w:top w:val="nil"/>
              <w:left w:val="nil"/>
              <w:bottom w:val="single" w:sz="8" w:space="0" w:color="auto"/>
              <w:right w:val="single" w:sz="8" w:space="0" w:color="auto"/>
            </w:tcBorders>
            <w:vAlign w:val="center"/>
            <w:hideMark/>
          </w:tcPr>
          <w:p w14:paraId="3C1E0D85"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$35.75</w:t>
            </w:r>
          </w:p>
        </w:tc>
      </w:tr>
      <w:tr w:rsidR="00D243A5" w:rsidRPr="00D243A5" w14:paraId="68DD20E5" w14:textId="77777777" w:rsidTr="004B4949">
        <w:trPr>
          <w:trHeight w:val="495"/>
        </w:trPr>
        <w:tc>
          <w:tcPr>
            <w:tcW w:w="2660" w:type="dxa"/>
            <w:tcBorders>
              <w:top w:val="nil"/>
              <w:left w:val="single" w:sz="8" w:space="0" w:color="auto"/>
              <w:bottom w:val="single" w:sz="8" w:space="0" w:color="auto"/>
              <w:right w:val="single" w:sz="8" w:space="0" w:color="auto"/>
            </w:tcBorders>
            <w:vAlign w:val="center"/>
            <w:hideMark/>
          </w:tcPr>
          <w:p w14:paraId="6824E0FD"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8 plus</w:t>
            </w:r>
          </w:p>
        </w:tc>
        <w:tc>
          <w:tcPr>
            <w:tcW w:w="1320" w:type="dxa"/>
            <w:tcBorders>
              <w:top w:val="nil"/>
              <w:left w:val="nil"/>
              <w:bottom w:val="single" w:sz="8" w:space="0" w:color="auto"/>
              <w:right w:val="single" w:sz="8" w:space="0" w:color="auto"/>
            </w:tcBorders>
            <w:vAlign w:val="center"/>
            <w:hideMark/>
          </w:tcPr>
          <w:p w14:paraId="69D83402"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$55.00</w:t>
            </w:r>
          </w:p>
        </w:tc>
        <w:tc>
          <w:tcPr>
            <w:tcW w:w="1500" w:type="dxa"/>
            <w:tcBorders>
              <w:top w:val="nil"/>
              <w:left w:val="nil"/>
              <w:bottom w:val="single" w:sz="8" w:space="0" w:color="auto"/>
              <w:right w:val="single" w:sz="8" w:space="0" w:color="auto"/>
            </w:tcBorders>
            <w:vAlign w:val="center"/>
            <w:hideMark/>
          </w:tcPr>
          <w:p w14:paraId="2650125C"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$60.50</w:t>
            </w:r>
          </w:p>
        </w:tc>
      </w:tr>
      <w:tr w:rsidR="00D243A5" w:rsidRPr="00D243A5" w14:paraId="06516797" w14:textId="77777777" w:rsidTr="004B4949">
        <w:trPr>
          <w:trHeight w:val="315"/>
        </w:trPr>
        <w:tc>
          <w:tcPr>
            <w:tcW w:w="2660" w:type="dxa"/>
            <w:tcBorders>
              <w:top w:val="nil"/>
              <w:left w:val="single" w:sz="8" w:space="0" w:color="auto"/>
              <w:bottom w:val="single" w:sz="8" w:space="0" w:color="auto"/>
              <w:right w:val="single" w:sz="8" w:space="0" w:color="auto"/>
            </w:tcBorders>
            <w:vAlign w:val="center"/>
            <w:hideMark/>
          </w:tcPr>
          <w:p w14:paraId="0643EA5B"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Express 8</w:t>
            </w:r>
          </w:p>
        </w:tc>
        <w:tc>
          <w:tcPr>
            <w:tcW w:w="1320" w:type="dxa"/>
            <w:tcBorders>
              <w:top w:val="nil"/>
              <w:left w:val="nil"/>
              <w:bottom w:val="single" w:sz="8" w:space="0" w:color="auto"/>
              <w:right w:val="single" w:sz="8" w:space="0" w:color="auto"/>
            </w:tcBorders>
            <w:vAlign w:val="center"/>
            <w:hideMark/>
          </w:tcPr>
          <w:p w14:paraId="76824D84"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$25.00</w:t>
            </w:r>
          </w:p>
        </w:tc>
        <w:tc>
          <w:tcPr>
            <w:tcW w:w="1500" w:type="dxa"/>
            <w:tcBorders>
              <w:top w:val="nil"/>
              <w:left w:val="nil"/>
              <w:bottom w:val="single" w:sz="8" w:space="0" w:color="auto"/>
              <w:right w:val="single" w:sz="8" w:space="0" w:color="auto"/>
            </w:tcBorders>
            <w:vAlign w:val="center"/>
            <w:hideMark/>
          </w:tcPr>
          <w:p w14:paraId="7FE4C473"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$27.50</w:t>
            </w:r>
          </w:p>
        </w:tc>
      </w:tr>
      <w:tr w:rsidR="00D243A5" w:rsidRPr="00D243A5" w14:paraId="2EB28E3C" w14:textId="77777777" w:rsidTr="004B4949">
        <w:trPr>
          <w:trHeight w:val="450"/>
        </w:trPr>
        <w:tc>
          <w:tcPr>
            <w:tcW w:w="2660" w:type="dxa"/>
            <w:tcBorders>
              <w:top w:val="nil"/>
              <w:left w:val="single" w:sz="8" w:space="0" w:color="auto"/>
              <w:bottom w:val="single" w:sz="8" w:space="0" w:color="auto"/>
              <w:right w:val="single" w:sz="8" w:space="0" w:color="auto"/>
            </w:tcBorders>
            <w:vAlign w:val="center"/>
            <w:hideMark/>
          </w:tcPr>
          <w:p w14:paraId="7BFFD069"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Business plus</w:t>
            </w:r>
          </w:p>
        </w:tc>
        <w:tc>
          <w:tcPr>
            <w:tcW w:w="1320" w:type="dxa"/>
            <w:tcBorders>
              <w:top w:val="nil"/>
              <w:left w:val="nil"/>
              <w:bottom w:val="single" w:sz="8" w:space="0" w:color="auto"/>
              <w:right w:val="single" w:sz="8" w:space="0" w:color="auto"/>
            </w:tcBorders>
            <w:vAlign w:val="center"/>
            <w:hideMark/>
          </w:tcPr>
          <w:p w14:paraId="1FEB5411"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$40.00</w:t>
            </w:r>
          </w:p>
        </w:tc>
        <w:tc>
          <w:tcPr>
            <w:tcW w:w="1500" w:type="dxa"/>
            <w:tcBorders>
              <w:top w:val="nil"/>
              <w:left w:val="nil"/>
              <w:bottom w:val="single" w:sz="8" w:space="0" w:color="auto"/>
              <w:right w:val="single" w:sz="8" w:space="0" w:color="auto"/>
            </w:tcBorders>
            <w:vAlign w:val="center"/>
            <w:hideMark/>
          </w:tcPr>
          <w:p w14:paraId="2204D6D6"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$44.00</w:t>
            </w:r>
          </w:p>
        </w:tc>
      </w:tr>
      <w:tr w:rsidR="00D243A5" w:rsidRPr="00D243A5" w14:paraId="2438A2A9" w14:textId="77777777" w:rsidTr="004B4949">
        <w:trPr>
          <w:trHeight w:val="495"/>
        </w:trPr>
        <w:tc>
          <w:tcPr>
            <w:tcW w:w="2660" w:type="dxa"/>
            <w:tcBorders>
              <w:top w:val="nil"/>
              <w:left w:val="single" w:sz="8" w:space="0" w:color="auto"/>
              <w:bottom w:val="single" w:sz="8" w:space="0" w:color="auto"/>
              <w:right w:val="single" w:sz="8" w:space="0" w:color="auto"/>
            </w:tcBorders>
            <w:vAlign w:val="center"/>
            <w:hideMark/>
          </w:tcPr>
          <w:p w14:paraId="13075A02" w14:textId="77777777" w:rsidR="00D243A5" w:rsidRPr="00D243A5" w:rsidRDefault="00D243A5" w:rsidP="00D243A5">
            <w:pPr>
              <w:rPr>
                <w:rFonts w:ascii="Arial" w:hAnsi="Arial" w:cs="Arial"/>
                <w:b/>
                <w:bCs/>
                <w:color w:val="000000"/>
                <w:sz w:val="18"/>
                <w:szCs w:val="18"/>
                <w:lang w:eastAsia="en-AU"/>
              </w:rPr>
            </w:pPr>
            <w:r w:rsidRPr="00D243A5">
              <w:rPr>
                <w:rFonts w:ascii="Arial" w:hAnsi="Arial" w:cs="Arial"/>
                <w:b/>
                <w:bCs/>
                <w:color w:val="000000"/>
                <w:sz w:val="18"/>
                <w:szCs w:val="18"/>
                <w:lang w:eastAsia="en-AU"/>
              </w:rPr>
              <w:t>Extended Business Hours</w:t>
            </w:r>
          </w:p>
        </w:tc>
        <w:tc>
          <w:tcPr>
            <w:tcW w:w="1320" w:type="dxa"/>
            <w:tcBorders>
              <w:top w:val="nil"/>
              <w:left w:val="nil"/>
              <w:bottom w:val="single" w:sz="8" w:space="0" w:color="auto"/>
              <w:right w:val="single" w:sz="8" w:space="0" w:color="auto"/>
            </w:tcBorders>
            <w:vAlign w:val="center"/>
            <w:hideMark/>
          </w:tcPr>
          <w:p w14:paraId="1C14B9C6"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$13.64</w:t>
            </w:r>
          </w:p>
        </w:tc>
        <w:tc>
          <w:tcPr>
            <w:tcW w:w="1500" w:type="dxa"/>
            <w:tcBorders>
              <w:top w:val="nil"/>
              <w:left w:val="nil"/>
              <w:bottom w:val="single" w:sz="8" w:space="0" w:color="auto"/>
              <w:right w:val="single" w:sz="8" w:space="0" w:color="auto"/>
            </w:tcBorders>
            <w:vAlign w:val="center"/>
            <w:hideMark/>
          </w:tcPr>
          <w:p w14:paraId="62279980" w14:textId="77777777" w:rsidR="00D243A5" w:rsidRPr="00D243A5" w:rsidRDefault="00D243A5" w:rsidP="00D243A5">
            <w:pPr>
              <w:jc w:val="center"/>
              <w:rPr>
                <w:rFonts w:ascii="Arial" w:hAnsi="Arial" w:cs="Arial"/>
                <w:color w:val="000000"/>
                <w:sz w:val="18"/>
                <w:szCs w:val="18"/>
                <w:lang w:eastAsia="en-AU"/>
              </w:rPr>
            </w:pPr>
            <w:r w:rsidRPr="00D243A5">
              <w:rPr>
                <w:rFonts w:ascii="Arial" w:hAnsi="Arial" w:cs="Arial"/>
                <w:color w:val="000000"/>
                <w:sz w:val="18"/>
                <w:szCs w:val="18"/>
                <w:lang w:eastAsia="en-AU"/>
              </w:rPr>
              <w:t>$15.00</w:t>
            </w:r>
          </w:p>
        </w:tc>
      </w:tr>
    </w:tbl>
    <w:p w14:paraId="2BC4FB19" w14:textId="77777777" w:rsidR="00D243A5" w:rsidRDefault="00D243A5" w:rsidP="00F105F3">
      <w:pPr>
        <w:ind w:left="737"/>
        <w:rPr>
          <w:sz w:val="20"/>
        </w:rPr>
      </w:pPr>
    </w:p>
    <w:p w14:paraId="3EE1AF6B" w14:textId="77777777" w:rsidR="00D243A5" w:rsidRDefault="00D243A5" w:rsidP="00D243A5">
      <w:pPr>
        <w:ind w:left="737"/>
        <w:rPr>
          <w:sz w:val="20"/>
        </w:rPr>
      </w:pPr>
    </w:p>
    <w:p w14:paraId="731384B1" w14:textId="02ECE668" w:rsidR="00586F78" w:rsidRDefault="004B4949" w:rsidP="00F105F3">
      <w:pPr>
        <w:ind w:left="737"/>
        <w:rPr>
          <w:sz w:val="20"/>
        </w:rPr>
      </w:pPr>
      <w:r w:rsidRPr="00D243A5">
        <w:rPr>
          <w:noProof/>
          <w:lang w:eastAsia="en-AU"/>
        </w:rPr>
        <w:drawing>
          <wp:anchor distT="0" distB="0" distL="114300" distR="114300" simplePos="0" relativeHeight="251650560" behindDoc="0" locked="0" layoutInCell="1" allowOverlap="1" wp14:anchorId="30023C71" wp14:editId="41E3AF8A">
            <wp:simplePos x="0" y="0"/>
            <wp:positionH relativeFrom="column">
              <wp:posOffset>374189</wp:posOffset>
            </wp:positionH>
            <wp:positionV relativeFrom="paragraph">
              <wp:posOffset>8197</wp:posOffset>
            </wp:positionV>
            <wp:extent cx="3486150" cy="609600"/>
            <wp:effectExtent l="0" t="0" r="0" b="0"/>
            <wp:wrapSquare wrapText="bothSides"/>
            <wp:docPr id="10" name="Picture 10" descr="SLA Premium Charges for TWS, Express 6 plus, $550 GST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A Premium Charges for TWS, Express 6 plus, $550 GST includ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86150" cy="609600"/>
                    </a:xfrm>
                    <a:prstGeom prst="rect">
                      <a:avLst/>
                    </a:prstGeom>
                    <a:noFill/>
                    <a:ln>
                      <a:noFill/>
                    </a:ln>
                  </pic:spPr>
                </pic:pic>
              </a:graphicData>
            </a:graphic>
          </wp:anchor>
        </w:drawing>
      </w:r>
    </w:p>
    <w:p w14:paraId="4ED67EEC" w14:textId="77777777" w:rsidR="00586F78" w:rsidRDefault="00586F78" w:rsidP="00F105F3">
      <w:pPr>
        <w:ind w:left="737"/>
        <w:rPr>
          <w:sz w:val="20"/>
        </w:rPr>
      </w:pPr>
    </w:p>
    <w:p w14:paraId="15D0110F" w14:textId="77777777" w:rsidR="00586F78" w:rsidRDefault="00586F78" w:rsidP="00F105F3">
      <w:pPr>
        <w:ind w:left="737"/>
        <w:rPr>
          <w:sz w:val="20"/>
        </w:rPr>
      </w:pPr>
    </w:p>
    <w:p w14:paraId="6A2B2072" w14:textId="77777777" w:rsidR="00586F78" w:rsidRDefault="00586F78" w:rsidP="004B4949">
      <w:pPr>
        <w:rPr>
          <w:sz w:val="20"/>
        </w:rPr>
      </w:pPr>
    </w:p>
    <w:p w14:paraId="1388B7DE" w14:textId="77777777" w:rsidR="007D4C46" w:rsidRDefault="007D4C46" w:rsidP="004B4949">
      <w:pPr>
        <w:rPr>
          <w:sz w:val="20"/>
        </w:rPr>
      </w:pPr>
    </w:p>
    <w:p w14:paraId="7F027C30" w14:textId="77777777" w:rsidR="007D4C46" w:rsidRDefault="007D4C46" w:rsidP="004B4949">
      <w:pPr>
        <w:rPr>
          <w:sz w:val="20"/>
        </w:rPr>
      </w:pPr>
    </w:p>
    <w:p w14:paraId="1D6334A7" w14:textId="77777777" w:rsidR="00586F78" w:rsidRPr="00D82AF7" w:rsidRDefault="00586F78" w:rsidP="00F105F3">
      <w:pPr>
        <w:ind w:left="737"/>
        <w:rPr>
          <w:sz w:val="20"/>
        </w:rPr>
      </w:pPr>
    </w:p>
    <w:tbl>
      <w:tblPr>
        <w:tblW w:w="0" w:type="auto"/>
        <w:tblInd w:w="5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80"/>
        <w:gridCol w:w="885"/>
        <w:gridCol w:w="884"/>
        <w:gridCol w:w="884"/>
        <w:gridCol w:w="885"/>
        <w:gridCol w:w="908"/>
        <w:gridCol w:w="897"/>
      </w:tblGrid>
      <w:tr w:rsidR="00E11CB2" w14:paraId="171C68BB" w14:textId="77777777" w:rsidTr="00E11CB2">
        <w:trPr>
          <w:trHeight w:val="668"/>
        </w:trPr>
        <w:tc>
          <w:tcPr>
            <w:tcW w:w="2580" w:type="dxa"/>
            <w:vMerge w:val="restart"/>
            <w:tcBorders>
              <w:top w:val="single" w:sz="4" w:space="0" w:color="auto"/>
              <w:bottom w:val="single" w:sz="4" w:space="0" w:color="auto"/>
              <w:right w:val="single" w:sz="4" w:space="0" w:color="auto"/>
            </w:tcBorders>
            <w:shd w:val="clear" w:color="auto" w:fill="D9D9D9"/>
          </w:tcPr>
          <w:p w14:paraId="01E79DD9" w14:textId="77777777" w:rsidR="00E11CB2" w:rsidRPr="00D14611" w:rsidRDefault="00E11CB2" w:rsidP="00E11CB2">
            <w:pPr>
              <w:pStyle w:val="TableData"/>
              <w:keepNext/>
            </w:pPr>
            <w:r w:rsidRPr="00D14611">
              <w:t>SLA Premium charges for Connect IP</w:t>
            </w:r>
          </w:p>
        </w:tc>
        <w:tc>
          <w:tcPr>
            <w:tcW w:w="1769" w:type="dxa"/>
            <w:gridSpan w:val="2"/>
            <w:tcBorders>
              <w:top w:val="single" w:sz="4" w:space="0" w:color="auto"/>
              <w:left w:val="single" w:sz="4" w:space="0" w:color="auto"/>
              <w:bottom w:val="single" w:sz="4" w:space="0" w:color="auto"/>
              <w:right w:val="single" w:sz="4" w:space="0" w:color="auto"/>
            </w:tcBorders>
            <w:shd w:val="clear" w:color="auto" w:fill="D9D9D9"/>
          </w:tcPr>
          <w:p w14:paraId="2D9F43A2" w14:textId="77777777" w:rsidR="00E11CB2" w:rsidRPr="00D14611" w:rsidRDefault="00E11CB2" w:rsidP="00E11CB2">
            <w:pPr>
              <w:pStyle w:val="TableData"/>
              <w:keepNext/>
            </w:pPr>
            <w:r w:rsidRPr="00D14611">
              <w:t>Monthly Charge for Connect IP (DSL)</w:t>
            </w:r>
          </w:p>
        </w:tc>
        <w:tc>
          <w:tcPr>
            <w:tcW w:w="1769" w:type="dxa"/>
            <w:gridSpan w:val="2"/>
            <w:tcBorders>
              <w:top w:val="single" w:sz="4" w:space="0" w:color="auto"/>
              <w:left w:val="single" w:sz="4" w:space="0" w:color="auto"/>
              <w:bottom w:val="single" w:sz="4" w:space="0" w:color="auto"/>
              <w:right w:val="single" w:sz="4" w:space="0" w:color="auto"/>
            </w:tcBorders>
            <w:shd w:val="clear" w:color="auto" w:fill="D9D9D9"/>
          </w:tcPr>
          <w:p w14:paraId="51F2615D" w14:textId="77777777" w:rsidR="00E11CB2" w:rsidRPr="00D14611" w:rsidRDefault="00E11CB2" w:rsidP="00E11CB2">
            <w:pPr>
              <w:pStyle w:val="TableData"/>
              <w:keepNext/>
            </w:pPr>
            <w:r w:rsidRPr="00D14611">
              <w:t>Monthly Charge for Connect IP (Ethernet Lite)</w:t>
            </w:r>
          </w:p>
        </w:tc>
        <w:tc>
          <w:tcPr>
            <w:tcW w:w="1805" w:type="dxa"/>
            <w:gridSpan w:val="2"/>
            <w:tcBorders>
              <w:top w:val="single" w:sz="4" w:space="0" w:color="auto"/>
              <w:left w:val="single" w:sz="4" w:space="0" w:color="auto"/>
              <w:bottom w:val="single" w:sz="4" w:space="0" w:color="auto"/>
            </w:tcBorders>
            <w:shd w:val="clear" w:color="auto" w:fill="D9D9D9"/>
          </w:tcPr>
          <w:p w14:paraId="5A8E1083" w14:textId="77777777" w:rsidR="00E11CB2" w:rsidRPr="00D14611" w:rsidRDefault="00E11CB2" w:rsidP="00E11CB2">
            <w:pPr>
              <w:pStyle w:val="TableData"/>
              <w:keepNext/>
            </w:pPr>
            <w:r w:rsidRPr="00D14611">
              <w:t>Monthly Charge for Connect IP (FR) &amp; (Ethernet)</w:t>
            </w:r>
          </w:p>
        </w:tc>
      </w:tr>
      <w:tr w:rsidR="00E11CB2" w14:paraId="05E26973" w14:textId="77777777" w:rsidTr="00E11CB2">
        <w:trPr>
          <w:trHeight w:val="667"/>
        </w:trPr>
        <w:tc>
          <w:tcPr>
            <w:tcW w:w="2580" w:type="dxa"/>
            <w:vMerge/>
            <w:tcBorders>
              <w:top w:val="single" w:sz="4" w:space="0" w:color="auto"/>
              <w:bottom w:val="single" w:sz="4" w:space="0" w:color="auto"/>
              <w:right w:val="single" w:sz="4" w:space="0" w:color="auto"/>
            </w:tcBorders>
            <w:shd w:val="clear" w:color="auto" w:fill="D9D9D9"/>
          </w:tcPr>
          <w:p w14:paraId="37EA7A11" w14:textId="77777777" w:rsidR="00E11CB2" w:rsidRPr="00D14611" w:rsidRDefault="00E11CB2" w:rsidP="00E11CB2">
            <w:pPr>
              <w:pStyle w:val="TableData"/>
              <w:keepNext/>
            </w:pPr>
          </w:p>
        </w:tc>
        <w:tc>
          <w:tcPr>
            <w:tcW w:w="885" w:type="dxa"/>
            <w:tcBorders>
              <w:top w:val="single" w:sz="4" w:space="0" w:color="auto"/>
              <w:left w:val="single" w:sz="4" w:space="0" w:color="auto"/>
              <w:bottom w:val="single" w:sz="4" w:space="0" w:color="auto"/>
              <w:right w:val="single" w:sz="4" w:space="0" w:color="auto"/>
            </w:tcBorders>
            <w:shd w:val="clear" w:color="auto" w:fill="D9D9D9"/>
          </w:tcPr>
          <w:p w14:paraId="3959B77E" w14:textId="77777777" w:rsidR="00E11CB2" w:rsidRPr="00D14611" w:rsidRDefault="00E11CB2" w:rsidP="00E11CB2">
            <w:pPr>
              <w:pStyle w:val="TableData"/>
              <w:keepNext/>
            </w:pPr>
            <w:r w:rsidRPr="00D14611">
              <w:t>GST excl.</w:t>
            </w:r>
          </w:p>
        </w:tc>
        <w:tc>
          <w:tcPr>
            <w:tcW w:w="884" w:type="dxa"/>
            <w:tcBorders>
              <w:top w:val="single" w:sz="4" w:space="0" w:color="auto"/>
              <w:left w:val="single" w:sz="4" w:space="0" w:color="auto"/>
              <w:bottom w:val="single" w:sz="4" w:space="0" w:color="auto"/>
              <w:right w:val="single" w:sz="4" w:space="0" w:color="auto"/>
            </w:tcBorders>
            <w:shd w:val="clear" w:color="auto" w:fill="D9D9D9"/>
          </w:tcPr>
          <w:p w14:paraId="41E12408" w14:textId="77777777" w:rsidR="00E11CB2" w:rsidRPr="00D14611" w:rsidRDefault="00E11CB2" w:rsidP="00E11CB2">
            <w:pPr>
              <w:pStyle w:val="TableData"/>
              <w:keepNext/>
            </w:pPr>
            <w:r w:rsidRPr="00D14611">
              <w:t>GST incl.</w:t>
            </w:r>
          </w:p>
        </w:tc>
        <w:tc>
          <w:tcPr>
            <w:tcW w:w="884" w:type="dxa"/>
            <w:tcBorders>
              <w:top w:val="single" w:sz="4" w:space="0" w:color="auto"/>
              <w:left w:val="single" w:sz="4" w:space="0" w:color="auto"/>
              <w:bottom w:val="single" w:sz="4" w:space="0" w:color="auto"/>
              <w:right w:val="single" w:sz="4" w:space="0" w:color="auto"/>
            </w:tcBorders>
            <w:shd w:val="clear" w:color="auto" w:fill="D9D9D9"/>
          </w:tcPr>
          <w:p w14:paraId="753016C7" w14:textId="77777777" w:rsidR="00E11CB2" w:rsidRPr="00D14611" w:rsidRDefault="00E11CB2" w:rsidP="00E11CB2">
            <w:pPr>
              <w:pStyle w:val="TableData"/>
              <w:keepNext/>
            </w:pPr>
            <w:r w:rsidRPr="00D14611">
              <w:t>GST excl.</w:t>
            </w:r>
          </w:p>
        </w:tc>
        <w:tc>
          <w:tcPr>
            <w:tcW w:w="885" w:type="dxa"/>
            <w:tcBorders>
              <w:top w:val="single" w:sz="4" w:space="0" w:color="auto"/>
              <w:left w:val="single" w:sz="4" w:space="0" w:color="auto"/>
              <w:bottom w:val="single" w:sz="4" w:space="0" w:color="auto"/>
              <w:right w:val="single" w:sz="4" w:space="0" w:color="auto"/>
            </w:tcBorders>
            <w:shd w:val="clear" w:color="auto" w:fill="D9D9D9"/>
          </w:tcPr>
          <w:p w14:paraId="50E6C242" w14:textId="77777777" w:rsidR="00E11CB2" w:rsidRPr="00D14611" w:rsidRDefault="00E11CB2" w:rsidP="00E11CB2">
            <w:pPr>
              <w:pStyle w:val="TableData"/>
              <w:keepNext/>
            </w:pPr>
            <w:r w:rsidRPr="00D14611">
              <w:t>GST incl.</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FB74275" w14:textId="77777777" w:rsidR="00E11CB2" w:rsidRPr="00D14611" w:rsidRDefault="00E11CB2" w:rsidP="00E11CB2">
            <w:pPr>
              <w:pStyle w:val="TableData"/>
              <w:keepNext/>
            </w:pPr>
            <w:r w:rsidRPr="00D14611">
              <w:t>GST excl.</w:t>
            </w:r>
          </w:p>
        </w:tc>
        <w:tc>
          <w:tcPr>
            <w:tcW w:w="897" w:type="dxa"/>
            <w:tcBorders>
              <w:top w:val="single" w:sz="4" w:space="0" w:color="auto"/>
              <w:left w:val="single" w:sz="4" w:space="0" w:color="auto"/>
              <w:bottom w:val="single" w:sz="4" w:space="0" w:color="auto"/>
            </w:tcBorders>
            <w:shd w:val="clear" w:color="auto" w:fill="D9D9D9"/>
          </w:tcPr>
          <w:p w14:paraId="747D4C3B" w14:textId="77777777" w:rsidR="00E11CB2" w:rsidRPr="00D14611" w:rsidRDefault="00E11CB2" w:rsidP="00E11CB2">
            <w:pPr>
              <w:pStyle w:val="TableData"/>
              <w:keepNext/>
            </w:pPr>
            <w:r w:rsidRPr="00D14611">
              <w:t>GST incl.</w:t>
            </w:r>
          </w:p>
        </w:tc>
      </w:tr>
      <w:tr w:rsidR="00E11CB2" w14:paraId="7D679E5A" w14:textId="77777777" w:rsidTr="00E11CB2">
        <w:tc>
          <w:tcPr>
            <w:tcW w:w="2580" w:type="dxa"/>
            <w:tcBorders>
              <w:top w:val="single" w:sz="4" w:space="0" w:color="auto"/>
              <w:bottom w:val="single" w:sz="4" w:space="0" w:color="auto"/>
              <w:right w:val="single" w:sz="4" w:space="0" w:color="auto"/>
            </w:tcBorders>
          </w:tcPr>
          <w:p w14:paraId="59F4178C" w14:textId="77777777" w:rsidR="00E11CB2" w:rsidRPr="00526C5B" w:rsidRDefault="00E11CB2" w:rsidP="00E11CB2">
            <w:pPr>
              <w:pStyle w:val="TableData"/>
            </w:pPr>
            <w:r w:rsidRPr="00526C5B">
              <w:t>Express 4 plus</w:t>
            </w:r>
          </w:p>
        </w:tc>
        <w:tc>
          <w:tcPr>
            <w:tcW w:w="885" w:type="dxa"/>
            <w:tcBorders>
              <w:top w:val="single" w:sz="4" w:space="0" w:color="auto"/>
              <w:left w:val="single" w:sz="4" w:space="0" w:color="auto"/>
              <w:bottom w:val="single" w:sz="4" w:space="0" w:color="auto"/>
              <w:right w:val="single" w:sz="4" w:space="0" w:color="auto"/>
            </w:tcBorders>
          </w:tcPr>
          <w:p w14:paraId="04384D99"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7F05A418"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167531CB" w14:textId="77777777" w:rsidR="00E11CB2" w:rsidRPr="00526C5B" w:rsidRDefault="00E11CB2" w:rsidP="00E11CB2">
            <w:pPr>
              <w:pStyle w:val="TableData"/>
            </w:pPr>
            <w:r w:rsidRPr="00526C5B">
              <w:rPr>
                <w:b w:val="0"/>
              </w:rPr>
              <w:t>$95.00</w:t>
            </w:r>
          </w:p>
        </w:tc>
        <w:tc>
          <w:tcPr>
            <w:tcW w:w="885" w:type="dxa"/>
            <w:tcBorders>
              <w:top w:val="single" w:sz="4" w:space="0" w:color="auto"/>
              <w:left w:val="single" w:sz="4" w:space="0" w:color="auto"/>
              <w:bottom w:val="single" w:sz="4" w:space="0" w:color="auto"/>
              <w:right w:val="single" w:sz="4" w:space="0" w:color="auto"/>
            </w:tcBorders>
          </w:tcPr>
          <w:p w14:paraId="29040300" w14:textId="77777777" w:rsidR="00E11CB2" w:rsidRPr="00526C5B" w:rsidRDefault="00E11CB2" w:rsidP="00E11CB2">
            <w:pPr>
              <w:pStyle w:val="TableData"/>
            </w:pPr>
            <w:r w:rsidRPr="00526C5B">
              <w:rPr>
                <w:b w:val="0"/>
              </w:rPr>
              <w:t>$104.50</w:t>
            </w:r>
          </w:p>
        </w:tc>
        <w:tc>
          <w:tcPr>
            <w:tcW w:w="908" w:type="dxa"/>
            <w:tcBorders>
              <w:top w:val="single" w:sz="4" w:space="0" w:color="auto"/>
              <w:left w:val="single" w:sz="4" w:space="0" w:color="auto"/>
              <w:bottom w:val="single" w:sz="4" w:space="0" w:color="auto"/>
              <w:right w:val="single" w:sz="4" w:space="0" w:color="auto"/>
            </w:tcBorders>
          </w:tcPr>
          <w:p w14:paraId="19F3F111" w14:textId="77777777" w:rsidR="00E11CB2" w:rsidRPr="00526C5B" w:rsidRDefault="00E11CB2" w:rsidP="00E11CB2">
            <w:pPr>
              <w:pStyle w:val="TableData"/>
            </w:pPr>
            <w:r w:rsidRPr="00526C5B">
              <w:rPr>
                <w:b w:val="0"/>
              </w:rPr>
              <w:t>$95.00</w:t>
            </w:r>
          </w:p>
        </w:tc>
        <w:tc>
          <w:tcPr>
            <w:tcW w:w="897" w:type="dxa"/>
            <w:tcBorders>
              <w:top w:val="single" w:sz="4" w:space="0" w:color="auto"/>
              <w:left w:val="single" w:sz="4" w:space="0" w:color="auto"/>
              <w:bottom w:val="single" w:sz="4" w:space="0" w:color="auto"/>
            </w:tcBorders>
          </w:tcPr>
          <w:p w14:paraId="3E73D964" w14:textId="77777777" w:rsidR="00E11CB2" w:rsidRPr="00526C5B" w:rsidRDefault="00E11CB2" w:rsidP="00E11CB2">
            <w:pPr>
              <w:pStyle w:val="TableData"/>
            </w:pPr>
            <w:r w:rsidRPr="00526C5B">
              <w:rPr>
                <w:b w:val="0"/>
              </w:rPr>
              <w:t>$104.50</w:t>
            </w:r>
          </w:p>
        </w:tc>
      </w:tr>
      <w:tr w:rsidR="00E11CB2" w14:paraId="30A3FEB2" w14:textId="77777777" w:rsidTr="00E11CB2">
        <w:tc>
          <w:tcPr>
            <w:tcW w:w="2580" w:type="dxa"/>
            <w:tcBorders>
              <w:top w:val="single" w:sz="4" w:space="0" w:color="auto"/>
              <w:bottom w:val="single" w:sz="4" w:space="0" w:color="auto"/>
              <w:right w:val="single" w:sz="4" w:space="0" w:color="auto"/>
            </w:tcBorders>
          </w:tcPr>
          <w:p w14:paraId="0B32D869" w14:textId="77777777" w:rsidR="00E11CB2" w:rsidRPr="00526C5B" w:rsidRDefault="00E11CB2" w:rsidP="00E11CB2">
            <w:pPr>
              <w:pStyle w:val="TableData"/>
              <w:rPr>
                <w:lang w:val="en-GB"/>
              </w:rPr>
            </w:pPr>
            <w:r w:rsidRPr="00526C5B">
              <w:t>Express 4</w:t>
            </w:r>
          </w:p>
        </w:tc>
        <w:tc>
          <w:tcPr>
            <w:tcW w:w="885" w:type="dxa"/>
            <w:tcBorders>
              <w:top w:val="single" w:sz="4" w:space="0" w:color="auto"/>
              <w:left w:val="single" w:sz="4" w:space="0" w:color="auto"/>
              <w:bottom w:val="single" w:sz="4" w:space="0" w:color="auto"/>
              <w:right w:val="single" w:sz="4" w:space="0" w:color="auto"/>
            </w:tcBorders>
          </w:tcPr>
          <w:p w14:paraId="38A4F568"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2B6778A4"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3B8BE799" w14:textId="77777777" w:rsidR="00E11CB2" w:rsidRPr="00526C5B" w:rsidRDefault="00E11CB2" w:rsidP="00E11CB2">
            <w:pPr>
              <w:pStyle w:val="TableData"/>
            </w:pPr>
            <w:r w:rsidRPr="00526C5B">
              <w:rPr>
                <w:b w:val="0"/>
              </w:rPr>
              <w:t>$60.00</w:t>
            </w:r>
          </w:p>
        </w:tc>
        <w:tc>
          <w:tcPr>
            <w:tcW w:w="885" w:type="dxa"/>
            <w:tcBorders>
              <w:top w:val="single" w:sz="4" w:space="0" w:color="auto"/>
              <w:left w:val="single" w:sz="4" w:space="0" w:color="auto"/>
              <w:bottom w:val="single" w:sz="4" w:space="0" w:color="auto"/>
              <w:right w:val="single" w:sz="4" w:space="0" w:color="auto"/>
            </w:tcBorders>
          </w:tcPr>
          <w:p w14:paraId="01409F05" w14:textId="77777777" w:rsidR="00E11CB2" w:rsidRPr="00526C5B" w:rsidRDefault="00E11CB2" w:rsidP="00E11CB2">
            <w:pPr>
              <w:pStyle w:val="TableData"/>
            </w:pPr>
            <w:r w:rsidRPr="00526C5B">
              <w:rPr>
                <w:b w:val="0"/>
              </w:rPr>
              <w:t>$66.00</w:t>
            </w:r>
          </w:p>
        </w:tc>
        <w:tc>
          <w:tcPr>
            <w:tcW w:w="908" w:type="dxa"/>
            <w:tcBorders>
              <w:top w:val="single" w:sz="4" w:space="0" w:color="auto"/>
              <w:left w:val="single" w:sz="4" w:space="0" w:color="auto"/>
              <w:bottom w:val="single" w:sz="4" w:space="0" w:color="auto"/>
              <w:right w:val="single" w:sz="4" w:space="0" w:color="auto"/>
            </w:tcBorders>
          </w:tcPr>
          <w:p w14:paraId="27212C67" w14:textId="77777777" w:rsidR="00E11CB2" w:rsidRPr="00526C5B" w:rsidRDefault="00E11CB2" w:rsidP="00E11CB2">
            <w:pPr>
              <w:pStyle w:val="TableData"/>
            </w:pPr>
            <w:r w:rsidRPr="00526C5B">
              <w:rPr>
                <w:b w:val="0"/>
              </w:rPr>
              <w:t>$60.00</w:t>
            </w:r>
          </w:p>
        </w:tc>
        <w:tc>
          <w:tcPr>
            <w:tcW w:w="897" w:type="dxa"/>
            <w:tcBorders>
              <w:top w:val="single" w:sz="4" w:space="0" w:color="auto"/>
              <w:left w:val="single" w:sz="4" w:space="0" w:color="auto"/>
              <w:bottom w:val="single" w:sz="4" w:space="0" w:color="auto"/>
            </w:tcBorders>
          </w:tcPr>
          <w:p w14:paraId="3EB13DFE" w14:textId="77777777" w:rsidR="00E11CB2" w:rsidRPr="00526C5B" w:rsidRDefault="00E11CB2" w:rsidP="00E11CB2">
            <w:pPr>
              <w:pStyle w:val="TableData"/>
            </w:pPr>
            <w:r w:rsidRPr="00526C5B">
              <w:rPr>
                <w:b w:val="0"/>
              </w:rPr>
              <w:t>$66.00</w:t>
            </w:r>
          </w:p>
        </w:tc>
      </w:tr>
      <w:tr w:rsidR="00E11CB2" w14:paraId="14157C38" w14:textId="77777777" w:rsidTr="00E11CB2">
        <w:tc>
          <w:tcPr>
            <w:tcW w:w="2580" w:type="dxa"/>
            <w:tcBorders>
              <w:top w:val="single" w:sz="4" w:space="0" w:color="auto"/>
              <w:bottom w:val="single" w:sz="4" w:space="0" w:color="auto"/>
              <w:right w:val="single" w:sz="4" w:space="0" w:color="auto"/>
            </w:tcBorders>
          </w:tcPr>
          <w:p w14:paraId="1E6EC47D" w14:textId="77777777" w:rsidR="00E11CB2" w:rsidRPr="00526C5B" w:rsidRDefault="00E11CB2" w:rsidP="00E11CB2">
            <w:pPr>
              <w:pStyle w:val="TableData"/>
              <w:rPr>
                <w:lang w:val="en-GB"/>
              </w:rPr>
            </w:pPr>
            <w:r w:rsidRPr="00526C5B">
              <w:t>Express 6 plus</w:t>
            </w:r>
          </w:p>
        </w:tc>
        <w:tc>
          <w:tcPr>
            <w:tcW w:w="885" w:type="dxa"/>
            <w:tcBorders>
              <w:top w:val="single" w:sz="4" w:space="0" w:color="auto"/>
              <w:left w:val="single" w:sz="4" w:space="0" w:color="auto"/>
              <w:bottom w:val="single" w:sz="4" w:space="0" w:color="auto"/>
              <w:right w:val="single" w:sz="4" w:space="0" w:color="auto"/>
            </w:tcBorders>
          </w:tcPr>
          <w:p w14:paraId="1A74B060"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099F18DD"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37897C6D" w14:textId="77777777" w:rsidR="00E11CB2" w:rsidRPr="00526C5B" w:rsidRDefault="00E11CB2" w:rsidP="00E11CB2">
            <w:pPr>
              <w:pStyle w:val="TableData"/>
            </w:pPr>
            <w:r w:rsidRPr="00526C5B">
              <w:rPr>
                <w:b w:val="0"/>
              </w:rPr>
              <w:t>$85.00</w:t>
            </w:r>
          </w:p>
        </w:tc>
        <w:tc>
          <w:tcPr>
            <w:tcW w:w="885" w:type="dxa"/>
            <w:tcBorders>
              <w:top w:val="single" w:sz="4" w:space="0" w:color="auto"/>
              <w:left w:val="single" w:sz="4" w:space="0" w:color="auto"/>
              <w:bottom w:val="single" w:sz="4" w:space="0" w:color="auto"/>
              <w:right w:val="single" w:sz="4" w:space="0" w:color="auto"/>
            </w:tcBorders>
          </w:tcPr>
          <w:p w14:paraId="30772688" w14:textId="77777777" w:rsidR="00E11CB2" w:rsidRPr="00526C5B" w:rsidRDefault="00E11CB2" w:rsidP="00E11CB2">
            <w:pPr>
              <w:pStyle w:val="TableData"/>
            </w:pPr>
            <w:r w:rsidRPr="00526C5B">
              <w:rPr>
                <w:b w:val="0"/>
              </w:rPr>
              <w:t>$93.50</w:t>
            </w:r>
          </w:p>
        </w:tc>
        <w:tc>
          <w:tcPr>
            <w:tcW w:w="908" w:type="dxa"/>
            <w:tcBorders>
              <w:top w:val="single" w:sz="4" w:space="0" w:color="auto"/>
              <w:left w:val="single" w:sz="4" w:space="0" w:color="auto"/>
              <w:bottom w:val="single" w:sz="4" w:space="0" w:color="auto"/>
              <w:right w:val="single" w:sz="4" w:space="0" w:color="auto"/>
            </w:tcBorders>
          </w:tcPr>
          <w:p w14:paraId="660E0D70" w14:textId="77777777" w:rsidR="00E11CB2" w:rsidRPr="00526C5B" w:rsidRDefault="00E11CB2" w:rsidP="00E11CB2">
            <w:pPr>
              <w:pStyle w:val="TableData"/>
            </w:pPr>
            <w:r w:rsidRPr="00526C5B">
              <w:rPr>
                <w:b w:val="0"/>
              </w:rPr>
              <w:t>$85.00</w:t>
            </w:r>
          </w:p>
        </w:tc>
        <w:tc>
          <w:tcPr>
            <w:tcW w:w="897" w:type="dxa"/>
            <w:tcBorders>
              <w:top w:val="single" w:sz="4" w:space="0" w:color="auto"/>
              <w:left w:val="single" w:sz="4" w:space="0" w:color="auto"/>
              <w:bottom w:val="single" w:sz="4" w:space="0" w:color="auto"/>
            </w:tcBorders>
          </w:tcPr>
          <w:p w14:paraId="44268051" w14:textId="77777777" w:rsidR="00E11CB2" w:rsidRPr="00526C5B" w:rsidRDefault="00E11CB2" w:rsidP="00E11CB2">
            <w:pPr>
              <w:pStyle w:val="TableData"/>
            </w:pPr>
            <w:r w:rsidRPr="00526C5B">
              <w:rPr>
                <w:b w:val="0"/>
              </w:rPr>
              <w:t>$93.50</w:t>
            </w:r>
          </w:p>
        </w:tc>
      </w:tr>
      <w:tr w:rsidR="00E11CB2" w14:paraId="24CF5B06" w14:textId="77777777" w:rsidTr="00E11CB2">
        <w:tc>
          <w:tcPr>
            <w:tcW w:w="2580" w:type="dxa"/>
            <w:tcBorders>
              <w:top w:val="single" w:sz="4" w:space="0" w:color="auto"/>
              <w:bottom w:val="single" w:sz="4" w:space="0" w:color="auto"/>
              <w:right w:val="single" w:sz="4" w:space="0" w:color="auto"/>
            </w:tcBorders>
          </w:tcPr>
          <w:p w14:paraId="174B2D30" w14:textId="77777777" w:rsidR="00E11CB2" w:rsidRPr="00526C5B" w:rsidRDefault="00E11CB2" w:rsidP="00E11CB2">
            <w:pPr>
              <w:pStyle w:val="TableData"/>
              <w:rPr>
                <w:lang w:val="en-GB"/>
              </w:rPr>
            </w:pPr>
            <w:r w:rsidRPr="00526C5B">
              <w:t>Express 6</w:t>
            </w:r>
          </w:p>
        </w:tc>
        <w:tc>
          <w:tcPr>
            <w:tcW w:w="885" w:type="dxa"/>
            <w:tcBorders>
              <w:top w:val="single" w:sz="4" w:space="0" w:color="auto"/>
              <w:left w:val="single" w:sz="4" w:space="0" w:color="auto"/>
              <w:bottom w:val="single" w:sz="4" w:space="0" w:color="auto"/>
              <w:right w:val="single" w:sz="4" w:space="0" w:color="auto"/>
            </w:tcBorders>
          </w:tcPr>
          <w:p w14:paraId="3A1150CC"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45556B17" w14:textId="77777777" w:rsidR="00E11CB2" w:rsidRPr="00526C5B" w:rsidRDefault="00E11CB2" w:rsidP="00E11CB2">
            <w:pPr>
              <w:pStyle w:val="TableData"/>
            </w:pPr>
            <w:r w:rsidRPr="00526C5B">
              <w:rPr>
                <w:b w:val="0"/>
              </w:rPr>
              <w:t>-</w:t>
            </w:r>
          </w:p>
        </w:tc>
        <w:tc>
          <w:tcPr>
            <w:tcW w:w="884" w:type="dxa"/>
            <w:tcBorders>
              <w:top w:val="single" w:sz="4" w:space="0" w:color="auto"/>
              <w:left w:val="single" w:sz="4" w:space="0" w:color="auto"/>
              <w:bottom w:val="single" w:sz="4" w:space="0" w:color="auto"/>
              <w:right w:val="single" w:sz="4" w:space="0" w:color="auto"/>
            </w:tcBorders>
          </w:tcPr>
          <w:p w14:paraId="78FA280B" w14:textId="77777777" w:rsidR="00E11CB2" w:rsidRPr="00526C5B" w:rsidRDefault="00E11CB2" w:rsidP="00E11CB2">
            <w:pPr>
              <w:pStyle w:val="TableData"/>
            </w:pPr>
            <w:r w:rsidRPr="00526C5B">
              <w:rPr>
                <w:b w:val="0"/>
              </w:rPr>
              <w:t>$52.50</w:t>
            </w:r>
          </w:p>
        </w:tc>
        <w:tc>
          <w:tcPr>
            <w:tcW w:w="885" w:type="dxa"/>
            <w:tcBorders>
              <w:top w:val="single" w:sz="4" w:space="0" w:color="auto"/>
              <w:left w:val="single" w:sz="4" w:space="0" w:color="auto"/>
              <w:bottom w:val="single" w:sz="4" w:space="0" w:color="auto"/>
              <w:right w:val="single" w:sz="4" w:space="0" w:color="auto"/>
            </w:tcBorders>
          </w:tcPr>
          <w:p w14:paraId="2FDF3445" w14:textId="77777777" w:rsidR="00E11CB2" w:rsidRPr="00526C5B" w:rsidRDefault="00E11CB2" w:rsidP="00E11CB2">
            <w:pPr>
              <w:pStyle w:val="TableData"/>
            </w:pPr>
            <w:r w:rsidRPr="00526C5B">
              <w:rPr>
                <w:b w:val="0"/>
              </w:rPr>
              <w:t>$57.75</w:t>
            </w:r>
          </w:p>
        </w:tc>
        <w:tc>
          <w:tcPr>
            <w:tcW w:w="908" w:type="dxa"/>
            <w:tcBorders>
              <w:top w:val="single" w:sz="4" w:space="0" w:color="auto"/>
              <w:left w:val="single" w:sz="4" w:space="0" w:color="auto"/>
              <w:bottom w:val="single" w:sz="4" w:space="0" w:color="auto"/>
              <w:right w:val="single" w:sz="4" w:space="0" w:color="auto"/>
            </w:tcBorders>
          </w:tcPr>
          <w:p w14:paraId="20E501BA" w14:textId="77777777" w:rsidR="00E11CB2" w:rsidRPr="00526C5B" w:rsidRDefault="00E11CB2" w:rsidP="00E11CB2">
            <w:pPr>
              <w:pStyle w:val="TableData"/>
            </w:pPr>
            <w:r w:rsidRPr="00526C5B">
              <w:rPr>
                <w:b w:val="0"/>
              </w:rPr>
              <w:t>$52.50</w:t>
            </w:r>
          </w:p>
        </w:tc>
        <w:tc>
          <w:tcPr>
            <w:tcW w:w="897" w:type="dxa"/>
            <w:tcBorders>
              <w:top w:val="single" w:sz="4" w:space="0" w:color="auto"/>
              <w:left w:val="single" w:sz="4" w:space="0" w:color="auto"/>
              <w:bottom w:val="single" w:sz="4" w:space="0" w:color="auto"/>
            </w:tcBorders>
          </w:tcPr>
          <w:p w14:paraId="0C7FFB10" w14:textId="77777777" w:rsidR="00E11CB2" w:rsidRPr="00526C5B" w:rsidRDefault="00E11CB2" w:rsidP="00E11CB2">
            <w:pPr>
              <w:pStyle w:val="TableData"/>
            </w:pPr>
            <w:r w:rsidRPr="00526C5B">
              <w:rPr>
                <w:b w:val="0"/>
              </w:rPr>
              <w:t>$57.75</w:t>
            </w:r>
          </w:p>
        </w:tc>
      </w:tr>
      <w:tr w:rsidR="00E11CB2" w14:paraId="5BD8146B" w14:textId="77777777" w:rsidTr="00E11CB2">
        <w:tc>
          <w:tcPr>
            <w:tcW w:w="2580" w:type="dxa"/>
            <w:tcBorders>
              <w:top w:val="single" w:sz="4" w:space="0" w:color="auto"/>
              <w:bottom w:val="single" w:sz="4" w:space="0" w:color="auto"/>
              <w:right w:val="single" w:sz="4" w:space="0" w:color="auto"/>
            </w:tcBorders>
          </w:tcPr>
          <w:p w14:paraId="41E3B039" w14:textId="77777777" w:rsidR="00E11CB2" w:rsidRPr="00526C5B" w:rsidRDefault="00E11CB2" w:rsidP="00E11CB2">
            <w:pPr>
              <w:pStyle w:val="TableData"/>
              <w:rPr>
                <w:lang w:val="en-GB"/>
              </w:rPr>
            </w:pPr>
            <w:r w:rsidRPr="00526C5B">
              <w:t>Express 8 plus</w:t>
            </w:r>
          </w:p>
        </w:tc>
        <w:tc>
          <w:tcPr>
            <w:tcW w:w="885" w:type="dxa"/>
            <w:tcBorders>
              <w:top w:val="single" w:sz="4" w:space="0" w:color="auto"/>
              <w:left w:val="single" w:sz="4" w:space="0" w:color="auto"/>
              <w:bottom w:val="single" w:sz="4" w:space="0" w:color="auto"/>
              <w:right w:val="single" w:sz="4" w:space="0" w:color="auto"/>
            </w:tcBorders>
          </w:tcPr>
          <w:p w14:paraId="56EC59A4" w14:textId="77777777" w:rsidR="00E11CB2" w:rsidRPr="00526C5B" w:rsidRDefault="00E11CB2" w:rsidP="00E11CB2">
            <w:pPr>
              <w:pStyle w:val="TableData"/>
            </w:pPr>
            <w:r w:rsidRPr="00526C5B">
              <w:rPr>
                <w:b w:val="0"/>
              </w:rPr>
              <w:t>$75.00</w:t>
            </w:r>
          </w:p>
        </w:tc>
        <w:tc>
          <w:tcPr>
            <w:tcW w:w="884" w:type="dxa"/>
            <w:tcBorders>
              <w:top w:val="single" w:sz="4" w:space="0" w:color="auto"/>
              <w:left w:val="single" w:sz="4" w:space="0" w:color="auto"/>
              <w:bottom w:val="single" w:sz="4" w:space="0" w:color="auto"/>
              <w:right w:val="single" w:sz="4" w:space="0" w:color="auto"/>
            </w:tcBorders>
          </w:tcPr>
          <w:p w14:paraId="4437C7BD" w14:textId="77777777" w:rsidR="00E11CB2" w:rsidRPr="00526C5B" w:rsidRDefault="00E11CB2" w:rsidP="00E11CB2">
            <w:pPr>
              <w:pStyle w:val="TableData"/>
            </w:pPr>
            <w:r w:rsidRPr="00526C5B">
              <w:rPr>
                <w:b w:val="0"/>
              </w:rPr>
              <w:t>$82.50</w:t>
            </w:r>
          </w:p>
        </w:tc>
        <w:tc>
          <w:tcPr>
            <w:tcW w:w="884" w:type="dxa"/>
            <w:tcBorders>
              <w:top w:val="single" w:sz="4" w:space="0" w:color="auto"/>
              <w:left w:val="single" w:sz="4" w:space="0" w:color="auto"/>
              <w:bottom w:val="single" w:sz="4" w:space="0" w:color="auto"/>
              <w:right w:val="single" w:sz="4" w:space="0" w:color="auto"/>
            </w:tcBorders>
          </w:tcPr>
          <w:p w14:paraId="2AF66B5D" w14:textId="77777777" w:rsidR="00E11CB2" w:rsidRPr="00526C5B" w:rsidRDefault="00E11CB2" w:rsidP="00E11CB2">
            <w:pPr>
              <w:pStyle w:val="TableData"/>
            </w:pPr>
            <w:r w:rsidRPr="00526C5B">
              <w:rPr>
                <w:b w:val="0"/>
              </w:rPr>
              <w:t>$75.00</w:t>
            </w:r>
          </w:p>
        </w:tc>
        <w:tc>
          <w:tcPr>
            <w:tcW w:w="885" w:type="dxa"/>
            <w:tcBorders>
              <w:top w:val="single" w:sz="4" w:space="0" w:color="auto"/>
              <w:left w:val="single" w:sz="4" w:space="0" w:color="auto"/>
              <w:bottom w:val="single" w:sz="4" w:space="0" w:color="auto"/>
              <w:right w:val="single" w:sz="4" w:space="0" w:color="auto"/>
            </w:tcBorders>
          </w:tcPr>
          <w:p w14:paraId="4A81901F" w14:textId="77777777" w:rsidR="00E11CB2" w:rsidRPr="00526C5B" w:rsidRDefault="00E11CB2" w:rsidP="00E11CB2">
            <w:pPr>
              <w:pStyle w:val="TableData"/>
            </w:pPr>
            <w:r w:rsidRPr="00526C5B">
              <w:rPr>
                <w:b w:val="0"/>
              </w:rPr>
              <w:t>$82.50</w:t>
            </w:r>
          </w:p>
        </w:tc>
        <w:tc>
          <w:tcPr>
            <w:tcW w:w="908" w:type="dxa"/>
            <w:tcBorders>
              <w:top w:val="single" w:sz="4" w:space="0" w:color="auto"/>
              <w:left w:val="single" w:sz="4" w:space="0" w:color="auto"/>
              <w:bottom w:val="single" w:sz="4" w:space="0" w:color="auto"/>
              <w:right w:val="single" w:sz="4" w:space="0" w:color="auto"/>
            </w:tcBorders>
          </w:tcPr>
          <w:p w14:paraId="6782DE16" w14:textId="77777777" w:rsidR="00E11CB2" w:rsidRPr="00526C5B" w:rsidRDefault="00E11CB2" w:rsidP="00E11CB2">
            <w:pPr>
              <w:pStyle w:val="TableData"/>
            </w:pPr>
            <w:r w:rsidRPr="00526C5B">
              <w:rPr>
                <w:b w:val="0"/>
              </w:rPr>
              <w:t>$75.00</w:t>
            </w:r>
          </w:p>
        </w:tc>
        <w:tc>
          <w:tcPr>
            <w:tcW w:w="897" w:type="dxa"/>
            <w:tcBorders>
              <w:top w:val="single" w:sz="4" w:space="0" w:color="auto"/>
              <w:left w:val="single" w:sz="4" w:space="0" w:color="auto"/>
              <w:bottom w:val="single" w:sz="4" w:space="0" w:color="auto"/>
            </w:tcBorders>
          </w:tcPr>
          <w:p w14:paraId="228ED041" w14:textId="77777777" w:rsidR="00E11CB2" w:rsidRPr="00526C5B" w:rsidRDefault="00E11CB2" w:rsidP="00E11CB2">
            <w:pPr>
              <w:pStyle w:val="TableData"/>
            </w:pPr>
            <w:r w:rsidRPr="00526C5B">
              <w:rPr>
                <w:b w:val="0"/>
              </w:rPr>
              <w:t>$82.50</w:t>
            </w:r>
          </w:p>
        </w:tc>
      </w:tr>
      <w:tr w:rsidR="00E11CB2" w14:paraId="296D73BB" w14:textId="77777777" w:rsidTr="00E11CB2">
        <w:tc>
          <w:tcPr>
            <w:tcW w:w="2580" w:type="dxa"/>
            <w:tcBorders>
              <w:top w:val="single" w:sz="4" w:space="0" w:color="auto"/>
              <w:bottom w:val="single" w:sz="4" w:space="0" w:color="auto"/>
              <w:right w:val="single" w:sz="4" w:space="0" w:color="auto"/>
            </w:tcBorders>
          </w:tcPr>
          <w:p w14:paraId="0B943FAA" w14:textId="77777777" w:rsidR="00E11CB2" w:rsidRPr="00526C5B" w:rsidRDefault="00E11CB2" w:rsidP="00E11CB2">
            <w:pPr>
              <w:pStyle w:val="TableData"/>
              <w:rPr>
                <w:lang w:val="en-GB"/>
              </w:rPr>
            </w:pPr>
            <w:r w:rsidRPr="00526C5B">
              <w:t>Express 8</w:t>
            </w:r>
          </w:p>
        </w:tc>
        <w:tc>
          <w:tcPr>
            <w:tcW w:w="885" w:type="dxa"/>
            <w:tcBorders>
              <w:top w:val="single" w:sz="4" w:space="0" w:color="auto"/>
              <w:left w:val="single" w:sz="4" w:space="0" w:color="auto"/>
              <w:bottom w:val="single" w:sz="4" w:space="0" w:color="auto"/>
              <w:right w:val="single" w:sz="4" w:space="0" w:color="auto"/>
            </w:tcBorders>
          </w:tcPr>
          <w:p w14:paraId="515B1AB9" w14:textId="77777777" w:rsidR="00E11CB2" w:rsidRPr="00526C5B" w:rsidRDefault="00E11CB2" w:rsidP="00E11CB2">
            <w:pPr>
              <w:pStyle w:val="TableData"/>
            </w:pPr>
            <w:r w:rsidRPr="00526C5B">
              <w:rPr>
                <w:b w:val="0"/>
              </w:rPr>
              <w:t>$45.00</w:t>
            </w:r>
          </w:p>
        </w:tc>
        <w:tc>
          <w:tcPr>
            <w:tcW w:w="884" w:type="dxa"/>
            <w:tcBorders>
              <w:top w:val="single" w:sz="4" w:space="0" w:color="auto"/>
              <w:left w:val="single" w:sz="4" w:space="0" w:color="auto"/>
              <w:bottom w:val="single" w:sz="4" w:space="0" w:color="auto"/>
              <w:right w:val="single" w:sz="4" w:space="0" w:color="auto"/>
            </w:tcBorders>
          </w:tcPr>
          <w:p w14:paraId="2F1D0D5D" w14:textId="77777777" w:rsidR="00E11CB2" w:rsidRPr="00526C5B" w:rsidRDefault="00E11CB2" w:rsidP="00E11CB2">
            <w:pPr>
              <w:pStyle w:val="TableData"/>
            </w:pPr>
            <w:r w:rsidRPr="00526C5B">
              <w:rPr>
                <w:b w:val="0"/>
              </w:rPr>
              <w:t>$49.50</w:t>
            </w:r>
          </w:p>
        </w:tc>
        <w:tc>
          <w:tcPr>
            <w:tcW w:w="884" w:type="dxa"/>
            <w:tcBorders>
              <w:top w:val="single" w:sz="4" w:space="0" w:color="auto"/>
              <w:left w:val="single" w:sz="4" w:space="0" w:color="auto"/>
              <w:bottom w:val="single" w:sz="4" w:space="0" w:color="auto"/>
              <w:right w:val="single" w:sz="4" w:space="0" w:color="auto"/>
            </w:tcBorders>
          </w:tcPr>
          <w:p w14:paraId="089680AE" w14:textId="77777777" w:rsidR="00E11CB2" w:rsidRPr="00526C5B" w:rsidRDefault="00E11CB2" w:rsidP="00E11CB2">
            <w:pPr>
              <w:pStyle w:val="TableData"/>
            </w:pPr>
            <w:r w:rsidRPr="00526C5B">
              <w:rPr>
                <w:b w:val="0"/>
              </w:rPr>
              <w:t>$45.00</w:t>
            </w:r>
          </w:p>
        </w:tc>
        <w:tc>
          <w:tcPr>
            <w:tcW w:w="885" w:type="dxa"/>
            <w:tcBorders>
              <w:top w:val="single" w:sz="4" w:space="0" w:color="auto"/>
              <w:left w:val="single" w:sz="4" w:space="0" w:color="auto"/>
              <w:bottom w:val="single" w:sz="4" w:space="0" w:color="auto"/>
              <w:right w:val="single" w:sz="4" w:space="0" w:color="auto"/>
            </w:tcBorders>
          </w:tcPr>
          <w:p w14:paraId="10D3492A" w14:textId="77777777" w:rsidR="00E11CB2" w:rsidRPr="00526C5B" w:rsidRDefault="00E11CB2" w:rsidP="00E11CB2">
            <w:pPr>
              <w:pStyle w:val="TableData"/>
            </w:pPr>
            <w:r w:rsidRPr="00526C5B">
              <w:rPr>
                <w:b w:val="0"/>
              </w:rPr>
              <w:t>$49.50</w:t>
            </w:r>
          </w:p>
        </w:tc>
        <w:tc>
          <w:tcPr>
            <w:tcW w:w="908" w:type="dxa"/>
            <w:tcBorders>
              <w:top w:val="single" w:sz="4" w:space="0" w:color="auto"/>
              <w:left w:val="single" w:sz="4" w:space="0" w:color="auto"/>
              <w:bottom w:val="single" w:sz="4" w:space="0" w:color="auto"/>
              <w:right w:val="single" w:sz="4" w:space="0" w:color="auto"/>
            </w:tcBorders>
          </w:tcPr>
          <w:p w14:paraId="14AA7B58" w14:textId="77777777" w:rsidR="00E11CB2" w:rsidRPr="00526C5B" w:rsidRDefault="00E11CB2" w:rsidP="00E11CB2">
            <w:pPr>
              <w:pStyle w:val="TableData"/>
            </w:pPr>
            <w:r w:rsidRPr="00526C5B">
              <w:rPr>
                <w:b w:val="0"/>
              </w:rPr>
              <w:t>$45.00</w:t>
            </w:r>
          </w:p>
        </w:tc>
        <w:tc>
          <w:tcPr>
            <w:tcW w:w="897" w:type="dxa"/>
            <w:tcBorders>
              <w:top w:val="single" w:sz="4" w:space="0" w:color="auto"/>
              <w:left w:val="single" w:sz="4" w:space="0" w:color="auto"/>
              <w:bottom w:val="single" w:sz="4" w:space="0" w:color="auto"/>
            </w:tcBorders>
          </w:tcPr>
          <w:p w14:paraId="6B4AA373" w14:textId="77777777" w:rsidR="00E11CB2" w:rsidRPr="00526C5B" w:rsidRDefault="00E11CB2" w:rsidP="00E11CB2">
            <w:pPr>
              <w:pStyle w:val="TableData"/>
            </w:pPr>
            <w:r w:rsidRPr="00526C5B">
              <w:rPr>
                <w:b w:val="0"/>
              </w:rPr>
              <w:t>$49.50</w:t>
            </w:r>
          </w:p>
        </w:tc>
      </w:tr>
      <w:tr w:rsidR="00E11CB2" w14:paraId="71D78341" w14:textId="77777777" w:rsidTr="00E11CB2">
        <w:tc>
          <w:tcPr>
            <w:tcW w:w="2580" w:type="dxa"/>
            <w:tcBorders>
              <w:top w:val="single" w:sz="4" w:space="0" w:color="auto"/>
              <w:bottom w:val="single" w:sz="4" w:space="0" w:color="auto"/>
              <w:right w:val="single" w:sz="4" w:space="0" w:color="auto"/>
            </w:tcBorders>
          </w:tcPr>
          <w:p w14:paraId="66FD97A3" w14:textId="77777777" w:rsidR="00E11CB2" w:rsidRPr="00526C5B" w:rsidRDefault="00E11CB2" w:rsidP="00E11CB2">
            <w:pPr>
              <w:pStyle w:val="TableData"/>
              <w:rPr>
                <w:lang w:val="en-GB"/>
              </w:rPr>
            </w:pPr>
            <w:r w:rsidRPr="00526C5B">
              <w:t>Business plus</w:t>
            </w:r>
          </w:p>
        </w:tc>
        <w:tc>
          <w:tcPr>
            <w:tcW w:w="885" w:type="dxa"/>
            <w:tcBorders>
              <w:top w:val="single" w:sz="4" w:space="0" w:color="auto"/>
              <w:left w:val="single" w:sz="4" w:space="0" w:color="auto"/>
              <w:bottom w:val="single" w:sz="4" w:space="0" w:color="auto"/>
              <w:right w:val="single" w:sz="4" w:space="0" w:color="auto"/>
            </w:tcBorders>
          </w:tcPr>
          <w:p w14:paraId="29AF25BA" w14:textId="77777777" w:rsidR="00E11CB2" w:rsidRPr="00526C5B" w:rsidRDefault="00E11CB2" w:rsidP="00E11CB2">
            <w:pPr>
              <w:pStyle w:val="TableData"/>
            </w:pPr>
            <w:r w:rsidRPr="00526C5B">
              <w:rPr>
                <w:b w:val="0"/>
              </w:rPr>
              <w:t>$60.00</w:t>
            </w:r>
          </w:p>
        </w:tc>
        <w:tc>
          <w:tcPr>
            <w:tcW w:w="884" w:type="dxa"/>
            <w:tcBorders>
              <w:top w:val="single" w:sz="4" w:space="0" w:color="auto"/>
              <w:left w:val="single" w:sz="4" w:space="0" w:color="auto"/>
              <w:bottom w:val="single" w:sz="4" w:space="0" w:color="auto"/>
              <w:right w:val="single" w:sz="4" w:space="0" w:color="auto"/>
            </w:tcBorders>
          </w:tcPr>
          <w:p w14:paraId="3F471E6C" w14:textId="77777777" w:rsidR="00E11CB2" w:rsidRPr="00526C5B" w:rsidRDefault="00E11CB2" w:rsidP="00E11CB2">
            <w:pPr>
              <w:pStyle w:val="TableData"/>
            </w:pPr>
            <w:r w:rsidRPr="00526C5B">
              <w:rPr>
                <w:b w:val="0"/>
              </w:rPr>
              <w:t>$66.00</w:t>
            </w:r>
          </w:p>
        </w:tc>
        <w:tc>
          <w:tcPr>
            <w:tcW w:w="884" w:type="dxa"/>
            <w:tcBorders>
              <w:top w:val="single" w:sz="4" w:space="0" w:color="auto"/>
              <w:left w:val="single" w:sz="4" w:space="0" w:color="auto"/>
              <w:bottom w:val="single" w:sz="4" w:space="0" w:color="auto"/>
              <w:right w:val="single" w:sz="4" w:space="0" w:color="auto"/>
            </w:tcBorders>
          </w:tcPr>
          <w:p w14:paraId="2666E483" w14:textId="77777777" w:rsidR="00E11CB2" w:rsidRPr="00526C5B" w:rsidRDefault="00E11CB2" w:rsidP="00E11CB2">
            <w:pPr>
              <w:pStyle w:val="TableData"/>
            </w:pPr>
            <w:r w:rsidRPr="00526C5B">
              <w:rPr>
                <w:b w:val="0"/>
              </w:rPr>
              <w:t>$60.00</w:t>
            </w:r>
          </w:p>
        </w:tc>
        <w:tc>
          <w:tcPr>
            <w:tcW w:w="885" w:type="dxa"/>
            <w:tcBorders>
              <w:top w:val="single" w:sz="4" w:space="0" w:color="auto"/>
              <w:left w:val="single" w:sz="4" w:space="0" w:color="auto"/>
              <w:bottom w:val="single" w:sz="4" w:space="0" w:color="auto"/>
              <w:right w:val="single" w:sz="4" w:space="0" w:color="auto"/>
            </w:tcBorders>
          </w:tcPr>
          <w:p w14:paraId="54592FCF" w14:textId="77777777" w:rsidR="00E11CB2" w:rsidRPr="00526C5B" w:rsidRDefault="00E11CB2" w:rsidP="00E11CB2">
            <w:pPr>
              <w:pStyle w:val="TableData"/>
            </w:pPr>
            <w:r w:rsidRPr="00526C5B">
              <w:rPr>
                <w:b w:val="0"/>
              </w:rPr>
              <w:t>$66.00</w:t>
            </w:r>
          </w:p>
        </w:tc>
        <w:tc>
          <w:tcPr>
            <w:tcW w:w="908" w:type="dxa"/>
            <w:tcBorders>
              <w:top w:val="single" w:sz="4" w:space="0" w:color="auto"/>
              <w:left w:val="single" w:sz="4" w:space="0" w:color="auto"/>
              <w:bottom w:val="single" w:sz="4" w:space="0" w:color="auto"/>
              <w:right w:val="single" w:sz="4" w:space="0" w:color="auto"/>
            </w:tcBorders>
          </w:tcPr>
          <w:p w14:paraId="7C8BF734" w14:textId="77777777" w:rsidR="00E11CB2" w:rsidRPr="00526C5B" w:rsidRDefault="00E11CB2" w:rsidP="00E11CB2">
            <w:pPr>
              <w:pStyle w:val="TableData"/>
            </w:pPr>
            <w:r w:rsidRPr="00526C5B">
              <w:rPr>
                <w:b w:val="0"/>
              </w:rPr>
              <w:t>-</w:t>
            </w:r>
          </w:p>
        </w:tc>
        <w:tc>
          <w:tcPr>
            <w:tcW w:w="897" w:type="dxa"/>
            <w:tcBorders>
              <w:top w:val="single" w:sz="4" w:space="0" w:color="auto"/>
              <w:left w:val="single" w:sz="4" w:space="0" w:color="auto"/>
              <w:bottom w:val="single" w:sz="4" w:space="0" w:color="auto"/>
            </w:tcBorders>
          </w:tcPr>
          <w:p w14:paraId="20979262" w14:textId="77777777" w:rsidR="00E11CB2" w:rsidRPr="00526C5B" w:rsidRDefault="00E11CB2" w:rsidP="00E11CB2">
            <w:pPr>
              <w:pStyle w:val="TableData"/>
            </w:pPr>
            <w:r w:rsidRPr="00526C5B">
              <w:rPr>
                <w:b w:val="0"/>
              </w:rPr>
              <w:t>-</w:t>
            </w:r>
          </w:p>
        </w:tc>
      </w:tr>
    </w:tbl>
    <w:p w14:paraId="73D343A7" w14:textId="77777777" w:rsidR="00F105F3" w:rsidRPr="00D82AF7" w:rsidRDefault="00F105F3" w:rsidP="00F105F3">
      <w:pPr>
        <w:pStyle w:val="Heading2"/>
        <w:numPr>
          <w:ilvl w:val="0"/>
          <w:numId w:val="0"/>
        </w:numPr>
      </w:pPr>
    </w:p>
    <w:p w14:paraId="0AD7655E" w14:textId="1CA6AA7A" w:rsidR="00D01CB5" w:rsidRPr="00D82AF7" w:rsidRDefault="00D01CB5" w:rsidP="00D01CB5">
      <w:pPr>
        <w:pStyle w:val="Indent1"/>
      </w:pPr>
      <w:bookmarkStart w:id="18" w:name="_Toc388703986"/>
      <w:bookmarkStart w:id="19" w:name="_Toc208576774"/>
      <w:r>
        <w:t>SLA Premium</w:t>
      </w:r>
      <w:r w:rsidRPr="00D82AF7">
        <w:t xml:space="preserve"> charges</w:t>
      </w:r>
      <w:r>
        <w:t xml:space="preserve"> (Telstra </w:t>
      </w:r>
      <w:r w:rsidR="006B2D4B">
        <w:t>products</w:t>
      </w:r>
      <w:r>
        <w:t xml:space="preserve"> on </w:t>
      </w:r>
      <w:proofErr w:type="spellStart"/>
      <w:r w:rsidR="006B2D4B">
        <w:t>nbn</w:t>
      </w:r>
      <w:r w:rsidR="006B2D4B" w:rsidRPr="008767BC">
        <w:rPr>
          <w:vertAlign w:val="superscript"/>
        </w:rPr>
        <w:t>TM</w:t>
      </w:r>
      <w:proofErr w:type="spellEnd"/>
      <w:r>
        <w:t>)</w:t>
      </w:r>
      <w:bookmarkEnd w:id="18"/>
      <w:bookmarkEnd w:id="19"/>
    </w:p>
    <w:p w14:paraId="512020E6" w14:textId="0C904CC4" w:rsidR="00D01CB5" w:rsidRDefault="00D01CB5" w:rsidP="00AE5E6E">
      <w:pPr>
        <w:pStyle w:val="Heading2"/>
      </w:pPr>
      <w:r w:rsidRPr="00D82AF7">
        <w:t xml:space="preserve">We charge you the following monthly fee for your </w:t>
      </w:r>
      <w:r>
        <w:t>SLA Premium</w:t>
      </w:r>
      <w:r w:rsidRPr="00D82AF7">
        <w:t xml:space="preserve"> service level</w:t>
      </w:r>
      <w:r w:rsidRPr="001827A7">
        <w:t xml:space="preserve"> </w:t>
      </w:r>
      <w:r>
        <w:t xml:space="preserve">for Telstra </w:t>
      </w:r>
      <w:r w:rsidR="006B2D4B">
        <w:t>products</w:t>
      </w:r>
      <w:r>
        <w:t xml:space="preserve"> on </w:t>
      </w:r>
      <w:proofErr w:type="spellStart"/>
      <w:r w:rsidR="006B2D4B" w:rsidRPr="008767BC">
        <w:rPr>
          <w:b/>
        </w:rPr>
        <w:t>nbn</w:t>
      </w:r>
      <w:r w:rsidR="006B2D4B" w:rsidRPr="008767BC">
        <w:rPr>
          <w:vertAlign w:val="superscript"/>
        </w:rPr>
        <w:t>TM</w:t>
      </w:r>
      <w:proofErr w:type="spellEnd"/>
      <w:r w:rsidRPr="00D82AF7">
        <w:t>, as described below.</w:t>
      </w:r>
    </w:p>
    <w:p w14:paraId="1EE2E8EA" w14:textId="79E6784B" w:rsidR="00916B06" w:rsidRDefault="00916B06" w:rsidP="004B4949"/>
    <w:tbl>
      <w:tblPr>
        <w:tblW w:w="9300" w:type="dxa"/>
        <w:tblLook w:val="04A0" w:firstRow="1" w:lastRow="0" w:firstColumn="1" w:lastColumn="0" w:noHBand="0" w:noVBand="1"/>
      </w:tblPr>
      <w:tblGrid>
        <w:gridCol w:w="1077"/>
        <w:gridCol w:w="867"/>
        <w:gridCol w:w="867"/>
        <w:gridCol w:w="867"/>
        <w:gridCol w:w="867"/>
        <w:gridCol w:w="767"/>
        <w:gridCol w:w="767"/>
        <w:gridCol w:w="867"/>
        <w:gridCol w:w="867"/>
        <w:gridCol w:w="767"/>
        <w:gridCol w:w="767"/>
      </w:tblGrid>
      <w:tr w:rsidR="00916B06" w:rsidRPr="00916B06" w14:paraId="79F49826" w14:textId="77777777" w:rsidTr="00916B06">
        <w:trPr>
          <w:trHeight w:val="1810"/>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669952F"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 xml:space="preserve">SLA Premium Options (Telstra Products On </w:t>
            </w:r>
            <w:proofErr w:type="spellStart"/>
            <w:proofErr w:type="gramStart"/>
            <w:r w:rsidRPr="00916B06">
              <w:rPr>
                <w:rFonts w:ascii="Arial" w:hAnsi="Arial" w:cs="Arial"/>
                <w:b/>
                <w:bCs/>
                <w:color w:val="000000"/>
                <w:sz w:val="18"/>
                <w:szCs w:val="18"/>
                <w:lang w:eastAsia="en-AU"/>
              </w:rPr>
              <w:t>nbn</w:t>
            </w:r>
            <w:r w:rsidRPr="00916B06">
              <w:rPr>
                <w:rFonts w:ascii="Arial" w:hAnsi="Arial" w:cs="Arial"/>
                <w:b/>
                <w:bCs/>
                <w:color w:val="000000"/>
                <w:sz w:val="18"/>
                <w:szCs w:val="18"/>
                <w:vertAlign w:val="superscript"/>
                <w:lang w:eastAsia="en-AU"/>
              </w:rPr>
              <w:t>TM</w:t>
            </w:r>
            <w:proofErr w:type="spellEnd"/>
            <w:r w:rsidRPr="00916B06">
              <w:rPr>
                <w:rFonts w:ascii="Arial" w:hAnsi="Arial" w:cs="Arial"/>
                <w:b/>
                <w:bCs/>
                <w:color w:val="000000"/>
                <w:sz w:val="18"/>
                <w:szCs w:val="18"/>
                <w:vertAlign w:val="superscript"/>
                <w:lang w:eastAsia="en-AU"/>
              </w:rPr>
              <w:t xml:space="preserve">  -</w:t>
            </w:r>
            <w:proofErr w:type="gramEnd"/>
            <w:r w:rsidRPr="00916B06">
              <w:rPr>
                <w:rFonts w:ascii="Arial" w:hAnsi="Arial" w:cs="Arial"/>
                <w:b/>
                <w:bCs/>
                <w:color w:val="000000"/>
                <w:sz w:val="18"/>
                <w:szCs w:val="18"/>
                <w:vertAlign w:val="superscript"/>
                <w:lang w:eastAsia="en-AU"/>
              </w:rPr>
              <w:t xml:space="preserve"> </w:t>
            </w:r>
            <w:r w:rsidRPr="00916B06">
              <w:rPr>
                <w:rFonts w:ascii="Arial" w:hAnsi="Arial" w:cs="Arial"/>
                <w:b/>
                <w:bCs/>
                <w:color w:val="000000"/>
                <w:sz w:val="18"/>
                <w:szCs w:val="18"/>
                <w:lang w:eastAsia="en-AU"/>
              </w:rPr>
              <w:t xml:space="preserve">Excluding Connect IP) </w:t>
            </w:r>
          </w:p>
        </w:tc>
        <w:tc>
          <w:tcPr>
            <w:tcW w:w="1600" w:type="dxa"/>
            <w:gridSpan w:val="2"/>
            <w:tcBorders>
              <w:top w:val="single" w:sz="8" w:space="0" w:color="auto"/>
              <w:left w:val="nil"/>
              <w:bottom w:val="single" w:sz="8" w:space="0" w:color="auto"/>
              <w:right w:val="single" w:sz="8" w:space="0" w:color="000000"/>
            </w:tcBorders>
            <w:shd w:val="clear" w:color="000000" w:fill="D0CECE"/>
            <w:vAlign w:val="center"/>
            <w:hideMark/>
          </w:tcPr>
          <w:p w14:paraId="0B8D0099"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Monthly Charge for Business IP Broadband (</w:t>
            </w:r>
            <w:proofErr w:type="spellStart"/>
            <w:r w:rsidRPr="00916B06">
              <w:rPr>
                <w:rFonts w:ascii="Arial" w:hAnsi="Arial" w:cs="Arial"/>
                <w:b/>
                <w:bCs/>
                <w:color w:val="000000"/>
                <w:sz w:val="18"/>
                <w:szCs w:val="18"/>
                <w:lang w:eastAsia="en-AU"/>
              </w:rPr>
              <w:t>nbn</w:t>
            </w:r>
            <w:r w:rsidRPr="00916B06">
              <w:rPr>
                <w:rFonts w:ascii="Arial" w:hAnsi="Arial" w:cs="Arial"/>
                <w:b/>
                <w:bCs/>
                <w:color w:val="000000"/>
                <w:sz w:val="18"/>
                <w:szCs w:val="18"/>
                <w:vertAlign w:val="superscript"/>
                <w:lang w:eastAsia="en-AU"/>
              </w:rPr>
              <w:t>TM</w:t>
            </w:r>
            <w:proofErr w:type="spellEnd"/>
            <w:r w:rsidRPr="00916B06">
              <w:rPr>
                <w:rFonts w:ascii="Arial" w:hAnsi="Arial" w:cs="Arial"/>
                <w:b/>
                <w:bCs/>
                <w:color w:val="000000"/>
                <w:sz w:val="18"/>
                <w:szCs w:val="18"/>
                <w:lang w:eastAsia="en-AU"/>
              </w:rPr>
              <w:t>)</w:t>
            </w:r>
          </w:p>
        </w:tc>
        <w:tc>
          <w:tcPr>
            <w:tcW w:w="1600" w:type="dxa"/>
            <w:gridSpan w:val="2"/>
            <w:tcBorders>
              <w:top w:val="single" w:sz="8" w:space="0" w:color="auto"/>
              <w:left w:val="nil"/>
              <w:bottom w:val="single" w:sz="8" w:space="0" w:color="auto"/>
              <w:right w:val="single" w:sz="8" w:space="0" w:color="000000"/>
            </w:tcBorders>
            <w:shd w:val="clear" w:color="000000" w:fill="D0CECE"/>
            <w:vAlign w:val="center"/>
            <w:hideMark/>
          </w:tcPr>
          <w:p w14:paraId="3B5C9CDD"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 xml:space="preserve">Monthly Charge for Business IP Ethernet over </w:t>
            </w:r>
            <w:proofErr w:type="spellStart"/>
            <w:r w:rsidRPr="00916B06">
              <w:rPr>
                <w:rFonts w:ascii="Arial" w:hAnsi="Arial" w:cs="Arial"/>
                <w:b/>
                <w:bCs/>
                <w:color w:val="000000"/>
                <w:sz w:val="18"/>
                <w:szCs w:val="18"/>
                <w:lang w:eastAsia="en-AU"/>
              </w:rPr>
              <w:t>nbn</w:t>
            </w:r>
            <w:r w:rsidRPr="00916B06">
              <w:rPr>
                <w:rFonts w:ascii="Arial" w:hAnsi="Arial" w:cs="Arial"/>
                <w:b/>
                <w:bCs/>
                <w:color w:val="000000"/>
                <w:sz w:val="18"/>
                <w:szCs w:val="18"/>
                <w:vertAlign w:val="superscript"/>
                <w:lang w:eastAsia="en-AU"/>
              </w:rPr>
              <w:t>TM</w:t>
            </w:r>
            <w:proofErr w:type="spellEnd"/>
          </w:p>
        </w:tc>
        <w:tc>
          <w:tcPr>
            <w:tcW w:w="1600" w:type="dxa"/>
            <w:gridSpan w:val="2"/>
            <w:tcBorders>
              <w:top w:val="single" w:sz="8" w:space="0" w:color="auto"/>
              <w:left w:val="nil"/>
              <w:bottom w:val="single" w:sz="8" w:space="0" w:color="auto"/>
              <w:right w:val="single" w:sz="8" w:space="0" w:color="000000"/>
            </w:tcBorders>
            <w:shd w:val="clear" w:color="000000" w:fill="D0CECE"/>
            <w:vAlign w:val="center"/>
            <w:hideMark/>
          </w:tcPr>
          <w:p w14:paraId="6AFA955C"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 xml:space="preserve">Monthly Charge for National Ethernet over </w:t>
            </w:r>
            <w:proofErr w:type="spellStart"/>
            <w:r w:rsidRPr="00916B06">
              <w:rPr>
                <w:rFonts w:ascii="Arial" w:hAnsi="Arial" w:cs="Arial"/>
                <w:b/>
                <w:bCs/>
                <w:color w:val="000000"/>
                <w:sz w:val="18"/>
                <w:szCs w:val="18"/>
                <w:lang w:eastAsia="en-AU"/>
              </w:rPr>
              <w:t>nbn</w:t>
            </w:r>
            <w:r w:rsidRPr="00916B06">
              <w:rPr>
                <w:rFonts w:ascii="Arial" w:hAnsi="Arial" w:cs="Arial"/>
                <w:b/>
                <w:bCs/>
                <w:color w:val="000000"/>
                <w:sz w:val="18"/>
                <w:szCs w:val="18"/>
                <w:vertAlign w:val="superscript"/>
                <w:lang w:eastAsia="en-AU"/>
              </w:rPr>
              <w:t>TM</w:t>
            </w:r>
            <w:proofErr w:type="spellEnd"/>
          </w:p>
        </w:tc>
        <w:tc>
          <w:tcPr>
            <w:tcW w:w="1600" w:type="dxa"/>
            <w:gridSpan w:val="2"/>
            <w:tcBorders>
              <w:top w:val="single" w:sz="8" w:space="0" w:color="auto"/>
              <w:left w:val="nil"/>
              <w:bottom w:val="single" w:sz="8" w:space="0" w:color="auto"/>
              <w:right w:val="single" w:sz="8" w:space="0" w:color="000000"/>
            </w:tcBorders>
            <w:shd w:val="clear" w:color="000000" w:fill="D0CECE"/>
            <w:vAlign w:val="center"/>
            <w:hideMark/>
          </w:tcPr>
          <w:p w14:paraId="2A40EAC7"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 xml:space="preserve">Monthly Charge for Business IP Direct Fibre over </w:t>
            </w:r>
            <w:proofErr w:type="spellStart"/>
            <w:r w:rsidRPr="00916B06">
              <w:rPr>
                <w:rFonts w:ascii="Arial" w:hAnsi="Arial" w:cs="Arial"/>
                <w:b/>
                <w:bCs/>
                <w:color w:val="000000"/>
                <w:sz w:val="18"/>
                <w:szCs w:val="18"/>
                <w:lang w:eastAsia="en-AU"/>
              </w:rPr>
              <w:t>nbn</w:t>
            </w:r>
            <w:r w:rsidRPr="00916B06">
              <w:rPr>
                <w:rFonts w:ascii="Arial" w:hAnsi="Arial" w:cs="Arial"/>
                <w:b/>
                <w:bCs/>
                <w:color w:val="000000"/>
                <w:sz w:val="18"/>
                <w:szCs w:val="18"/>
                <w:vertAlign w:val="superscript"/>
                <w:lang w:eastAsia="en-AU"/>
              </w:rPr>
              <w:t>TM</w:t>
            </w:r>
            <w:proofErr w:type="spellEnd"/>
          </w:p>
        </w:tc>
        <w:tc>
          <w:tcPr>
            <w:tcW w:w="1600" w:type="dxa"/>
            <w:gridSpan w:val="2"/>
            <w:tcBorders>
              <w:top w:val="single" w:sz="8" w:space="0" w:color="auto"/>
              <w:left w:val="nil"/>
              <w:bottom w:val="single" w:sz="8" w:space="0" w:color="auto"/>
              <w:right w:val="single" w:sz="8" w:space="0" w:color="000000"/>
            </w:tcBorders>
            <w:shd w:val="clear" w:color="000000" w:fill="D0CECE"/>
            <w:vAlign w:val="center"/>
            <w:hideMark/>
          </w:tcPr>
          <w:p w14:paraId="177B8D9E" w14:textId="3384A593"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 xml:space="preserve">Monthly Charge for Telstra Business Broadband </w:t>
            </w:r>
            <w:r w:rsidR="00D50B16">
              <w:rPr>
                <w:rFonts w:ascii="Arial" w:hAnsi="Arial" w:cs="Arial"/>
                <w:b/>
                <w:bCs/>
                <w:color w:val="000000"/>
                <w:sz w:val="18"/>
                <w:szCs w:val="18"/>
                <w:lang w:eastAsia="en-AU"/>
              </w:rPr>
              <w:t>on</w:t>
            </w:r>
            <w:r w:rsidR="005E02B2" w:rsidRPr="00916B06">
              <w:rPr>
                <w:rFonts w:ascii="Arial" w:hAnsi="Arial" w:cs="Arial"/>
                <w:b/>
                <w:bCs/>
                <w:color w:val="000000"/>
                <w:sz w:val="18"/>
                <w:szCs w:val="18"/>
                <w:lang w:eastAsia="en-AU"/>
              </w:rPr>
              <w:t xml:space="preserve"> </w:t>
            </w:r>
            <w:proofErr w:type="spellStart"/>
            <w:proofErr w:type="gramStart"/>
            <w:r w:rsidR="005E02B2" w:rsidRPr="00916B06">
              <w:rPr>
                <w:rFonts w:ascii="Arial" w:hAnsi="Arial" w:cs="Arial"/>
                <w:b/>
                <w:bCs/>
                <w:color w:val="000000"/>
                <w:sz w:val="18"/>
                <w:szCs w:val="18"/>
                <w:lang w:eastAsia="en-AU"/>
              </w:rPr>
              <w:t>nbn</w:t>
            </w:r>
            <w:r w:rsidR="005E02B2" w:rsidRPr="00916B06">
              <w:rPr>
                <w:rFonts w:ascii="Arial" w:hAnsi="Arial" w:cs="Arial"/>
                <w:b/>
                <w:bCs/>
                <w:color w:val="000000"/>
                <w:sz w:val="18"/>
                <w:szCs w:val="18"/>
                <w:vertAlign w:val="superscript"/>
                <w:lang w:eastAsia="en-AU"/>
              </w:rPr>
              <w:t>TM</w:t>
            </w:r>
            <w:proofErr w:type="spellEnd"/>
            <w:r w:rsidR="00D50B16">
              <w:rPr>
                <w:rFonts w:ascii="Arial" w:hAnsi="Arial" w:cs="Arial"/>
                <w:b/>
                <w:bCs/>
                <w:color w:val="000000"/>
                <w:sz w:val="18"/>
                <w:szCs w:val="18"/>
                <w:lang w:eastAsia="en-AU"/>
              </w:rPr>
              <w:t xml:space="preserve"> </w:t>
            </w:r>
            <w:r w:rsidRPr="00916B06">
              <w:rPr>
                <w:rFonts w:ascii="Arial" w:hAnsi="Arial" w:cs="Arial"/>
                <w:b/>
                <w:bCs/>
                <w:color w:val="000000"/>
                <w:sz w:val="18"/>
                <w:szCs w:val="18"/>
                <w:lang w:eastAsia="en-AU"/>
              </w:rPr>
              <w:t xml:space="preserve"> </w:t>
            </w:r>
            <w:r w:rsidR="00415266">
              <w:rPr>
                <w:rFonts w:ascii="Arial" w:hAnsi="Arial" w:cs="Arial"/>
                <w:b/>
                <w:bCs/>
                <w:color w:val="000000"/>
                <w:sz w:val="18"/>
                <w:szCs w:val="18"/>
                <w:lang w:eastAsia="en-AU"/>
              </w:rPr>
              <w:t>Premium</w:t>
            </w:r>
            <w:proofErr w:type="gramEnd"/>
            <w:r w:rsidR="00415266">
              <w:rPr>
                <w:rFonts w:ascii="Arial" w:hAnsi="Arial" w:cs="Arial"/>
                <w:b/>
                <w:bCs/>
                <w:color w:val="000000"/>
                <w:sz w:val="18"/>
                <w:szCs w:val="18"/>
                <w:lang w:eastAsia="en-AU"/>
              </w:rPr>
              <w:t xml:space="preserve"> Connectivity Packages</w:t>
            </w:r>
          </w:p>
        </w:tc>
      </w:tr>
      <w:tr w:rsidR="00916B06" w:rsidRPr="00916B06" w14:paraId="2732FC71" w14:textId="77777777" w:rsidTr="00916B06">
        <w:trPr>
          <w:trHeight w:val="300"/>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377DDB06" w14:textId="77777777" w:rsidR="00916B06" w:rsidRPr="00916B06" w:rsidRDefault="00916B06" w:rsidP="00916B06">
            <w:pPr>
              <w:rPr>
                <w:rFonts w:ascii="Arial" w:hAnsi="Arial" w:cs="Arial"/>
                <w:b/>
                <w:bCs/>
                <w:color w:val="000000"/>
                <w:sz w:val="18"/>
                <w:szCs w:val="18"/>
                <w:lang w:eastAsia="en-AU"/>
              </w:rPr>
            </w:pPr>
          </w:p>
        </w:tc>
        <w:tc>
          <w:tcPr>
            <w:tcW w:w="820" w:type="dxa"/>
            <w:tcBorders>
              <w:top w:val="nil"/>
              <w:left w:val="nil"/>
              <w:bottom w:val="single" w:sz="8" w:space="0" w:color="auto"/>
              <w:right w:val="single" w:sz="8" w:space="0" w:color="auto"/>
            </w:tcBorders>
            <w:shd w:val="clear" w:color="000000" w:fill="D0CECE"/>
            <w:vAlign w:val="center"/>
            <w:hideMark/>
          </w:tcPr>
          <w:p w14:paraId="72483A56"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excl.</w:t>
            </w:r>
          </w:p>
        </w:tc>
        <w:tc>
          <w:tcPr>
            <w:tcW w:w="780" w:type="dxa"/>
            <w:tcBorders>
              <w:top w:val="nil"/>
              <w:left w:val="nil"/>
              <w:bottom w:val="single" w:sz="8" w:space="0" w:color="auto"/>
              <w:right w:val="single" w:sz="8" w:space="0" w:color="auto"/>
            </w:tcBorders>
            <w:shd w:val="clear" w:color="000000" w:fill="D0CECE"/>
            <w:vAlign w:val="center"/>
            <w:hideMark/>
          </w:tcPr>
          <w:p w14:paraId="57F2E82E"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incl.</w:t>
            </w:r>
          </w:p>
        </w:tc>
        <w:tc>
          <w:tcPr>
            <w:tcW w:w="820" w:type="dxa"/>
            <w:tcBorders>
              <w:top w:val="nil"/>
              <w:left w:val="nil"/>
              <w:bottom w:val="single" w:sz="8" w:space="0" w:color="auto"/>
              <w:right w:val="single" w:sz="8" w:space="0" w:color="auto"/>
            </w:tcBorders>
            <w:shd w:val="clear" w:color="000000" w:fill="D0CECE"/>
            <w:vAlign w:val="center"/>
            <w:hideMark/>
          </w:tcPr>
          <w:p w14:paraId="1CC21F21"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excl.</w:t>
            </w:r>
          </w:p>
        </w:tc>
        <w:tc>
          <w:tcPr>
            <w:tcW w:w="780" w:type="dxa"/>
            <w:tcBorders>
              <w:top w:val="nil"/>
              <w:left w:val="nil"/>
              <w:bottom w:val="single" w:sz="8" w:space="0" w:color="auto"/>
              <w:right w:val="single" w:sz="8" w:space="0" w:color="auto"/>
            </w:tcBorders>
            <w:shd w:val="clear" w:color="000000" w:fill="D0CECE"/>
            <w:vAlign w:val="center"/>
            <w:hideMark/>
          </w:tcPr>
          <w:p w14:paraId="5E30F679"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incl.</w:t>
            </w:r>
          </w:p>
        </w:tc>
        <w:tc>
          <w:tcPr>
            <w:tcW w:w="820" w:type="dxa"/>
            <w:tcBorders>
              <w:top w:val="nil"/>
              <w:left w:val="nil"/>
              <w:bottom w:val="single" w:sz="8" w:space="0" w:color="auto"/>
              <w:right w:val="single" w:sz="8" w:space="0" w:color="auto"/>
            </w:tcBorders>
            <w:shd w:val="clear" w:color="000000" w:fill="D0CECE"/>
            <w:vAlign w:val="center"/>
            <w:hideMark/>
          </w:tcPr>
          <w:p w14:paraId="176C76B9"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excl.</w:t>
            </w:r>
          </w:p>
        </w:tc>
        <w:tc>
          <w:tcPr>
            <w:tcW w:w="780" w:type="dxa"/>
            <w:tcBorders>
              <w:top w:val="nil"/>
              <w:left w:val="nil"/>
              <w:bottom w:val="single" w:sz="8" w:space="0" w:color="auto"/>
              <w:right w:val="single" w:sz="8" w:space="0" w:color="auto"/>
            </w:tcBorders>
            <w:shd w:val="clear" w:color="000000" w:fill="D0CECE"/>
            <w:vAlign w:val="center"/>
            <w:hideMark/>
          </w:tcPr>
          <w:p w14:paraId="371346DD"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incl.</w:t>
            </w:r>
          </w:p>
        </w:tc>
        <w:tc>
          <w:tcPr>
            <w:tcW w:w="820" w:type="dxa"/>
            <w:tcBorders>
              <w:top w:val="nil"/>
              <w:left w:val="nil"/>
              <w:bottom w:val="single" w:sz="8" w:space="0" w:color="auto"/>
              <w:right w:val="single" w:sz="8" w:space="0" w:color="auto"/>
            </w:tcBorders>
            <w:shd w:val="clear" w:color="000000" w:fill="D0CECE"/>
            <w:vAlign w:val="center"/>
            <w:hideMark/>
          </w:tcPr>
          <w:p w14:paraId="799253D7"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excl.</w:t>
            </w:r>
          </w:p>
        </w:tc>
        <w:tc>
          <w:tcPr>
            <w:tcW w:w="780" w:type="dxa"/>
            <w:tcBorders>
              <w:top w:val="nil"/>
              <w:left w:val="nil"/>
              <w:bottom w:val="single" w:sz="8" w:space="0" w:color="auto"/>
              <w:right w:val="single" w:sz="8" w:space="0" w:color="auto"/>
            </w:tcBorders>
            <w:shd w:val="clear" w:color="000000" w:fill="D0CECE"/>
            <w:vAlign w:val="center"/>
            <w:hideMark/>
          </w:tcPr>
          <w:p w14:paraId="7DA74AD9"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incl.</w:t>
            </w:r>
          </w:p>
        </w:tc>
        <w:tc>
          <w:tcPr>
            <w:tcW w:w="820" w:type="dxa"/>
            <w:tcBorders>
              <w:top w:val="nil"/>
              <w:left w:val="nil"/>
              <w:bottom w:val="single" w:sz="8" w:space="0" w:color="auto"/>
              <w:right w:val="single" w:sz="8" w:space="0" w:color="auto"/>
            </w:tcBorders>
            <w:shd w:val="clear" w:color="000000" w:fill="D0CECE"/>
            <w:vAlign w:val="center"/>
            <w:hideMark/>
          </w:tcPr>
          <w:p w14:paraId="15EF6ED4"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excl.</w:t>
            </w:r>
          </w:p>
        </w:tc>
        <w:tc>
          <w:tcPr>
            <w:tcW w:w="780" w:type="dxa"/>
            <w:tcBorders>
              <w:top w:val="nil"/>
              <w:left w:val="nil"/>
              <w:bottom w:val="single" w:sz="8" w:space="0" w:color="auto"/>
              <w:right w:val="single" w:sz="8" w:space="0" w:color="auto"/>
            </w:tcBorders>
            <w:shd w:val="clear" w:color="000000" w:fill="D0CECE"/>
            <w:vAlign w:val="center"/>
            <w:hideMark/>
          </w:tcPr>
          <w:p w14:paraId="1D7B8892" w14:textId="77777777" w:rsidR="00916B06" w:rsidRPr="00916B06" w:rsidRDefault="00916B06" w:rsidP="00916B06">
            <w:pPr>
              <w:jc w:val="center"/>
              <w:rPr>
                <w:rFonts w:ascii="Arial" w:hAnsi="Arial" w:cs="Arial"/>
                <w:b/>
                <w:bCs/>
                <w:color w:val="000000"/>
                <w:sz w:val="16"/>
                <w:szCs w:val="16"/>
                <w:lang w:eastAsia="en-AU"/>
              </w:rPr>
            </w:pPr>
            <w:r w:rsidRPr="00916B06">
              <w:rPr>
                <w:rFonts w:ascii="Arial" w:hAnsi="Arial" w:cs="Arial"/>
                <w:b/>
                <w:bCs/>
                <w:color w:val="000000"/>
                <w:sz w:val="16"/>
                <w:szCs w:val="16"/>
                <w:lang w:eastAsia="en-AU"/>
              </w:rPr>
              <w:t>GST incl.</w:t>
            </w:r>
          </w:p>
        </w:tc>
      </w:tr>
      <w:tr w:rsidR="00916B06" w:rsidRPr="00916B06" w14:paraId="0CD01A4B" w14:textId="77777777" w:rsidTr="00916B06">
        <w:trPr>
          <w:trHeight w:val="470"/>
        </w:trPr>
        <w:tc>
          <w:tcPr>
            <w:tcW w:w="1300" w:type="dxa"/>
            <w:tcBorders>
              <w:top w:val="nil"/>
              <w:left w:val="single" w:sz="8" w:space="0" w:color="auto"/>
              <w:bottom w:val="single" w:sz="8" w:space="0" w:color="auto"/>
              <w:right w:val="single" w:sz="8" w:space="0" w:color="auto"/>
            </w:tcBorders>
            <w:vAlign w:val="center"/>
            <w:hideMark/>
          </w:tcPr>
          <w:p w14:paraId="6A0B45C1"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Express 4 plus</w:t>
            </w:r>
          </w:p>
        </w:tc>
        <w:tc>
          <w:tcPr>
            <w:tcW w:w="820" w:type="dxa"/>
            <w:tcBorders>
              <w:top w:val="nil"/>
              <w:left w:val="nil"/>
              <w:bottom w:val="single" w:sz="8" w:space="0" w:color="auto"/>
              <w:right w:val="single" w:sz="8" w:space="0" w:color="auto"/>
            </w:tcBorders>
            <w:vAlign w:val="center"/>
            <w:hideMark/>
          </w:tcPr>
          <w:p w14:paraId="4D7FDAA0"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$110.00</w:t>
            </w:r>
          </w:p>
        </w:tc>
        <w:tc>
          <w:tcPr>
            <w:tcW w:w="780" w:type="dxa"/>
            <w:tcBorders>
              <w:top w:val="nil"/>
              <w:left w:val="nil"/>
              <w:bottom w:val="single" w:sz="8" w:space="0" w:color="auto"/>
              <w:right w:val="single" w:sz="8" w:space="0" w:color="auto"/>
            </w:tcBorders>
            <w:vAlign w:val="center"/>
            <w:hideMark/>
          </w:tcPr>
          <w:p w14:paraId="3CF2F9FA"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$121.00</w:t>
            </w:r>
          </w:p>
        </w:tc>
        <w:tc>
          <w:tcPr>
            <w:tcW w:w="820" w:type="dxa"/>
            <w:tcBorders>
              <w:top w:val="nil"/>
              <w:left w:val="nil"/>
              <w:bottom w:val="single" w:sz="8" w:space="0" w:color="auto"/>
              <w:right w:val="single" w:sz="8" w:space="0" w:color="auto"/>
            </w:tcBorders>
            <w:vAlign w:val="center"/>
            <w:hideMark/>
          </w:tcPr>
          <w:p w14:paraId="506CBB1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$110.00</w:t>
            </w:r>
          </w:p>
        </w:tc>
        <w:tc>
          <w:tcPr>
            <w:tcW w:w="780" w:type="dxa"/>
            <w:tcBorders>
              <w:top w:val="nil"/>
              <w:left w:val="nil"/>
              <w:bottom w:val="single" w:sz="8" w:space="0" w:color="auto"/>
              <w:right w:val="single" w:sz="8" w:space="0" w:color="auto"/>
            </w:tcBorders>
            <w:vAlign w:val="center"/>
            <w:hideMark/>
          </w:tcPr>
          <w:p w14:paraId="7652684C"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$121.00</w:t>
            </w:r>
          </w:p>
        </w:tc>
        <w:tc>
          <w:tcPr>
            <w:tcW w:w="820" w:type="dxa"/>
            <w:tcBorders>
              <w:top w:val="nil"/>
              <w:left w:val="nil"/>
              <w:bottom w:val="single" w:sz="8" w:space="0" w:color="auto"/>
              <w:right w:val="single" w:sz="8" w:space="0" w:color="auto"/>
            </w:tcBorders>
            <w:vAlign w:val="center"/>
            <w:hideMark/>
          </w:tcPr>
          <w:p w14:paraId="527830F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67FBF34F"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47B20DA4"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$110.00</w:t>
            </w:r>
          </w:p>
        </w:tc>
        <w:tc>
          <w:tcPr>
            <w:tcW w:w="780" w:type="dxa"/>
            <w:tcBorders>
              <w:top w:val="nil"/>
              <w:left w:val="nil"/>
              <w:bottom w:val="single" w:sz="8" w:space="0" w:color="auto"/>
              <w:right w:val="single" w:sz="8" w:space="0" w:color="auto"/>
            </w:tcBorders>
            <w:vAlign w:val="center"/>
            <w:hideMark/>
          </w:tcPr>
          <w:p w14:paraId="14C234A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$121.00</w:t>
            </w:r>
          </w:p>
        </w:tc>
        <w:tc>
          <w:tcPr>
            <w:tcW w:w="820" w:type="dxa"/>
            <w:tcBorders>
              <w:top w:val="nil"/>
              <w:left w:val="nil"/>
              <w:bottom w:val="single" w:sz="8" w:space="0" w:color="auto"/>
              <w:right w:val="single" w:sz="8" w:space="0" w:color="auto"/>
            </w:tcBorders>
            <w:vAlign w:val="center"/>
            <w:hideMark/>
          </w:tcPr>
          <w:p w14:paraId="796ACFF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11B94D1D"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r>
      <w:tr w:rsidR="00916B06" w:rsidRPr="00916B06" w14:paraId="2D0AC8F7" w14:textId="77777777" w:rsidTr="00916B06">
        <w:trPr>
          <w:trHeight w:val="300"/>
        </w:trPr>
        <w:tc>
          <w:tcPr>
            <w:tcW w:w="1300" w:type="dxa"/>
            <w:tcBorders>
              <w:top w:val="nil"/>
              <w:left w:val="single" w:sz="8" w:space="0" w:color="auto"/>
              <w:bottom w:val="single" w:sz="8" w:space="0" w:color="auto"/>
              <w:right w:val="single" w:sz="8" w:space="0" w:color="auto"/>
            </w:tcBorders>
            <w:vAlign w:val="center"/>
            <w:hideMark/>
          </w:tcPr>
          <w:p w14:paraId="268D7109"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Express 4</w:t>
            </w:r>
          </w:p>
        </w:tc>
        <w:tc>
          <w:tcPr>
            <w:tcW w:w="820" w:type="dxa"/>
            <w:tcBorders>
              <w:top w:val="nil"/>
              <w:left w:val="nil"/>
              <w:bottom w:val="single" w:sz="8" w:space="0" w:color="auto"/>
              <w:right w:val="single" w:sz="8" w:space="0" w:color="auto"/>
            </w:tcBorders>
            <w:vAlign w:val="center"/>
            <w:hideMark/>
          </w:tcPr>
          <w:p w14:paraId="1B362C2E"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$60.00</w:t>
            </w:r>
          </w:p>
        </w:tc>
        <w:tc>
          <w:tcPr>
            <w:tcW w:w="780" w:type="dxa"/>
            <w:tcBorders>
              <w:top w:val="nil"/>
              <w:left w:val="nil"/>
              <w:bottom w:val="single" w:sz="8" w:space="0" w:color="auto"/>
              <w:right w:val="single" w:sz="8" w:space="0" w:color="auto"/>
            </w:tcBorders>
            <w:vAlign w:val="center"/>
            <w:hideMark/>
          </w:tcPr>
          <w:p w14:paraId="0849A640"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$66.00</w:t>
            </w:r>
          </w:p>
        </w:tc>
        <w:tc>
          <w:tcPr>
            <w:tcW w:w="820" w:type="dxa"/>
            <w:tcBorders>
              <w:top w:val="nil"/>
              <w:left w:val="nil"/>
              <w:bottom w:val="single" w:sz="8" w:space="0" w:color="auto"/>
              <w:right w:val="single" w:sz="8" w:space="0" w:color="auto"/>
            </w:tcBorders>
            <w:vAlign w:val="center"/>
            <w:hideMark/>
          </w:tcPr>
          <w:p w14:paraId="0C7B87F2"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$60.00</w:t>
            </w:r>
          </w:p>
        </w:tc>
        <w:tc>
          <w:tcPr>
            <w:tcW w:w="780" w:type="dxa"/>
            <w:tcBorders>
              <w:top w:val="nil"/>
              <w:left w:val="nil"/>
              <w:bottom w:val="single" w:sz="8" w:space="0" w:color="auto"/>
              <w:right w:val="single" w:sz="8" w:space="0" w:color="auto"/>
            </w:tcBorders>
            <w:vAlign w:val="center"/>
            <w:hideMark/>
          </w:tcPr>
          <w:p w14:paraId="7A1B063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$66.00</w:t>
            </w:r>
          </w:p>
        </w:tc>
        <w:tc>
          <w:tcPr>
            <w:tcW w:w="820" w:type="dxa"/>
            <w:tcBorders>
              <w:top w:val="nil"/>
              <w:left w:val="nil"/>
              <w:bottom w:val="single" w:sz="8" w:space="0" w:color="auto"/>
              <w:right w:val="single" w:sz="8" w:space="0" w:color="auto"/>
            </w:tcBorders>
            <w:vAlign w:val="center"/>
            <w:hideMark/>
          </w:tcPr>
          <w:p w14:paraId="79CA2167"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5A7059E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233541D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4D2BAFE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2008A9E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076AF377"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r>
      <w:tr w:rsidR="00916B06" w:rsidRPr="00916B06" w14:paraId="73FF8CEC" w14:textId="77777777" w:rsidTr="00916B06">
        <w:trPr>
          <w:trHeight w:val="470"/>
        </w:trPr>
        <w:tc>
          <w:tcPr>
            <w:tcW w:w="1300" w:type="dxa"/>
            <w:tcBorders>
              <w:top w:val="nil"/>
              <w:left w:val="single" w:sz="8" w:space="0" w:color="auto"/>
              <w:bottom w:val="single" w:sz="8" w:space="0" w:color="auto"/>
              <w:right w:val="single" w:sz="8" w:space="0" w:color="auto"/>
            </w:tcBorders>
            <w:vAlign w:val="center"/>
            <w:hideMark/>
          </w:tcPr>
          <w:p w14:paraId="11CC7011"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Express 6 plus</w:t>
            </w:r>
          </w:p>
        </w:tc>
        <w:tc>
          <w:tcPr>
            <w:tcW w:w="820" w:type="dxa"/>
            <w:tcBorders>
              <w:top w:val="nil"/>
              <w:left w:val="nil"/>
              <w:bottom w:val="single" w:sz="8" w:space="0" w:color="auto"/>
              <w:right w:val="single" w:sz="8" w:space="0" w:color="auto"/>
            </w:tcBorders>
            <w:vAlign w:val="center"/>
            <w:hideMark/>
          </w:tcPr>
          <w:p w14:paraId="6AF408D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$100.00</w:t>
            </w:r>
          </w:p>
        </w:tc>
        <w:tc>
          <w:tcPr>
            <w:tcW w:w="780" w:type="dxa"/>
            <w:tcBorders>
              <w:top w:val="nil"/>
              <w:left w:val="nil"/>
              <w:bottom w:val="single" w:sz="8" w:space="0" w:color="auto"/>
              <w:right w:val="single" w:sz="8" w:space="0" w:color="auto"/>
            </w:tcBorders>
            <w:vAlign w:val="center"/>
            <w:hideMark/>
          </w:tcPr>
          <w:p w14:paraId="2F037FE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$110.00</w:t>
            </w:r>
          </w:p>
        </w:tc>
        <w:tc>
          <w:tcPr>
            <w:tcW w:w="820" w:type="dxa"/>
            <w:tcBorders>
              <w:top w:val="nil"/>
              <w:left w:val="nil"/>
              <w:bottom w:val="single" w:sz="8" w:space="0" w:color="auto"/>
              <w:right w:val="single" w:sz="8" w:space="0" w:color="auto"/>
            </w:tcBorders>
            <w:vAlign w:val="center"/>
            <w:hideMark/>
          </w:tcPr>
          <w:p w14:paraId="344DFD69"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$100.00</w:t>
            </w:r>
          </w:p>
        </w:tc>
        <w:tc>
          <w:tcPr>
            <w:tcW w:w="780" w:type="dxa"/>
            <w:tcBorders>
              <w:top w:val="nil"/>
              <w:left w:val="nil"/>
              <w:bottom w:val="single" w:sz="8" w:space="0" w:color="auto"/>
              <w:right w:val="single" w:sz="8" w:space="0" w:color="auto"/>
            </w:tcBorders>
            <w:vAlign w:val="center"/>
            <w:hideMark/>
          </w:tcPr>
          <w:p w14:paraId="2EFF65BC"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$110.00</w:t>
            </w:r>
          </w:p>
        </w:tc>
        <w:tc>
          <w:tcPr>
            <w:tcW w:w="820" w:type="dxa"/>
            <w:tcBorders>
              <w:top w:val="nil"/>
              <w:left w:val="nil"/>
              <w:bottom w:val="single" w:sz="8" w:space="0" w:color="auto"/>
              <w:right w:val="single" w:sz="8" w:space="0" w:color="auto"/>
            </w:tcBorders>
            <w:vAlign w:val="center"/>
            <w:hideMark/>
          </w:tcPr>
          <w:p w14:paraId="16EEA6CE"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5C81E794"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7E9E0230"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$100.00</w:t>
            </w:r>
          </w:p>
        </w:tc>
        <w:tc>
          <w:tcPr>
            <w:tcW w:w="780" w:type="dxa"/>
            <w:tcBorders>
              <w:top w:val="nil"/>
              <w:left w:val="nil"/>
              <w:bottom w:val="single" w:sz="8" w:space="0" w:color="auto"/>
              <w:right w:val="single" w:sz="8" w:space="0" w:color="auto"/>
            </w:tcBorders>
            <w:vAlign w:val="center"/>
            <w:hideMark/>
          </w:tcPr>
          <w:p w14:paraId="0EC6DB16"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$110.00</w:t>
            </w:r>
          </w:p>
        </w:tc>
        <w:tc>
          <w:tcPr>
            <w:tcW w:w="820" w:type="dxa"/>
            <w:tcBorders>
              <w:top w:val="nil"/>
              <w:left w:val="nil"/>
              <w:bottom w:val="single" w:sz="8" w:space="0" w:color="auto"/>
              <w:right w:val="single" w:sz="8" w:space="0" w:color="auto"/>
            </w:tcBorders>
            <w:vAlign w:val="center"/>
            <w:hideMark/>
          </w:tcPr>
          <w:p w14:paraId="7DCF80FA"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1C93FA8C"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r>
      <w:tr w:rsidR="00916B06" w:rsidRPr="00916B06" w14:paraId="7C8A3BDB" w14:textId="77777777" w:rsidTr="00916B06">
        <w:trPr>
          <w:trHeight w:val="300"/>
        </w:trPr>
        <w:tc>
          <w:tcPr>
            <w:tcW w:w="1300" w:type="dxa"/>
            <w:tcBorders>
              <w:top w:val="nil"/>
              <w:left w:val="single" w:sz="8" w:space="0" w:color="auto"/>
              <w:bottom w:val="single" w:sz="8" w:space="0" w:color="auto"/>
              <w:right w:val="single" w:sz="8" w:space="0" w:color="auto"/>
            </w:tcBorders>
            <w:vAlign w:val="center"/>
            <w:hideMark/>
          </w:tcPr>
          <w:p w14:paraId="2DCE1F30"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Express 6</w:t>
            </w:r>
          </w:p>
        </w:tc>
        <w:tc>
          <w:tcPr>
            <w:tcW w:w="820" w:type="dxa"/>
            <w:tcBorders>
              <w:top w:val="nil"/>
              <w:left w:val="nil"/>
              <w:bottom w:val="single" w:sz="8" w:space="0" w:color="auto"/>
              <w:right w:val="single" w:sz="8" w:space="0" w:color="auto"/>
            </w:tcBorders>
            <w:vAlign w:val="center"/>
            <w:hideMark/>
          </w:tcPr>
          <w:p w14:paraId="578F4C2D"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$50.00</w:t>
            </w:r>
          </w:p>
        </w:tc>
        <w:tc>
          <w:tcPr>
            <w:tcW w:w="780" w:type="dxa"/>
            <w:tcBorders>
              <w:top w:val="nil"/>
              <w:left w:val="nil"/>
              <w:bottom w:val="single" w:sz="8" w:space="0" w:color="auto"/>
              <w:right w:val="single" w:sz="8" w:space="0" w:color="auto"/>
            </w:tcBorders>
            <w:vAlign w:val="center"/>
            <w:hideMark/>
          </w:tcPr>
          <w:p w14:paraId="2F6A4F16"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$55.00</w:t>
            </w:r>
          </w:p>
        </w:tc>
        <w:tc>
          <w:tcPr>
            <w:tcW w:w="820" w:type="dxa"/>
            <w:tcBorders>
              <w:top w:val="nil"/>
              <w:left w:val="nil"/>
              <w:bottom w:val="single" w:sz="8" w:space="0" w:color="auto"/>
              <w:right w:val="single" w:sz="8" w:space="0" w:color="auto"/>
            </w:tcBorders>
            <w:vAlign w:val="center"/>
            <w:hideMark/>
          </w:tcPr>
          <w:p w14:paraId="1C68D8AF"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$50.00</w:t>
            </w:r>
          </w:p>
        </w:tc>
        <w:tc>
          <w:tcPr>
            <w:tcW w:w="780" w:type="dxa"/>
            <w:tcBorders>
              <w:top w:val="nil"/>
              <w:left w:val="nil"/>
              <w:bottom w:val="single" w:sz="8" w:space="0" w:color="auto"/>
              <w:right w:val="single" w:sz="8" w:space="0" w:color="auto"/>
            </w:tcBorders>
            <w:vAlign w:val="center"/>
            <w:hideMark/>
          </w:tcPr>
          <w:p w14:paraId="7D4D754E"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$55.00</w:t>
            </w:r>
          </w:p>
        </w:tc>
        <w:tc>
          <w:tcPr>
            <w:tcW w:w="820" w:type="dxa"/>
            <w:tcBorders>
              <w:top w:val="nil"/>
              <w:left w:val="nil"/>
              <w:bottom w:val="single" w:sz="8" w:space="0" w:color="auto"/>
              <w:right w:val="single" w:sz="8" w:space="0" w:color="auto"/>
            </w:tcBorders>
            <w:vAlign w:val="center"/>
            <w:hideMark/>
          </w:tcPr>
          <w:p w14:paraId="1F9A395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7A963F6D"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710C38B9"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7CE9026C"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120ED4C2"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5E04E320"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r>
      <w:tr w:rsidR="00916B06" w:rsidRPr="00916B06" w14:paraId="3782FE31" w14:textId="77777777" w:rsidTr="00916B06">
        <w:trPr>
          <w:trHeight w:val="470"/>
        </w:trPr>
        <w:tc>
          <w:tcPr>
            <w:tcW w:w="1300" w:type="dxa"/>
            <w:tcBorders>
              <w:top w:val="nil"/>
              <w:left w:val="single" w:sz="8" w:space="0" w:color="auto"/>
              <w:bottom w:val="single" w:sz="8" w:space="0" w:color="auto"/>
              <w:right w:val="single" w:sz="8" w:space="0" w:color="auto"/>
            </w:tcBorders>
            <w:vAlign w:val="center"/>
            <w:hideMark/>
          </w:tcPr>
          <w:p w14:paraId="5E273CB7"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Express 8 plus</w:t>
            </w:r>
          </w:p>
        </w:tc>
        <w:tc>
          <w:tcPr>
            <w:tcW w:w="820" w:type="dxa"/>
            <w:tcBorders>
              <w:top w:val="nil"/>
              <w:left w:val="nil"/>
              <w:bottom w:val="single" w:sz="8" w:space="0" w:color="auto"/>
              <w:right w:val="single" w:sz="8" w:space="0" w:color="auto"/>
            </w:tcBorders>
            <w:vAlign w:val="center"/>
            <w:hideMark/>
          </w:tcPr>
          <w:p w14:paraId="2251119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$80.00</w:t>
            </w:r>
          </w:p>
        </w:tc>
        <w:tc>
          <w:tcPr>
            <w:tcW w:w="780" w:type="dxa"/>
            <w:tcBorders>
              <w:top w:val="nil"/>
              <w:left w:val="nil"/>
              <w:bottom w:val="single" w:sz="8" w:space="0" w:color="auto"/>
              <w:right w:val="single" w:sz="8" w:space="0" w:color="auto"/>
            </w:tcBorders>
            <w:vAlign w:val="center"/>
            <w:hideMark/>
          </w:tcPr>
          <w:p w14:paraId="1B1BE6C2"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$88.00</w:t>
            </w:r>
          </w:p>
        </w:tc>
        <w:tc>
          <w:tcPr>
            <w:tcW w:w="820" w:type="dxa"/>
            <w:tcBorders>
              <w:top w:val="nil"/>
              <w:left w:val="nil"/>
              <w:bottom w:val="single" w:sz="8" w:space="0" w:color="auto"/>
              <w:right w:val="single" w:sz="8" w:space="0" w:color="auto"/>
            </w:tcBorders>
            <w:vAlign w:val="center"/>
            <w:hideMark/>
          </w:tcPr>
          <w:p w14:paraId="1870565A"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$80.00</w:t>
            </w:r>
          </w:p>
        </w:tc>
        <w:tc>
          <w:tcPr>
            <w:tcW w:w="780" w:type="dxa"/>
            <w:tcBorders>
              <w:top w:val="nil"/>
              <w:left w:val="nil"/>
              <w:bottom w:val="single" w:sz="8" w:space="0" w:color="auto"/>
              <w:right w:val="single" w:sz="8" w:space="0" w:color="auto"/>
            </w:tcBorders>
            <w:vAlign w:val="center"/>
            <w:hideMark/>
          </w:tcPr>
          <w:p w14:paraId="28AD852D"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$88.00</w:t>
            </w:r>
          </w:p>
        </w:tc>
        <w:tc>
          <w:tcPr>
            <w:tcW w:w="820" w:type="dxa"/>
            <w:tcBorders>
              <w:top w:val="nil"/>
              <w:left w:val="nil"/>
              <w:bottom w:val="single" w:sz="8" w:space="0" w:color="auto"/>
              <w:right w:val="single" w:sz="8" w:space="0" w:color="auto"/>
            </w:tcBorders>
            <w:vAlign w:val="center"/>
            <w:hideMark/>
          </w:tcPr>
          <w:p w14:paraId="23DAD7F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$80.00</w:t>
            </w:r>
          </w:p>
        </w:tc>
        <w:tc>
          <w:tcPr>
            <w:tcW w:w="780" w:type="dxa"/>
            <w:tcBorders>
              <w:top w:val="nil"/>
              <w:left w:val="nil"/>
              <w:bottom w:val="single" w:sz="8" w:space="0" w:color="auto"/>
              <w:right w:val="single" w:sz="8" w:space="0" w:color="auto"/>
            </w:tcBorders>
            <w:vAlign w:val="center"/>
            <w:hideMark/>
          </w:tcPr>
          <w:p w14:paraId="1D9B85D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$88.00</w:t>
            </w:r>
          </w:p>
        </w:tc>
        <w:tc>
          <w:tcPr>
            <w:tcW w:w="820" w:type="dxa"/>
            <w:tcBorders>
              <w:top w:val="nil"/>
              <w:left w:val="nil"/>
              <w:bottom w:val="single" w:sz="8" w:space="0" w:color="auto"/>
              <w:right w:val="single" w:sz="8" w:space="0" w:color="auto"/>
            </w:tcBorders>
            <w:vAlign w:val="center"/>
            <w:hideMark/>
          </w:tcPr>
          <w:p w14:paraId="726AF0B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$80.00</w:t>
            </w:r>
          </w:p>
        </w:tc>
        <w:tc>
          <w:tcPr>
            <w:tcW w:w="780" w:type="dxa"/>
            <w:tcBorders>
              <w:top w:val="nil"/>
              <w:left w:val="nil"/>
              <w:bottom w:val="single" w:sz="8" w:space="0" w:color="auto"/>
              <w:right w:val="single" w:sz="8" w:space="0" w:color="auto"/>
            </w:tcBorders>
            <w:vAlign w:val="center"/>
            <w:hideMark/>
          </w:tcPr>
          <w:p w14:paraId="0BA13AE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$88.00</w:t>
            </w:r>
          </w:p>
        </w:tc>
        <w:tc>
          <w:tcPr>
            <w:tcW w:w="820" w:type="dxa"/>
            <w:tcBorders>
              <w:top w:val="nil"/>
              <w:left w:val="nil"/>
              <w:bottom w:val="single" w:sz="8" w:space="0" w:color="auto"/>
              <w:right w:val="single" w:sz="8" w:space="0" w:color="auto"/>
            </w:tcBorders>
            <w:vAlign w:val="center"/>
            <w:hideMark/>
          </w:tcPr>
          <w:p w14:paraId="435D802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$80.00</w:t>
            </w:r>
          </w:p>
        </w:tc>
        <w:tc>
          <w:tcPr>
            <w:tcW w:w="780" w:type="dxa"/>
            <w:tcBorders>
              <w:top w:val="nil"/>
              <w:left w:val="nil"/>
              <w:bottom w:val="single" w:sz="8" w:space="0" w:color="auto"/>
              <w:right w:val="single" w:sz="8" w:space="0" w:color="auto"/>
            </w:tcBorders>
            <w:vAlign w:val="center"/>
            <w:hideMark/>
          </w:tcPr>
          <w:p w14:paraId="750AB9B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$88.00</w:t>
            </w:r>
          </w:p>
        </w:tc>
      </w:tr>
      <w:tr w:rsidR="00916B06" w:rsidRPr="00916B06" w14:paraId="45C5607A" w14:textId="77777777" w:rsidTr="00916B06">
        <w:trPr>
          <w:trHeight w:val="300"/>
        </w:trPr>
        <w:tc>
          <w:tcPr>
            <w:tcW w:w="1300" w:type="dxa"/>
            <w:tcBorders>
              <w:top w:val="nil"/>
              <w:left w:val="single" w:sz="8" w:space="0" w:color="auto"/>
              <w:bottom w:val="single" w:sz="8" w:space="0" w:color="auto"/>
              <w:right w:val="single" w:sz="8" w:space="0" w:color="auto"/>
            </w:tcBorders>
            <w:vAlign w:val="center"/>
            <w:hideMark/>
          </w:tcPr>
          <w:p w14:paraId="375E6283"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Express 8</w:t>
            </w:r>
          </w:p>
        </w:tc>
        <w:tc>
          <w:tcPr>
            <w:tcW w:w="820" w:type="dxa"/>
            <w:tcBorders>
              <w:top w:val="nil"/>
              <w:left w:val="nil"/>
              <w:bottom w:val="single" w:sz="8" w:space="0" w:color="auto"/>
              <w:right w:val="single" w:sz="8" w:space="0" w:color="auto"/>
            </w:tcBorders>
            <w:vAlign w:val="center"/>
            <w:hideMark/>
          </w:tcPr>
          <w:p w14:paraId="3AF604B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$40.00</w:t>
            </w:r>
          </w:p>
        </w:tc>
        <w:tc>
          <w:tcPr>
            <w:tcW w:w="780" w:type="dxa"/>
            <w:tcBorders>
              <w:top w:val="nil"/>
              <w:left w:val="nil"/>
              <w:bottom w:val="single" w:sz="8" w:space="0" w:color="auto"/>
              <w:right w:val="single" w:sz="8" w:space="0" w:color="auto"/>
            </w:tcBorders>
            <w:vAlign w:val="center"/>
            <w:hideMark/>
          </w:tcPr>
          <w:p w14:paraId="0B1FEB7A"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$44.00</w:t>
            </w:r>
          </w:p>
        </w:tc>
        <w:tc>
          <w:tcPr>
            <w:tcW w:w="820" w:type="dxa"/>
            <w:tcBorders>
              <w:top w:val="nil"/>
              <w:left w:val="nil"/>
              <w:bottom w:val="single" w:sz="8" w:space="0" w:color="auto"/>
              <w:right w:val="single" w:sz="8" w:space="0" w:color="auto"/>
            </w:tcBorders>
            <w:vAlign w:val="center"/>
            <w:hideMark/>
          </w:tcPr>
          <w:p w14:paraId="6299589F"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$40.00</w:t>
            </w:r>
          </w:p>
        </w:tc>
        <w:tc>
          <w:tcPr>
            <w:tcW w:w="780" w:type="dxa"/>
            <w:tcBorders>
              <w:top w:val="nil"/>
              <w:left w:val="nil"/>
              <w:bottom w:val="single" w:sz="8" w:space="0" w:color="auto"/>
              <w:right w:val="single" w:sz="8" w:space="0" w:color="auto"/>
            </w:tcBorders>
            <w:vAlign w:val="center"/>
            <w:hideMark/>
          </w:tcPr>
          <w:p w14:paraId="2FE9B98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$44.00</w:t>
            </w:r>
          </w:p>
        </w:tc>
        <w:tc>
          <w:tcPr>
            <w:tcW w:w="820" w:type="dxa"/>
            <w:tcBorders>
              <w:top w:val="nil"/>
              <w:left w:val="nil"/>
              <w:bottom w:val="single" w:sz="8" w:space="0" w:color="auto"/>
              <w:right w:val="single" w:sz="8" w:space="0" w:color="auto"/>
            </w:tcBorders>
            <w:vAlign w:val="center"/>
            <w:hideMark/>
          </w:tcPr>
          <w:p w14:paraId="347F743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$40.00</w:t>
            </w:r>
          </w:p>
        </w:tc>
        <w:tc>
          <w:tcPr>
            <w:tcW w:w="780" w:type="dxa"/>
            <w:tcBorders>
              <w:top w:val="nil"/>
              <w:left w:val="nil"/>
              <w:bottom w:val="single" w:sz="8" w:space="0" w:color="auto"/>
              <w:right w:val="single" w:sz="8" w:space="0" w:color="auto"/>
            </w:tcBorders>
            <w:vAlign w:val="center"/>
            <w:hideMark/>
          </w:tcPr>
          <w:p w14:paraId="189A4BB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$44.00</w:t>
            </w:r>
          </w:p>
        </w:tc>
        <w:tc>
          <w:tcPr>
            <w:tcW w:w="820" w:type="dxa"/>
            <w:tcBorders>
              <w:top w:val="nil"/>
              <w:left w:val="nil"/>
              <w:bottom w:val="single" w:sz="8" w:space="0" w:color="auto"/>
              <w:right w:val="single" w:sz="8" w:space="0" w:color="auto"/>
            </w:tcBorders>
            <w:vAlign w:val="center"/>
            <w:hideMark/>
          </w:tcPr>
          <w:p w14:paraId="72571D8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13153F9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3134E1C4"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54C5DD3D"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r>
      <w:tr w:rsidR="00916B06" w:rsidRPr="00916B06" w14:paraId="4C195B5A" w14:textId="77777777" w:rsidTr="00916B06">
        <w:trPr>
          <w:trHeight w:val="470"/>
        </w:trPr>
        <w:tc>
          <w:tcPr>
            <w:tcW w:w="1300" w:type="dxa"/>
            <w:tcBorders>
              <w:top w:val="nil"/>
              <w:left w:val="single" w:sz="8" w:space="0" w:color="auto"/>
              <w:bottom w:val="single" w:sz="8" w:space="0" w:color="auto"/>
              <w:right w:val="single" w:sz="8" w:space="0" w:color="auto"/>
            </w:tcBorders>
            <w:vAlign w:val="center"/>
            <w:hideMark/>
          </w:tcPr>
          <w:p w14:paraId="4012F0B4"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Business plus</w:t>
            </w:r>
          </w:p>
        </w:tc>
        <w:tc>
          <w:tcPr>
            <w:tcW w:w="820" w:type="dxa"/>
            <w:tcBorders>
              <w:top w:val="nil"/>
              <w:left w:val="nil"/>
              <w:bottom w:val="single" w:sz="8" w:space="0" w:color="auto"/>
              <w:right w:val="single" w:sz="8" w:space="0" w:color="auto"/>
            </w:tcBorders>
            <w:vAlign w:val="center"/>
            <w:hideMark/>
          </w:tcPr>
          <w:p w14:paraId="31A8EEB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$60.00</w:t>
            </w:r>
          </w:p>
        </w:tc>
        <w:tc>
          <w:tcPr>
            <w:tcW w:w="780" w:type="dxa"/>
            <w:tcBorders>
              <w:top w:val="nil"/>
              <w:left w:val="nil"/>
              <w:bottom w:val="single" w:sz="8" w:space="0" w:color="auto"/>
              <w:right w:val="single" w:sz="8" w:space="0" w:color="auto"/>
            </w:tcBorders>
            <w:vAlign w:val="center"/>
            <w:hideMark/>
          </w:tcPr>
          <w:p w14:paraId="38DA238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$66.00</w:t>
            </w:r>
          </w:p>
        </w:tc>
        <w:tc>
          <w:tcPr>
            <w:tcW w:w="820" w:type="dxa"/>
            <w:tcBorders>
              <w:top w:val="nil"/>
              <w:left w:val="nil"/>
              <w:bottom w:val="single" w:sz="8" w:space="0" w:color="auto"/>
              <w:right w:val="single" w:sz="8" w:space="0" w:color="auto"/>
            </w:tcBorders>
            <w:vAlign w:val="center"/>
            <w:hideMark/>
          </w:tcPr>
          <w:p w14:paraId="23924F29"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$60.00</w:t>
            </w:r>
          </w:p>
        </w:tc>
        <w:tc>
          <w:tcPr>
            <w:tcW w:w="780" w:type="dxa"/>
            <w:tcBorders>
              <w:top w:val="nil"/>
              <w:left w:val="nil"/>
              <w:bottom w:val="single" w:sz="8" w:space="0" w:color="auto"/>
              <w:right w:val="single" w:sz="8" w:space="0" w:color="auto"/>
            </w:tcBorders>
            <w:vAlign w:val="center"/>
            <w:hideMark/>
          </w:tcPr>
          <w:p w14:paraId="3EF38C32"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$66.00</w:t>
            </w:r>
          </w:p>
        </w:tc>
        <w:tc>
          <w:tcPr>
            <w:tcW w:w="820" w:type="dxa"/>
            <w:tcBorders>
              <w:top w:val="nil"/>
              <w:left w:val="nil"/>
              <w:bottom w:val="single" w:sz="8" w:space="0" w:color="auto"/>
              <w:right w:val="single" w:sz="8" w:space="0" w:color="auto"/>
            </w:tcBorders>
            <w:vAlign w:val="center"/>
            <w:hideMark/>
          </w:tcPr>
          <w:p w14:paraId="20562BC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24D9AA43"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4D659EAF"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4E859151"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75249FEC"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$60.00</w:t>
            </w:r>
          </w:p>
        </w:tc>
        <w:tc>
          <w:tcPr>
            <w:tcW w:w="780" w:type="dxa"/>
            <w:tcBorders>
              <w:top w:val="nil"/>
              <w:left w:val="nil"/>
              <w:bottom w:val="single" w:sz="8" w:space="0" w:color="auto"/>
              <w:right w:val="single" w:sz="8" w:space="0" w:color="auto"/>
            </w:tcBorders>
            <w:vAlign w:val="center"/>
            <w:hideMark/>
          </w:tcPr>
          <w:p w14:paraId="1918163A"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$66.00</w:t>
            </w:r>
          </w:p>
        </w:tc>
      </w:tr>
      <w:tr w:rsidR="00916B06" w:rsidRPr="00916B06" w14:paraId="258F0726" w14:textId="77777777" w:rsidTr="00916B06">
        <w:trPr>
          <w:trHeight w:val="700"/>
        </w:trPr>
        <w:tc>
          <w:tcPr>
            <w:tcW w:w="1300" w:type="dxa"/>
            <w:tcBorders>
              <w:top w:val="nil"/>
              <w:left w:val="single" w:sz="8" w:space="0" w:color="auto"/>
              <w:bottom w:val="single" w:sz="8" w:space="0" w:color="auto"/>
              <w:right w:val="single" w:sz="8" w:space="0" w:color="auto"/>
            </w:tcBorders>
            <w:vAlign w:val="center"/>
            <w:hideMark/>
          </w:tcPr>
          <w:p w14:paraId="03D272F3" w14:textId="77777777" w:rsidR="00916B06" w:rsidRPr="00916B06" w:rsidRDefault="00916B06" w:rsidP="00916B06">
            <w:pPr>
              <w:rPr>
                <w:rFonts w:ascii="Arial" w:hAnsi="Arial" w:cs="Arial"/>
                <w:b/>
                <w:bCs/>
                <w:color w:val="000000"/>
                <w:sz w:val="18"/>
                <w:szCs w:val="18"/>
                <w:lang w:eastAsia="en-AU"/>
              </w:rPr>
            </w:pPr>
            <w:r w:rsidRPr="00916B06">
              <w:rPr>
                <w:rFonts w:ascii="Arial" w:hAnsi="Arial" w:cs="Arial"/>
                <w:b/>
                <w:bCs/>
                <w:color w:val="000000"/>
                <w:sz w:val="18"/>
                <w:szCs w:val="18"/>
                <w:lang w:eastAsia="en-AU"/>
              </w:rPr>
              <w:t>Extended Business Hours</w:t>
            </w:r>
          </w:p>
        </w:tc>
        <w:tc>
          <w:tcPr>
            <w:tcW w:w="820" w:type="dxa"/>
            <w:tcBorders>
              <w:top w:val="nil"/>
              <w:left w:val="nil"/>
              <w:bottom w:val="single" w:sz="8" w:space="0" w:color="auto"/>
              <w:right w:val="single" w:sz="8" w:space="0" w:color="auto"/>
            </w:tcBorders>
            <w:vAlign w:val="center"/>
            <w:hideMark/>
          </w:tcPr>
          <w:p w14:paraId="3B90934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$23.00</w:t>
            </w:r>
          </w:p>
        </w:tc>
        <w:tc>
          <w:tcPr>
            <w:tcW w:w="780" w:type="dxa"/>
            <w:tcBorders>
              <w:top w:val="nil"/>
              <w:left w:val="nil"/>
              <w:bottom w:val="single" w:sz="8" w:space="0" w:color="auto"/>
              <w:right w:val="single" w:sz="8" w:space="0" w:color="auto"/>
            </w:tcBorders>
            <w:vAlign w:val="center"/>
            <w:hideMark/>
          </w:tcPr>
          <w:p w14:paraId="346F74DF"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$25.30</w:t>
            </w:r>
          </w:p>
        </w:tc>
        <w:tc>
          <w:tcPr>
            <w:tcW w:w="820" w:type="dxa"/>
            <w:tcBorders>
              <w:top w:val="nil"/>
              <w:left w:val="nil"/>
              <w:bottom w:val="single" w:sz="8" w:space="0" w:color="auto"/>
              <w:right w:val="single" w:sz="8" w:space="0" w:color="auto"/>
            </w:tcBorders>
            <w:vAlign w:val="center"/>
            <w:hideMark/>
          </w:tcPr>
          <w:p w14:paraId="32E35392"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5609E99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55535917"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798D9E4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48FDB1E1"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479DE578"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820" w:type="dxa"/>
            <w:tcBorders>
              <w:top w:val="nil"/>
              <w:left w:val="nil"/>
              <w:bottom w:val="single" w:sz="8" w:space="0" w:color="auto"/>
              <w:right w:val="single" w:sz="8" w:space="0" w:color="auto"/>
            </w:tcBorders>
            <w:vAlign w:val="center"/>
            <w:hideMark/>
          </w:tcPr>
          <w:p w14:paraId="0F79198B"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c>
          <w:tcPr>
            <w:tcW w:w="780" w:type="dxa"/>
            <w:tcBorders>
              <w:top w:val="nil"/>
              <w:left w:val="nil"/>
              <w:bottom w:val="single" w:sz="8" w:space="0" w:color="auto"/>
              <w:right w:val="single" w:sz="8" w:space="0" w:color="auto"/>
            </w:tcBorders>
            <w:vAlign w:val="center"/>
            <w:hideMark/>
          </w:tcPr>
          <w:p w14:paraId="33D5A105" w14:textId="77777777" w:rsidR="00916B06" w:rsidRPr="00916B06" w:rsidRDefault="00916B06" w:rsidP="00916B06">
            <w:pPr>
              <w:jc w:val="center"/>
              <w:rPr>
                <w:rFonts w:ascii="Arial" w:hAnsi="Arial" w:cs="Arial"/>
                <w:color w:val="000000"/>
                <w:sz w:val="18"/>
                <w:szCs w:val="18"/>
                <w:lang w:eastAsia="en-AU"/>
              </w:rPr>
            </w:pPr>
            <w:r w:rsidRPr="00916B06">
              <w:rPr>
                <w:rFonts w:ascii="Arial" w:hAnsi="Arial" w:cs="Arial"/>
                <w:color w:val="000000"/>
                <w:sz w:val="18"/>
                <w:szCs w:val="18"/>
                <w:lang w:eastAsia="en-AU"/>
              </w:rPr>
              <w:t>-</w:t>
            </w:r>
          </w:p>
        </w:tc>
      </w:tr>
    </w:tbl>
    <w:p w14:paraId="19A1BFDF" w14:textId="78205C3C" w:rsidR="00916B06" w:rsidRDefault="00916B06" w:rsidP="004B4949"/>
    <w:p w14:paraId="0C7F51BA" w14:textId="77777777" w:rsidR="00FF6D7F" w:rsidRDefault="00FF6D7F" w:rsidP="004B4949"/>
    <w:p w14:paraId="716352CF" w14:textId="77777777" w:rsidR="00916B06" w:rsidRDefault="00916B06" w:rsidP="004B4949"/>
    <w:tbl>
      <w:tblPr>
        <w:tblStyle w:val="PlainTable2"/>
        <w:tblW w:w="5617" w:type="pct"/>
        <w:tblLook w:val="0020" w:firstRow="1" w:lastRow="0" w:firstColumn="0" w:lastColumn="0" w:noHBand="0" w:noVBand="0"/>
      </w:tblPr>
      <w:tblGrid>
        <w:gridCol w:w="2497"/>
        <w:gridCol w:w="1040"/>
        <w:gridCol w:w="1300"/>
        <w:gridCol w:w="1027"/>
        <w:gridCol w:w="1391"/>
        <w:gridCol w:w="977"/>
        <w:gridCol w:w="1311"/>
      </w:tblGrid>
      <w:tr w:rsidR="00745A99" w:rsidRPr="004120FF" w14:paraId="2CC00D3D" w14:textId="77777777" w:rsidTr="00A91E03">
        <w:trPr>
          <w:cnfStyle w:val="100000000000" w:firstRow="1" w:lastRow="0" w:firstColumn="0" w:lastColumn="0" w:oddVBand="0" w:evenVBand="0" w:oddHBand="0" w:evenHBand="0" w:firstRowFirstColumn="0" w:firstRowLastColumn="0" w:lastRowFirstColumn="0" w:lastRowLastColumn="0"/>
          <w:trHeight w:val="854"/>
        </w:trPr>
        <w:tc>
          <w:tcPr>
            <w:cnfStyle w:val="000010000000" w:firstRow="0" w:lastRow="0" w:firstColumn="0" w:lastColumn="0" w:oddVBand="1" w:evenVBand="0" w:oddHBand="0" w:evenHBand="0" w:firstRowFirstColumn="0" w:firstRowLastColumn="0" w:lastRowFirstColumn="0" w:lastRowLastColumn="0"/>
            <w:tcW w:w="1308" w:type="pct"/>
            <w:vMerge w:val="restart"/>
            <w:shd w:val="clear" w:color="auto" w:fill="D0CECE" w:themeFill="background2" w:themeFillShade="E6"/>
          </w:tcPr>
          <w:p w14:paraId="4BFE00A2" w14:textId="77777777" w:rsidR="00745A99" w:rsidRPr="00745A99" w:rsidRDefault="00745A99">
            <w:pPr>
              <w:autoSpaceDE w:val="0"/>
              <w:autoSpaceDN w:val="0"/>
              <w:adjustRightInd w:val="0"/>
              <w:rPr>
                <w:rFonts w:ascii="Arial" w:hAnsi="Arial" w:cs="Arial"/>
                <w:b w:val="0"/>
                <w:bCs w:val="0"/>
                <w:color w:val="000000"/>
                <w:sz w:val="18"/>
                <w:szCs w:val="18"/>
                <w:lang w:eastAsia="en-AU"/>
              </w:rPr>
            </w:pPr>
            <w:r w:rsidRPr="00745A99">
              <w:rPr>
                <w:rFonts w:ascii="Arial" w:hAnsi="Arial" w:cs="Arial"/>
                <w:color w:val="000000"/>
                <w:sz w:val="18"/>
                <w:szCs w:val="18"/>
                <w:lang w:eastAsia="en-AU"/>
              </w:rPr>
              <w:t xml:space="preserve">SLA Premium Options (Telstra Connect IP Products On </w:t>
            </w:r>
            <w:proofErr w:type="spellStart"/>
            <w:r w:rsidRPr="00745A99">
              <w:rPr>
                <w:rFonts w:ascii="Arial" w:hAnsi="Arial" w:cs="Arial"/>
                <w:color w:val="000000"/>
                <w:sz w:val="18"/>
                <w:szCs w:val="18"/>
                <w:lang w:eastAsia="en-AU"/>
              </w:rPr>
              <w:t>nbn</w:t>
            </w:r>
            <w:r w:rsidRPr="00745A99">
              <w:rPr>
                <w:rFonts w:ascii="Arial" w:hAnsi="Arial" w:cs="Arial"/>
                <w:color w:val="000000"/>
                <w:sz w:val="18"/>
                <w:szCs w:val="18"/>
                <w:vertAlign w:val="superscript"/>
                <w:lang w:eastAsia="en-AU"/>
              </w:rPr>
              <w:t>TM</w:t>
            </w:r>
            <w:proofErr w:type="spellEnd"/>
            <w:r w:rsidRPr="00745A99">
              <w:rPr>
                <w:rFonts w:ascii="Arial" w:hAnsi="Arial" w:cs="Arial"/>
                <w:color w:val="000000"/>
                <w:sz w:val="18"/>
                <w:szCs w:val="18"/>
                <w:lang w:eastAsia="en-AU"/>
              </w:rPr>
              <w:t xml:space="preserve">) </w:t>
            </w:r>
          </w:p>
        </w:tc>
        <w:tc>
          <w:tcPr>
            <w:cnfStyle w:val="000001000000" w:firstRow="0" w:lastRow="0" w:firstColumn="0" w:lastColumn="0" w:oddVBand="0" w:evenVBand="1" w:oddHBand="0" w:evenHBand="0" w:firstRowFirstColumn="0" w:firstRowLastColumn="0" w:lastRowFirstColumn="0" w:lastRowLastColumn="0"/>
            <w:tcW w:w="1226" w:type="pct"/>
            <w:gridSpan w:val="2"/>
            <w:shd w:val="clear" w:color="auto" w:fill="D0CECE" w:themeFill="background2" w:themeFillShade="E6"/>
          </w:tcPr>
          <w:p w14:paraId="6A6B227D" w14:textId="77777777" w:rsidR="00745A99" w:rsidRPr="00745A99" w:rsidRDefault="00745A99">
            <w:pPr>
              <w:autoSpaceDE w:val="0"/>
              <w:autoSpaceDN w:val="0"/>
              <w:adjustRightInd w:val="0"/>
              <w:jc w:val="center"/>
              <w:rPr>
                <w:rFonts w:ascii="Arial" w:hAnsi="Arial" w:cs="Arial"/>
                <w:b w:val="0"/>
                <w:bCs w:val="0"/>
                <w:color w:val="000000"/>
                <w:sz w:val="18"/>
                <w:szCs w:val="18"/>
                <w:lang w:eastAsia="en-AU"/>
              </w:rPr>
            </w:pPr>
            <w:r w:rsidRPr="00745A99">
              <w:rPr>
                <w:rFonts w:ascii="Arial" w:hAnsi="Arial" w:cs="Arial"/>
                <w:color w:val="000000"/>
                <w:sz w:val="18"/>
                <w:szCs w:val="18"/>
                <w:lang w:eastAsia="en-AU"/>
              </w:rPr>
              <w:t>Monthly Charge for Connect IP Broadband (</w:t>
            </w:r>
            <w:proofErr w:type="spellStart"/>
            <w:r w:rsidRPr="00745A99">
              <w:rPr>
                <w:rFonts w:ascii="Arial" w:hAnsi="Arial" w:cs="Arial"/>
                <w:color w:val="000000"/>
                <w:sz w:val="18"/>
                <w:szCs w:val="18"/>
                <w:lang w:eastAsia="en-AU"/>
              </w:rPr>
              <w:t>nbn</w:t>
            </w:r>
            <w:r w:rsidRPr="00745A99">
              <w:rPr>
                <w:rFonts w:ascii="Arial" w:hAnsi="Arial" w:cs="Arial"/>
                <w:color w:val="000000"/>
                <w:sz w:val="18"/>
                <w:szCs w:val="18"/>
                <w:vertAlign w:val="superscript"/>
                <w:lang w:eastAsia="en-AU"/>
              </w:rPr>
              <w:t>TM</w:t>
            </w:r>
            <w:proofErr w:type="spellEnd"/>
            <w:r w:rsidRPr="00745A99">
              <w:rPr>
                <w:rFonts w:ascii="Arial" w:hAnsi="Arial" w:cs="Arial"/>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1267" w:type="pct"/>
            <w:gridSpan w:val="2"/>
            <w:shd w:val="clear" w:color="auto" w:fill="D0CECE" w:themeFill="background2" w:themeFillShade="E6"/>
          </w:tcPr>
          <w:p w14:paraId="2ABCD239" w14:textId="77777777" w:rsidR="00745A99" w:rsidRPr="00745A99" w:rsidRDefault="00745A99">
            <w:pPr>
              <w:autoSpaceDE w:val="0"/>
              <w:autoSpaceDN w:val="0"/>
              <w:adjustRightInd w:val="0"/>
              <w:jc w:val="center"/>
              <w:rPr>
                <w:rFonts w:ascii="Arial" w:hAnsi="Arial" w:cs="Arial"/>
                <w:b w:val="0"/>
                <w:bCs w:val="0"/>
                <w:color w:val="000000"/>
                <w:sz w:val="18"/>
                <w:szCs w:val="18"/>
                <w:vertAlign w:val="superscript"/>
                <w:lang w:eastAsia="en-AU"/>
              </w:rPr>
            </w:pPr>
            <w:r w:rsidRPr="00745A99">
              <w:rPr>
                <w:rFonts w:ascii="Arial" w:hAnsi="Arial" w:cs="Arial"/>
                <w:color w:val="000000"/>
                <w:sz w:val="18"/>
                <w:szCs w:val="18"/>
                <w:lang w:eastAsia="en-AU"/>
              </w:rPr>
              <w:t xml:space="preserve">Monthly Charge for Connect IP Ethernet over </w:t>
            </w:r>
            <w:proofErr w:type="spellStart"/>
            <w:r w:rsidRPr="00745A99">
              <w:rPr>
                <w:rFonts w:ascii="Arial" w:hAnsi="Arial" w:cs="Arial"/>
                <w:color w:val="000000"/>
                <w:sz w:val="18"/>
                <w:szCs w:val="18"/>
                <w:lang w:eastAsia="en-AU"/>
              </w:rPr>
              <w:t>nbn</w:t>
            </w:r>
            <w:r w:rsidRPr="00745A99">
              <w:rPr>
                <w:rFonts w:ascii="Arial" w:hAnsi="Arial" w:cs="Arial"/>
                <w:color w:val="000000"/>
                <w:sz w:val="18"/>
                <w:szCs w:val="18"/>
                <w:vertAlign w:val="superscript"/>
                <w:lang w:eastAsia="en-AU"/>
              </w:rPr>
              <w:t>TM</w:t>
            </w:r>
            <w:proofErr w:type="spellEnd"/>
          </w:p>
        </w:tc>
        <w:tc>
          <w:tcPr>
            <w:cnfStyle w:val="000001000000" w:firstRow="0" w:lastRow="0" w:firstColumn="0" w:lastColumn="0" w:oddVBand="0" w:evenVBand="1" w:oddHBand="0" w:evenHBand="0" w:firstRowFirstColumn="0" w:firstRowLastColumn="0" w:lastRowFirstColumn="0" w:lastRowLastColumn="0"/>
            <w:tcW w:w="1199" w:type="pct"/>
            <w:gridSpan w:val="2"/>
            <w:shd w:val="clear" w:color="auto" w:fill="D0CECE" w:themeFill="background2" w:themeFillShade="E6"/>
          </w:tcPr>
          <w:p w14:paraId="41A5670F" w14:textId="77777777" w:rsidR="00745A99" w:rsidRPr="00745A99" w:rsidRDefault="00745A99">
            <w:pPr>
              <w:autoSpaceDE w:val="0"/>
              <w:autoSpaceDN w:val="0"/>
              <w:adjustRightInd w:val="0"/>
              <w:jc w:val="center"/>
              <w:rPr>
                <w:rFonts w:ascii="Arial" w:hAnsi="Arial" w:cs="Arial"/>
                <w:b w:val="0"/>
                <w:bCs w:val="0"/>
                <w:color w:val="000000"/>
                <w:sz w:val="18"/>
                <w:szCs w:val="18"/>
                <w:vertAlign w:val="superscript"/>
                <w:lang w:eastAsia="en-AU"/>
              </w:rPr>
            </w:pPr>
            <w:r w:rsidRPr="00745A99">
              <w:rPr>
                <w:rFonts w:ascii="Arial" w:hAnsi="Arial" w:cs="Arial"/>
                <w:color w:val="000000"/>
                <w:sz w:val="18"/>
                <w:szCs w:val="18"/>
                <w:lang w:eastAsia="en-AU"/>
              </w:rPr>
              <w:t xml:space="preserve">Monthly Charge for Connect IP Direct Fibre over </w:t>
            </w:r>
            <w:proofErr w:type="spellStart"/>
            <w:r w:rsidRPr="00745A99">
              <w:rPr>
                <w:rFonts w:ascii="Arial" w:hAnsi="Arial" w:cs="Arial"/>
                <w:color w:val="000000"/>
                <w:sz w:val="18"/>
                <w:szCs w:val="18"/>
                <w:lang w:eastAsia="en-AU"/>
              </w:rPr>
              <w:t>nbn</w:t>
            </w:r>
            <w:r w:rsidRPr="00745A99">
              <w:rPr>
                <w:rFonts w:ascii="Arial" w:hAnsi="Arial" w:cs="Arial"/>
                <w:color w:val="000000"/>
                <w:sz w:val="18"/>
                <w:szCs w:val="18"/>
                <w:vertAlign w:val="superscript"/>
                <w:lang w:eastAsia="en-AU"/>
              </w:rPr>
              <w:t>TM</w:t>
            </w:r>
            <w:proofErr w:type="spellEnd"/>
          </w:p>
        </w:tc>
      </w:tr>
      <w:tr w:rsidR="00745A99" w:rsidRPr="004120FF" w14:paraId="49C0E6BC" w14:textId="77777777" w:rsidTr="00A91E03">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1308" w:type="pct"/>
            <w:vMerge/>
            <w:shd w:val="clear" w:color="auto" w:fill="D0CECE" w:themeFill="background2" w:themeFillShade="E6"/>
          </w:tcPr>
          <w:p w14:paraId="5EC8B114" w14:textId="77777777" w:rsidR="00745A99" w:rsidRPr="000B65BD" w:rsidRDefault="00745A99">
            <w:pPr>
              <w:autoSpaceDE w:val="0"/>
              <w:autoSpaceDN w:val="0"/>
              <w:adjustRightInd w:val="0"/>
              <w:jc w:val="right"/>
              <w:rPr>
                <w:rFonts w:ascii="Arial" w:hAnsi="Arial" w:cs="Arial"/>
                <w:b/>
                <w:bCs/>
                <w:color w:val="000000"/>
                <w:sz w:val="18"/>
                <w:szCs w:val="18"/>
                <w:lang w:eastAsia="en-AU"/>
              </w:rPr>
            </w:pPr>
          </w:p>
        </w:tc>
        <w:tc>
          <w:tcPr>
            <w:cnfStyle w:val="000001000000" w:firstRow="0" w:lastRow="0" w:firstColumn="0" w:lastColumn="0" w:oddVBand="0" w:evenVBand="1" w:oddHBand="0" w:evenHBand="0" w:firstRowFirstColumn="0" w:firstRowLastColumn="0" w:lastRowFirstColumn="0" w:lastRowLastColumn="0"/>
            <w:tcW w:w="545" w:type="pct"/>
            <w:shd w:val="clear" w:color="auto" w:fill="D0CECE" w:themeFill="background2" w:themeFillShade="E6"/>
          </w:tcPr>
          <w:p w14:paraId="543E4264" w14:textId="77777777" w:rsidR="00745A99" w:rsidRPr="000B65BD" w:rsidRDefault="00745A99">
            <w:pPr>
              <w:autoSpaceDE w:val="0"/>
              <w:autoSpaceDN w:val="0"/>
              <w:adjustRightInd w:val="0"/>
              <w:jc w:val="center"/>
              <w:rPr>
                <w:rFonts w:ascii="Arial" w:hAnsi="Arial" w:cs="Arial"/>
                <w:b/>
                <w:bCs/>
                <w:color w:val="000000"/>
                <w:sz w:val="18"/>
                <w:szCs w:val="18"/>
                <w:lang w:eastAsia="en-AU"/>
              </w:rPr>
            </w:pPr>
            <w:r w:rsidRPr="000B65BD">
              <w:rPr>
                <w:rFonts w:ascii="Arial" w:hAnsi="Arial" w:cs="Arial"/>
                <w:b/>
                <w:bCs/>
                <w:color w:val="000000"/>
                <w:sz w:val="18"/>
                <w:szCs w:val="18"/>
                <w:lang w:eastAsia="en-AU"/>
              </w:rPr>
              <w:t>GST excl.</w:t>
            </w:r>
          </w:p>
        </w:tc>
        <w:tc>
          <w:tcPr>
            <w:cnfStyle w:val="000010000000" w:firstRow="0" w:lastRow="0" w:firstColumn="0" w:lastColumn="0" w:oddVBand="1" w:evenVBand="0" w:oddHBand="0" w:evenHBand="0" w:firstRowFirstColumn="0" w:firstRowLastColumn="0" w:lastRowFirstColumn="0" w:lastRowLastColumn="0"/>
            <w:tcW w:w="681" w:type="pct"/>
            <w:shd w:val="clear" w:color="auto" w:fill="D0CECE" w:themeFill="background2" w:themeFillShade="E6"/>
          </w:tcPr>
          <w:p w14:paraId="7385CAB2" w14:textId="77777777" w:rsidR="00745A99" w:rsidRPr="000B65BD" w:rsidRDefault="00745A99">
            <w:pPr>
              <w:autoSpaceDE w:val="0"/>
              <w:autoSpaceDN w:val="0"/>
              <w:adjustRightInd w:val="0"/>
              <w:jc w:val="center"/>
              <w:rPr>
                <w:rFonts w:ascii="Arial" w:hAnsi="Arial" w:cs="Arial"/>
                <w:b/>
                <w:bCs/>
                <w:color w:val="000000"/>
                <w:sz w:val="18"/>
                <w:szCs w:val="18"/>
                <w:lang w:eastAsia="en-AU"/>
              </w:rPr>
            </w:pPr>
            <w:r w:rsidRPr="000B65BD">
              <w:rPr>
                <w:rFonts w:ascii="Arial" w:hAnsi="Arial" w:cs="Arial"/>
                <w:b/>
                <w:bCs/>
                <w:color w:val="000000"/>
                <w:sz w:val="18"/>
                <w:szCs w:val="18"/>
                <w:lang w:eastAsia="en-AU"/>
              </w:rPr>
              <w:t>GST incl.</w:t>
            </w:r>
          </w:p>
        </w:tc>
        <w:tc>
          <w:tcPr>
            <w:cnfStyle w:val="000001000000" w:firstRow="0" w:lastRow="0" w:firstColumn="0" w:lastColumn="0" w:oddVBand="0" w:evenVBand="1" w:oddHBand="0" w:evenHBand="0" w:firstRowFirstColumn="0" w:firstRowLastColumn="0" w:lastRowFirstColumn="0" w:lastRowLastColumn="0"/>
            <w:tcW w:w="538" w:type="pct"/>
            <w:shd w:val="clear" w:color="auto" w:fill="D0CECE" w:themeFill="background2" w:themeFillShade="E6"/>
          </w:tcPr>
          <w:p w14:paraId="6EBDFCBB" w14:textId="77777777" w:rsidR="00745A99" w:rsidRPr="000B65BD" w:rsidRDefault="00745A99">
            <w:pPr>
              <w:autoSpaceDE w:val="0"/>
              <w:autoSpaceDN w:val="0"/>
              <w:adjustRightInd w:val="0"/>
              <w:jc w:val="center"/>
              <w:rPr>
                <w:rFonts w:ascii="Arial" w:hAnsi="Arial" w:cs="Arial"/>
                <w:b/>
                <w:bCs/>
                <w:color w:val="000000"/>
                <w:sz w:val="18"/>
                <w:szCs w:val="18"/>
                <w:lang w:eastAsia="en-AU"/>
              </w:rPr>
            </w:pPr>
            <w:r w:rsidRPr="000B65BD">
              <w:rPr>
                <w:rFonts w:ascii="Arial" w:hAnsi="Arial" w:cs="Arial"/>
                <w:b/>
                <w:bCs/>
                <w:color w:val="000000"/>
                <w:sz w:val="18"/>
                <w:szCs w:val="18"/>
                <w:lang w:eastAsia="en-AU"/>
              </w:rPr>
              <w:t>GST excl.</w:t>
            </w:r>
          </w:p>
        </w:tc>
        <w:tc>
          <w:tcPr>
            <w:cnfStyle w:val="000010000000" w:firstRow="0" w:lastRow="0" w:firstColumn="0" w:lastColumn="0" w:oddVBand="1" w:evenVBand="0" w:oddHBand="0" w:evenHBand="0" w:firstRowFirstColumn="0" w:firstRowLastColumn="0" w:lastRowFirstColumn="0" w:lastRowLastColumn="0"/>
            <w:tcW w:w="729" w:type="pct"/>
            <w:shd w:val="clear" w:color="auto" w:fill="D0CECE" w:themeFill="background2" w:themeFillShade="E6"/>
          </w:tcPr>
          <w:p w14:paraId="09958BB2" w14:textId="77777777" w:rsidR="00745A99" w:rsidRPr="000B65BD" w:rsidRDefault="00745A99">
            <w:pPr>
              <w:autoSpaceDE w:val="0"/>
              <w:autoSpaceDN w:val="0"/>
              <w:adjustRightInd w:val="0"/>
              <w:jc w:val="center"/>
              <w:rPr>
                <w:rFonts w:ascii="Arial" w:hAnsi="Arial" w:cs="Arial"/>
                <w:b/>
                <w:bCs/>
                <w:color w:val="000000"/>
                <w:sz w:val="18"/>
                <w:szCs w:val="18"/>
                <w:lang w:eastAsia="en-AU"/>
              </w:rPr>
            </w:pPr>
            <w:r w:rsidRPr="000B65BD">
              <w:rPr>
                <w:rFonts w:ascii="Arial" w:hAnsi="Arial" w:cs="Arial"/>
                <w:b/>
                <w:bCs/>
                <w:color w:val="000000"/>
                <w:sz w:val="18"/>
                <w:szCs w:val="18"/>
                <w:lang w:eastAsia="en-AU"/>
              </w:rPr>
              <w:t>GST incl.</w:t>
            </w:r>
          </w:p>
        </w:tc>
        <w:tc>
          <w:tcPr>
            <w:cnfStyle w:val="000001000000" w:firstRow="0" w:lastRow="0" w:firstColumn="0" w:lastColumn="0" w:oddVBand="0" w:evenVBand="1" w:oddHBand="0" w:evenHBand="0" w:firstRowFirstColumn="0" w:firstRowLastColumn="0" w:lastRowFirstColumn="0" w:lastRowLastColumn="0"/>
            <w:tcW w:w="512" w:type="pct"/>
            <w:shd w:val="clear" w:color="auto" w:fill="D0CECE" w:themeFill="background2" w:themeFillShade="E6"/>
          </w:tcPr>
          <w:p w14:paraId="491CE595" w14:textId="77777777" w:rsidR="00745A99" w:rsidRPr="000B65BD" w:rsidRDefault="00745A99">
            <w:pPr>
              <w:autoSpaceDE w:val="0"/>
              <w:autoSpaceDN w:val="0"/>
              <w:adjustRightInd w:val="0"/>
              <w:jc w:val="center"/>
              <w:rPr>
                <w:rFonts w:ascii="Arial" w:hAnsi="Arial" w:cs="Arial"/>
                <w:b/>
                <w:bCs/>
                <w:color w:val="000000"/>
                <w:sz w:val="18"/>
                <w:szCs w:val="18"/>
                <w:lang w:eastAsia="en-AU"/>
              </w:rPr>
            </w:pPr>
            <w:r w:rsidRPr="000B65BD">
              <w:rPr>
                <w:rFonts w:ascii="Arial" w:hAnsi="Arial" w:cs="Arial"/>
                <w:b/>
                <w:bCs/>
                <w:color w:val="000000"/>
                <w:sz w:val="18"/>
                <w:szCs w:val="18"/>
                <w:lang w:eastAsia="en-AU"/>
              </w:rPr>
              <w:t>GST excl.</w:t>
            </w:r>
          </w:p>
        </w:tc>
        <w:tc>
          <w:tcPr>
            <w:cnfStyle w:val="000010000000" w:firstRow="0" w:lastRow="0" w:firstColumn="0" w:lastColumn="0" w:oddVBand="1" w:evenVBand="0" w:oddHBand="0" w:evenHBand="0" w:firstRowFirstColumn="0" w:firstRowLastColumn="0" w:lastRowFirstColumn="0" w:lastRowLastColumn="0"/>
            <w:tcW w:w="687" w:type="pct"/>
            <w:shd w:val="clear" w:color="auto" w:fill="D0CECE" w:themeFill="background2" w:themeFillShade="E6"/>
          </w:tcPr>
          <w:p w14:paraId="74A06EA0" w14:textId="77777777" w:rsidR="00745A99" w:rsidRPr="000B65BD" w:rsidRDefault="00745A99">
            <w:pPr>
              <w:autoSpaceDE w:val="0"/>
              <w:autoSpaceDN w:val="0"/>
              <w:adjustRightInd w:val="0"/>
              <w:jc w:val="center"/>
              <w:rPr>
                <w:rFonts w:ascii="Arial" w:hAnsi="Arial" w:cs="Arial"/>
                <w:b/>
                <w:bCs/>
                <w:color w:val="000000"/>
                <w:sz w:val="18"/>
                <w:szCs w:val="18"/>
                <w:lang w:eastAsia="en-AU"/>
              </w:rPr>
            </w:pPr>
            <w:r w:rsidRPr="000B65BD">
              <w:rPr>
                <w:rFonts w:ascii="Arial" w:hAnsi="Arial" w:cs="Arial"/>
                <w:b/>
                <w:bCs/>
                <w:color w:val="000000"/>
                <w:sz w:val="18"/>
                <w:szCs w:val="18"/>
                <w:lang w:eastAsia="en-AU"/>
              </w:rPr>
              <w:t>GST incl.</w:t>
            </w:r>
          </w:p>
        </w:tc>
      </w:tr>
      <w:tr w:rsidR="004120FF" w:rsidRPr="00745A99" w14:paraId="779A676B" w14:textId="77777777" w:rsidTr="00A91E03">
        <w:trPr>
          <w:trHeight w:val="463"/>
        </w:trPr>
        <w:tc>
          <w:tcPr>
            <w:cnfStyle w:val="000010000000" w:firstRow="0" w:lastRow="0" w:firstColumn="0" w:lastColumn="0" w:oddVBand="1" w:evenVBand="0" w:oddHBand="0" w:evenHBand="0" w:firstRowFirstColumn="0" w:firstRowLastColumn="0" w:lastRowFirstColumn="0" w:lastRowLastColumn="0"/>
            <w:tcW w:w="1308" w:type="pct"/>
          </w:tcPr>
          <w:p w14:paraId="0860A8D2"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Express 4 plus</w:t>
            </w:r>
          </w:p>
        </w:tc>
        <w:tc>
          <w:tcPr>
            <w:cnfStyle w:val="000001000000" w:firstRow="0" w:lastRow="0" w:firstColumn="0" w:lastColumn="0" w:oddVBand="0" w:evenVBand="1" w:oddHBand="0" w:evenHBand="0" w:firstRowFirstColumn="0" w:firstRowLastColumn="0" w:lastRowFirstColumn="0" w:lastRowLastColumn="0"/>
            <w:tcW w:w="545" w:type="pct"/>
          </w:tcPr>
          <w:p w14:paraId="7F3930B0"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$130.00</w:t>
            </w:r>
          </w:p>
        </w:tc>
        <w:tc>
          <w:tcPr>
            <w:cnfStyle w:val="000010000000" w:firstRow="0" w:lastRow="0" w:firstColumn="0" w:lastColumn="0" w:oddVBand="1" w:evenVBand="0" w:oddHBand="0" w:evenHBand="0" w:firstRowFirstColumn="0" w:firstRowLastColumn="0" w:lastRowFirstColumn="0" w:lastRowLastColumn="0"/>
            <w:tcW w:w="681" w:type="pct"/>
          </w:tcPr>
          <w:p w14:paraId="500DDD2D"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$143.00</w:t>
            </w:r>
          </w:p>
        </w:tc>
        <w:tc>
          <w:tcPr>
            <w:cnfStyle w:val="000001000000" w:firstRow="0" w:lastRow="0" w:firstColumn="0" w:lastColumn="0" w:oddVBand="0" w:evenVBand="1" w:oddHBand="0" w:evenHBand="0" w:firstRowFirstColumn="0" w:firstRowLastColumn="0" w:lastRowFirstColumn="0" w:lastRowLastColumn="0"/>
            <w:tcW w:w="538" w:type="pct"/>
          </w:tcPr>
          <w:p w14:paraId="3EEAF053"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$130.00</w:t>
            </w:r>
          </w:p>
        </w:tc>
        <w:tc>
          <w:tcPr>
            <w:cnfStyle w:val="000010000000" w:firstRow="0" w:lastRow="0" w:firstColumn="0" w:lastColumn="0" w:oddVBand="1" w:evenVBand="0" w:oddHBand="0" w:evenHBand="0" w:firstRowFirstColumn="0" w:firstRowLastColumn="0" w:lastRowFirstColumn="0" w:lastRowLastColumn="0"/>
            <w:tcW w:w="729" w:type="pct"/>
          </w:tcPr>
          <w:p w14:paraId="561265FC"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$143.00</w:t>
            </w:r>
          </w:p>
        </w:tc>
        <w:tc>
          <w:tcPr>
            <w:cnfStyle w:val="000001000000" w:firstRow="0" w:lastRow="0" w:firstColumn="0" w:lastColumn="0" w:oddVBand="0" w:evenVBand="1" w:oddHBand="0" w:evenHBand="0" w:firstRowFirstColumn="0" w:firstRowLastColumn="0" w:lastRowFirstColumn="0" w:lastRowLastColumn="0"/>
            <w:tcW w:w="512" w:type="pct"/>
          </w:tcPr>
          <w:p w14:paraId="1ADF597A"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$130.00</w:t>
            </w:r>
          </w:p>
        </w:tc>
        <w:tc>
          <w:tcPr>
            <w:cnfStyle w:val="000010000000" w:firstRow="0" w:lastRow="0" w:firstColumn="0" w:lastColumn="0" w:oddVBand="1" w:evenVBand="0" w:oddHBand="0" w:evenHBand="0" w:firstRowFirstColumn="0" w:firstRowLastColumn="0" w:lastRowFirstColumn="0" w:lastRowLastColumn="0"/>
            <w:tcW w:w="687" w:type="pct"/>
          </w:tcPr>
          <w:p w14:paraId="05786A80"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$143.00</w:t>
            </w:r>
          </w:p>
        </w:tc>
      </w:tr>
      <w:tr w:rsidR="004120FF" w:rsidRPr="00745A99" w14:paraId="3747981D" w14:textId="77777777" w:rsidTr="00A91E03">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1308" w:type="pct"/>
          </w:tcPr>
          <w:p w14:paraId="797E798A"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Express 4</w:t>
            </w:r>
          </w:p>
        </w:tc>
        <w:tc>
          <w:tcPr>
            <w:cnfStyle w:val="000001000000" w:firstRow="0" w:lastRow="0" w:firstColumn="0" w:lastColumn="0" w:oddVBand="0" w:evenVBand="1" w:oddHBand="0" w:evenHBand="0" w:firstRowFirstColumn="0" w:firstRowLastColumn="0" w:lastRowFirstColumn="0" w:lastRowLastColumn="0"/>
            <w:tcW w:w="545" w:type="pct"/>
          </w:tcPr>
          <w:p w14:paraId="0409A523"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$80.00</w:t>
            </w:r>
          </w:p>
        </w:tc>
        <w:tc>
          <w:tcPr>
            <w:cnfStyle w:val="000010000000" w:firstRow="0" w:lastRow="0" w:firstColumn="0" w:lastColumn="0" w:oddVBand="1" w:evenVBand="0" w:oddHBand="0" w:evenHBand="0" w:firstRowFirstColumn="0" w:firstRowLastColumn="0" w:lastRowFirstColumn="0" w:lastRowLastColumn="0"/>
            <w:tcW w:w="681" w:type="pct"/>
          </w:tcPr>
          <w:p w14:paraId="0110E8E4"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$88.00</w:t>
            </w:r>
          </w:p>
        </w:tc>
        <w:tc>
          <w:tcPr>
            <w:cnfStyle w:val="000001000000" w:firstRow="0" w:lastRow="0" w:firstColumn="0" w:lastColumn="0" w:oddVBand="0" w:evenVBand="1" w:oddHBand="0" w:evenHBand="0" w:firstRowFirstColumn="0" w:firstRowLastColumn="0" w:lastRowFirstColumn="0" w:lastRowLastColumn="0"/>
            <w:tcW w:w="538" w:type="pct"/>
          </w:tcPr>
          <w:p w14:paraId="00C316A6"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$80.00</w:t>
            </w:r>
          </w:p>
        </w:tc>
        <w:tc>
          <w:tcPr>
            <w:cnfStyle w:val="000010000000" w:firstRow="0" w:lastRow="0" w:firstColumn="0" w:lastColumn="0" w:oddVBand="1" w:evenVBand="0" w:oddHBand="0" w:evenHBand="0" w:firstRowFirstColumn="0" w:firstRowLastColumn="0" w:lastRowFirstColumn="0" w:lastRowLastColumn="0"/>
            <w:tcW w:w="729" w:type="pct"/>
          </w:tcPr>
          <w:p w14:paraId="57488B09"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$88.00</w:t>
            </w:r>
          </w:p>
        </w:tc>
        <w:tc>
          <w:tcPr>
            <w:cnfStyle w:val="000001000000" w:firstRow="0" w:lastRow="0" w:firstColumn="0" w:lastColumn="0" w:oddVBand="0" w:evenVBand="1" w:oddHBand="0" w:evenHBand="0" w:firstRowFirstColumn="0" w:firstRowLastColumn="0" w:lastRowFirstColumn="0" w:lastRowLastColumn="0"/>
            <w:tcW w:w="512" w:type="pct"/>
          </w:tcPr>
          <w:p w14:paraId="150ACE78"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687" w:type="pct"/>
          </w:tcPr>
          <w:p w14:paraId="5A9F95ED"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r>
      <w:tr w:rsidR="004120FF" w:rsidRPr="00745A99" w14:paraId="33C605A3" w14:textId="77777777" w:rsidTr="00A91E03">
        <w:trPr>
          <w:trHeight w:val="463"/>
        </w:trPr>
        <w:tc>
          <w:tcPr>
            <w:cnfStyle w:val="000010000000" w:firstRow="0" w:lastRow="0" w:firstColumn="0" w:lastColumn="0" w:oddVBand="1" w:evenVBand="0" w:oddHBand="0" w:evenHBand="0" w:firstRowFirstColumn="0" w:firstRowLastColumn="0" w:lastRowFirstColumn="0" w:lastRowLastColumn="0"/>
            <w:tcW w:w="1308" w:type="pct"/>
          </w:tcPr>
          <w:p w14:paraId="50A36368"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Express 6 plus</w:t>
            </w:r>
          </w:p>
        </w:tc>
        <w:tc>
          <w:tcPr>
            <w:cnfStyle w:val="000001000000" w:firstRow="0" w:lastRow="0" w:firstColumn="0" w:lastColumn="0" w:oddVBand="0" w:evenVBand="1" w:oddHBand="0" w:evenHBand="0" w:firstRowFirstColumn="0" w:firstRowLastColumn="0" w:lastRowFirstColumn="0" w:lastRowLastColumn="0"/>
            <w:tcW w:w="545" w:type="pct"/>
          </w:tcPr>
          <w:p w14:paraId="27296293"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$120.00</w:t>
            </w:r>
          </w:p>
        </w:tc>
        <w:tc>
          <w:tcPr>
            <w:cnfStyle w:val="000010000000" w:firstRow="0" w:lastRow="0" w:firstColumn="0" w:lastColumn="0" w:oddVBand="1" w:evenVBand="0" w:oddHBand="0" w:evenHBand="0" w:firstRowFirstColumn="0" w:firstRowLastColumn="0" w:lastRowFirstColumn="0" w:lastRowLastColumn="0"/>
            <w:tcW w:w="681" w:type="pct"/>
          </w:tcPr>
          <w:p w14:paraId="79B77A6A"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$132.00</w:t>
            </w:r>
          </w:p>
        </w:tc>
        <w:tc>
          <w:tcPr>
            <w:cnfStyle w:val="000001000000" w:firstRow="0" w:lastRow="0" w:firstColumn="0" w:lastColumn="0" w:oddVBand="0" w:evenVBand="1" w:oddHBand="0" w:evenHBand="0" w:firstRowFirstColumn="0" w:firstRowLastColumn="0" w:lastRowFirstColumn="0" w:lastRowLastColumn="0"/>
            <w:tcW w:w="538" w:type="pct"/>
          </w:tcPr>
          <w:p w14:paraId="0EE02C9F"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$120.00</w:t>
            </w:r>
          </w:p>
        </w:tc>
        <w:tc>
          <w:tcPr>
            <w:cnfStyle w:val="000010000000" w:firstRow="0" w:lastRow="0" w:firstColumn="0" w:lastColumn="0" w:oddVBand="1" w:evenVBand="0" w:oddHBand="0" w:evenHBand="0" w:firstRowFirstColumn="0" w:firstRowLastColumn="0" w:lastRowFirstColumn="0" w:lastRowLastColumn="0"/>
            <w:tcW w:w="729" w:type="pct"/>
          </w:tcPr>
          <w:p w14:paraId="491C89D5"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$132.00</w:t>
            </w:r>
          </w:p>
        </w:tc>
        <w:tc>
          <w:tcPr>
            <w:cnfStyle w:val="000001000000" w:firstRow="0" w:lastRow="0" w:firstColumn="0" w:lastColumn="0" w:oddVBand="0" w:evenVBand="1" w:oddHBand="0" w:evenHBand="0" w:firstRowFirstColumn="0" w:firstRowLastColumn="0" w:lastRowFirstColumn="0" w:lastRowLastColumn="0"/>
            <w:tcW w:w="512" w:type="pct"/>
          </w:tcPr>
          <w:p w14:paraId="66E08173"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$120.00</w:t>
            </w:r>
          </w:p>
        </w:tc>
        <w:tc>
          <w:tcPr>
            <w:cnfStyle w:val="000010000000" w:firstRow="0" w:lastRow="0" w:firstColumn="0" w:lastColumn="0" w:oddVBand="1" w:evenVBand="0" w:oddHBand="0" w:evenHBand="0" w:firstRowFirstColumn="0" w:firstRowLastColumn="0" w:lastRowFirstColumn="0" w:lastRowLastColumn="0"/>
            <w:tcW w:w="687" w:type="pct"/>
          </w:tcPr>
          <w:p w14:paraId="4DD30725"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$132.00</w:t>
            </w:r>
          </w:p>
        </w:tc>
      </w:tr>
      <w:tr w:rsidR="004120FF" w:rsidRPr="00745A99" w14:paraId="60B77616" w14:textId="77777777" w:rsidTr="00A91E03">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1308" w:type="pct"/>
          </w:tcPr>
          <w:p w14:paraId="4ED306F8"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Express 6</w:t>
            </w:r>
          </w:p>
        </w:tc>
        <w:tc>
          <w:tcPr>
            <w:cnfStyle w:val="000001000000" w:firstRow="0" w:lastRow="0" w:firstColumn="0" w:lastColumn="0" w:oddVBand="0" w:evenVBand="1" w:oddHBand="0" w:evenHBand="0" w:firstRowFirstColumn="0" w:firstRowLastColumn="0" w:lastRowFirstColumn="0" w:lastRowLastColumn="0"/>
            <w:tcW w:w="545" w:type="pct"/>
          </w:tcPr>
          <w:p w14:paraId="10BF403F"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$70.00</w:t>
            </w:r>
          </w:p>
        </w:tc>
        <w:tc>
          <w:tcPr>
            <w:cnfStyle w:val="000010000000" w:firstRow="0" w:lastRow="0" w:firstColumn="0" w:lastColumn="0" w:oddVBand="1" w:evenVBand="0" w:oddHBand="0" w:evenHBand="0" w:firstRowFirstColumn="0" w:firstRowLastColumn="0" w:lastRowFirstColumn="0" w:lastRowLastColumn="0"/>
            <w:tcW w:w="681" w:type="pct"/>
          </w:tcPr>
          <w:p w14:paraId="141076CC"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$77.00</w:t>
            </w:r>
          </w:p>
        </w:tc>
        <w:tc>
          <w:tcPr>
            <w:cnfStyle w:val="000001000000" w:firstRow="0" w:lastRow="0" w:firstColumn="0" w:lastColumn="0" w:oddVBand="0" w:evenVBand="1" w:oddHBand="0" w:evenHBand="0" w:firstRowFirstColumn="0" w:firstRowLastColumn="0" w:lastRowFirstColumn="0" w:lastRowLastColumn="0"/>
            <w:tcW w:w="538" w:type="pct"/>
          </w:tcPr>
          <w:p w14:paraId="56AA35A4"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$70.00</w:t>
            </w:r>
          </w:p>
        </w:tc>
        <w:tc>
          <w:tcPr>
            <w:cnfStyle w:val="000010000000" w:firstRow="0" w:lastRow="0" w:firstColumn="0" w:lastColumn="0" w:oddVBand="1" w:evenVBand="0" w:oddHBand="0" w:evenHBand="0" w:firstRowFirstColumn="0" w:firstRowLastColumn="0" w:lastRowFirstColumn="0" w:lastRowLastColumn="0"/>
            <w:tcW w:w="729" w:type="pct"/>
          </w:tcPr>
          <w:p w14:paraId="5AD8C3FF"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$77.00</w:t>
            </w:r>
          </w:p>
        </w:tc>
        <w:tc>
          <w:tcPr>
            <w:cnfStyle w:val="000001000000" w:firstRow="0" w:lastRow="0" w:firstColumn="0" w:lastColumn="0" w:oddVBand="0" w:evenVBand="1" w:oddHBand="0" w:evenHBand="0" w:firstRowFirstColumn="0" w:firstRowLastColumn="0" w:lastRowFirstColumn="0" w:lastRowLastColumn="0"/>
            <w:tcW w:w="512" w:type="pct"/>
          </w:tcPr>
          <w:p w14:paraId="48E3EB4C"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687" w:type="pct"/>
          </w:tcPr>
          <w:p w14:paraId="6AC69E65"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r>
      <w:tr w:rsidR="004120FF" w:rsidRPr="00745A99" w14:paraId="122C554D" w14:textId="77777777" w:rsidTr="00A91E03">
        <w:trPr>
          <w:trHeight w:val="287"/>
        </w:trPr>
        <w:tc>
          <w:tcPr>
            <w:cnfStyle w:val="000010000000" w:firstRow="0" w:lastRow="0" w:firstColumn="0" w:lastColumn="0" w:oddVBand="1" w:evenVBand="0" w:oddHBand="0" w:evenHBand="0" w:firstRowFirstColumn="0" w:firstRowLastColumn="0" w:lastRowFirstColumn="0" w:lastRowLastColumn="0"/>
            <w:tcW w:w="1308" w:type="pct"/>
          </w:tcPr>
          <w:p w14:paraId="793A0B52"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Express 8 plus</w:t>
            </w:r>
          </w:p>
        </w:tc>
        <w:tc>
          <w:tcPr>
            <w:cnfStyle w:val="000001000000" w:firstRow="0" w:lastRow="0" w:firstColumn="0" w:lastColumn="0" w:oddVBand="0" w:evenVBand="1" w:oddHBand="0" w:evenHBand="0" w:firstRowFirstColumn="0" w:firstRowLastColumn="0" w:lastRowFirstColumn="0" w:lastRowLastColumn="0"/>
            <w:tcW w:w="545" w:type="pct"/>
          </w:tcPr>
          <w:p w14:paraId="42D1471E"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$100.00</w:t>
            </w:r>
          </w:p>
        </w:tc>
        <w:tc>
          <w:tcPr>
            <w:cnfStyle w:val="000010000000" w:firstRow="0" w:lastRow="0" w:firstColumn="0" w:lastColumn="0" w:oddVBand="1" w:evenVBand="0" w:oddHBand="0" w:evenHBand="0" w:firstRowFirstColumn="0" w:firstRowLastColumn="0" w:lastRowFirstColumn="0" w:lastRowLastColumn="0"/>
            <w:tcW w:w="681" w:type="pct"/>
          </w:tcPr>
          <w:p w14:paraId="71A22D53"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$110.00</w:t>
            </w:r>
          </w:p>
        </w:tc>
        <w:tc>
          <w:tcPr>
            <w:cnfStyle w:val="000001000000" w:firstRow="0" w:lastRow="0" w:firstColumn="0" w:lastColumn="0" w:oddVBand="0" w:evenVBand="1" w:oddHBand="0" w:evenHBand="0" w:firstRowFirstColumn="0" w:firstRowLastColumn="0" w:lastRowFirstColumn="0" w:lastRowLastColumn="0"/>
            <w:tcW w:w="538" w:type="pct"/>
          </w:tcPr>
          <w:p w14:paraId="75B1CAC6"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$100.00</w:t>
            </w:r>
          </w:p>
        </w:tc>
        <w:tc>
          <w:tcPr>
            <w:cnfStyle w:val="000010000000" w:firstRow="0" w:lastRow="0" w:firstColumn="0" w:lastColumn="0" w:oddVBand="1" w:evenVBand="0" w:oddHBand="0" w:evenHBand="0" w:firstRowFirstColumn="0" w:firstRowLastColumn="0" w:lastRowFirstColumn="0" w:lastRowLastColumn="0"/>
            <w:tcW w:w="729" w:type="pct"/>
          </w:tcPr>
          <w:p w14:paraId="40BD176C"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$110.00</w:t>
            </w:r>
          </w:p>
        </w:tc>
        <w:tc>
          <w:tcPr>
            <w:cnfStyle w:val="000001000000" w:firstRow="0" w:lastRow="0" w:firstColumn="0" w:lastColumn="0" w:oddVBand="0" w:evenVBand="1" w:oddHBand="0" w:evenHBand="0" w:firstRowFirstColumn="0" w:firstRowLastColumn="0" w:lastRowFirstColumn="0" w:lastRowLastColumn="0"/>
            <w:tcW w:w="512" w:type="pct"/>
          </w:tcPr>
          <w:p w14:paraId="31387010"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$100.00</w:t>
            </w:r>
          </w:p>
        </w:tc>
        <w:tc>
          <w:tcPr>
            <w:cnfStyle w:val="000010000000" w:firstRow="0" w:lastRow="0" w:firstColumn="0" w:lastColumn="0" w:oddVBand="1" w:evenVBand="0" w:oddHBand="0" w:evenHBand="0" w:firstRowFirstColumn="0" w:firstRowLastColumn="0" w:lastRowFirstColumn="0" w:lastRowLastColumn="0"/>
            <w:tcW w:w="687" w:type="pct"/>
          </w:tcPr>
          <w:p w14:paraId="5D2FE9E1"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$110.00</w:t>
            </w:r>
          </w:p>
        </w:tc>
      </w:tr>
      <w:tr w:rsidR="004120FF" w:rsidRPr="00745A99" w14:paraId="24AFFF8E" w14:textId="77777777" w:rsidTr="00A91E03">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1308" w:type="pct"/>
          </w:tcPr>
          <w:p w14:paraId="49D1286A"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Express 8</w:t>
            </w:r>
          </w:p>
        </w:tc>
        <w:tc>
          <w:tcPr>
            <w:cnfStyle w:val="000001000000" w:firstRow="0" w:lastRow="0" w:firstColumn="0" w:lastColumn="0" w:oddVBand="0" w:evenVBand="1" w:oddHBand="0" w:evenHBand="0" w:firstRowFirstColumn="0" w:firstRowLastColumn="0" w:lastRowFirstColumn="0" w:lastRowLastColumn="0"/>
            <w:tcW w:w="545" w:type="pct"/>
          </w:tcPr>
          <w:p w14:paraId="7808423F"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$60.00</w:t>
            </w:r>
          </w:p>
        </w:tc>
        <w:tc>
          <w:tcPr>
            <w:cnfStyle w:val="000010000000" w:firstRow="0" w:lastRow="0" w:firstColumn="0" w:lastColumn="0" w:oddVBand="1" w:evenVBand="0" w:oddHBand="0" w:evenHBand="0" w:firstRowFirstColumn="0" w:firstRowLastColumn="0" w:lastRowFirstColumn="0" w:lastRowLastColumn="0"/>
            <w:tcW w:w="681" w:type="pct"/>
          </w:tcPr>
          <w:p w14:paraId="6FE25F9F"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$66.00</w:t>
            </w:r>
          </w:p>
        </w:tc>
        <w:tc>
          <w:tcPr>
            <w:cnfStyle w:val="000001000000" w:firstRow="0" w:lastRow="0" w:firstColumn="0" w:lastColumn="0" w:oddVBand="0" w:evenVBand="1" w:oddHBand="0" w:evenHBand="0" w:firstRowFirstColumn="0" w:firstRowLastColumn="0" w:lastRowFirstColumn="0" w:lastRowLastColumn="0"/>
            <w:tcW w:w="538" w:type="pct"/>
          </w:tcPr>
          <w:p w14:paraId="5A7B56F6"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$60.00</w:t>
            </w:r>
          </w:p>
        </w:tc>
        <w:tc>
          <w:tcPr>
            <w:cnfStyle w:val="000010000000" w:firstRow="0" w:lastRow="0" w:firstColumn="0" w:lastColumn="0" w:oddVBand="1" w:evenVBand="0" w:oddHBand="0" w:evenHBand="0" w:firstRowFirstColumn="0" w:firstRowLastColumn="0" w:lastRowFirstColumn="0" w:lastRowLastColumn="0"/>
            <w:tcW w:w="729" w:type="pct"/>
          </w:tcPr>
          <w:p w14:paraId="48C4137A"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$66.00</w:t>
            </w:r>
          </w:p>
        </w:tc>
        <w:tc>
          <w:tcPr>
            <w:cnfStyle w:val="000001000000" w:firstRow="0" w:lastRow="0" w:firstColumn="0" w:lastColumn="0" w:oddVBand="0" w:evenVBand="1" w:oddHBand="0" w:evenHBand="0" w:firstRowFirstColumn="0" w:firstRowLastColumn="0" w:lastRowFirstColumn="0" w:lastRowLastColumn="0"/>
            <w:tcW w:w="512" w:type="pct"/>
          </w:tcPr>
          <w:p w14:paraId="252C0FAE"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687" w:type="pct"/>
          </w:tcPr>
          <w:p w14:paraId="26625051"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r>
      <w:tr w:rsidR="004120FF" w:rsidRPr="00745A99" w14:paraId="6EB4656F" w14:textId="77777777" w:rsidTr="00A91E03">
        <w:trPr>
          <w:trHeight w:val="287"/>
        </w:trPr>
        <w:tc>
          <w:tcPr>
            <w:cnfStyle w:val="000010000000" w:firstRow="0" w:lastRow="0" w:firstColumn="0" w:lastColumn="0" w:oddVBand="1" w:evenVBand="0" w:oddHBand="0" w:evenHBand="0" w:firstRowFirstColumn="0" w:firstRowLastColumn="0" w:lastRowFirstColumn="0" w:lastRowLastColumn="0"/>
            <w:tcW w:w="1308" w:type="pct"/>
          </w:tcPr>
          <w:p w14:paraId="0EEBB30B"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t>Business plus</w:t>
            </w:r>
          </w:p>
        </w:tc>
        <w:tc>
          <w:tcPr>
            <w:cnfStyle w:val="000001000000" w:firstRow="0" w:lastRow="0" w:firstColumn="0" w:lastColumn="0" w:oddVBand="0" w:evenVBand="1" w:oddHBand="0" w:evenHBand="0" w:firstRowFirstColumn="0" w:firstRowLastColumn="0" w:lastRowFirstColumn="0" w:lastRowLastColumn="0"/>
            <w:tcW w:w="545" w:type="pct"/>
          </w:tcPr>
          <w:p w14:paraId="03407947"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$80.00</w:t>
            </w:r>
          </w:p>
        </w:tc>
        <w:tc>
          <w:tcPr>
            <w:cnfStyle w:val="000010000000" w:firstRow="0" w:lastRow="0" w:firstColumn="0" w:lastColumn="0" w:oddVBand="1" w:evenVBand="0" w:oddHBand="0" w:evenHBand="0" w:firstRowFirstColumn="0" w:firstRowLastColumn="0" w:lastRowFirstColumn="0" w:lastRowLastColumn="0"/>
            <w:tcW w:w="681" w:type="pct"/>
          </w:tcPr>
          <w:p w14:paraId="5B7948D2"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$88.00</w:t>
            </w:r>
          </w:p>
        </w:tc>
        <w:tc>
          <w:tcPr>
            <w:cnfStyle w:val="000001000000" w:firstRow="0" w:lastRow="0" w:firstColumn="0" w:lastColumn="0" w:oddVBand="0" w:evenVBand="1" w:oddHBand="0" w:evenHBand="0" w:firstRowFirstColumn="0" w:firstRowLastColumn="0" w:lastRowFirstColumn="0" w:lastRowLastColumn="0"/>
            <w:tcW w:w="538" w:type="pct"/>
          </w:tcPr>
          <w:p w14:paraId="56EB8AB0"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$80.00</w:t>
            </w:r>
          </w:p>
        </w:tc>
        <w:tc>
          <w:tcPr>
            <w:cnfStyle w:val="000010000000" w:firstRow="0" w:lastRow="0" w:firstColumn="0" w:lastColumn="0" w:oddVBand="1" w:evenVBand="0" w:oddHBand="0" w:evenHBand="0" w:firstRowFirstColumn="0" w:firstRowLastColumn="0" w:lastRowFirstColumn="0" w:lastRowLastColumn="0"/>
            <w:tcW w:w="729" w:type="pct"/>
          </w:tcPr>
          <w:p w14:paraId="25347016"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$88.00</w:t>
            </w:r>
          </w:p>
        </w:tc>
        <w:tc>
          <w:tcPr>
            <w:cnfStyle w:val="000001000000" w:firstRow="0" w:lastRow="0" w:firstColumn="0" w:lastColumn="0" w:oddVBand="0" w:evenVBand="1" w:oddHBand="0" w:evenHBand="0" w:firstRowFirstColumn="0" w:firstRowLastColumn="0" w:lastRowFirstColumn="0" w:lastRowLastColumn="0"/>
            <w:tcW w:w="512" w:type="pct"/>
          </w:tcPr>
          <w:p w14:paraId="67BCAFEA"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687" w:type="pct"/>
          </w:tcPr>
          <w:p w14:paraId="4CB59F7D" w14:textId="77777777" w:rsidR="004120FF" w:rsidRPr="00745A99" w:rsidRDefault="004120FF">
            <w:pPr>
              <w:autoSpaceDE w:val="0"/>
              <w:autoSpaceDN w:val="0"/>
              <w:adjustRightInd w:val="0"/>
              <w:jc w:val="center"/>
              <w:rPr>
                <w:rFonts w:ascii="Calibri" w:hAnsi="Calibri" w:cs="Calibri"/>
                <w:bCs/>
                <w:color w:val="000000"/>
                <w:sz w:val="18"/>
                <w:szCs w:val="18"/>
                <w:lang w:eastAsia="en-AU"/>
              </w:rPr>
            </w:pPr>
            <w:r w:rsidRPr="00745A99">
              <w:rPr>
                <w:rFonts w:ascii="Calibri" w:hAnsi="Calibri" w:cs="Calibri"/>
                <w:bCs/>
                <w:color w:val="000000"/>
                <w:sz w:val="18"/>
                <w:szCs w:val="18"/>
                <w:lang w:eastAsia="en-AU"/>
              </w:rPr>
              <w:t>-</w:t>
            </w:r>
          </w:p>
        </w:tc>
      </w:tr>
      <w:tr w:rsidR="004120FF" w:rsidRPr="00745A99" w14:paraId="5C33C166" w14:textId="77777777" w:rsidTr="00A91E03">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1308" w:type="pct"/>
          </w:tcPr>
          <w:p w14:paraId="19A44A2A" w14:textId="77777777" w:rsidR="004120FF" w:rsidRPr="00745A99" w:rsidRDefault="004120FF">
            <w:pPr>
              <w:autoSpaceDE w:val="0"/>
              <w:autoSpaceDN w:val="0"/>
              <w:adjustRightInd w:val="0"/>
              <w:rPr>
                <w:rFonts w:ascii="Arial" w:hAnsi="Arial" w:cs="Arial"/>
                <w:b/>
                <w:bCs/>
                <w:color w:val="000000"/>
                <w:sz w:val="18"/>
                <w:szCs w:val="18"/>
                <w:lang w:eastAsia="en-AU"/>
              </w:rPr>
            </w:pPr>
            <w:r w:rsidRPr="00745A99">
              <w:rPr>
                <w:rFonts w:ascii="Arial" w:hAnsi="Arial" w:cs="Arial"/>
                <w:b/>
                <w:bCs/>
                <w:color w:val="000000"/>
                <w:sz w:val="18"/>
                <w:szCs w:val="18"/>
                <w:lang w:eastAsia="en-AU"/>
              </w:rPr>
              <w:lastRenderedPageBreak/>
              <w:t>Extended Business Hours</w:t>
            </w:r>
          </w:p>
        </w:tc>
        <w:tc>
          <w:tcPr>
            <w:cnfStyle w:val="000001000000" w:firstRow="0" w:lastRow="0" w:firstColumn="0" w:lastColumn="0" w:oddVBand="0" w:evenVBand="1" w:oddHBand="0" w:evenHBand="0" w:firstRowFirstColumn="0" w:firstRowLastColumn="0" w:lastRowFirstColumn="0" w:lastRowLastColumn="0"/>
            <w:tcW w:w="545" w:type="pct"/>
          </w:tcPr>
          <w:p w14:paraId="4EBDE408"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$43.00</w:t>
            </w:r>
          </w:p>
        </w:tc>
        <w:tc>
          <w:tcPr>
            <w:cnfStyle w:val="000010000000" w:firstRow="0" w:lastRow="0" w:firstColumn="0" w:lastColumn="0" w:oddVBand="1" w:evenVBand="0" w:oddHBand="0" w:evenHBand="0" w:firstRowFirstColumn="0" w:firstRowLastColumn="0" w:lastRowFirstColumn="0" w:lastRowLastColumn="0"/>
            <w:tcW w:w="681" w:type="pct"/>
          </w:tcPr>
          <w:p w14:paraId="65E1D847"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$47.30</w:t>
            </w:r>
          </w:p>
        </w:tc>
        <w:tc>
          <w:tcPr>
            <w:cnfStyle w:val="000001000000" w:firstRow="0" w:lastRow="0" w:firstColumn="0" w:lastColumn="0" w:oddVBand="0" w:evenVBand="1" w:oddHBand="0" w:evenHBand="0" w:firstRowFirstColumn="0" w:firstRowLastColumn="0" w:lastRowFirstColumn="0" w:lastRowLastColumn="0"/>
            <w:tcW w:w="538" w:type="pct"/>
          </w:tcPr>
          <w:p w14:paraId="2432FFAD"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729" w:type="pct"/>
          </w:tcPr>
          <w:p w14:paraId="53874831"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w:t>
            </w:r>
          </w:p>
        </w:tc>
        <w:tc>
          <w:tcPr>
            <w:cnfStyle w:val="000001000000" w:firstRow="0" w:lastRow="0" w:firstColumn="0" w:lastColumn="0" w:oddVBand="0" w:evenVBand="1" w:oddHBand="0" w:evenHBand="0" w:firstRowFirstColumn="0" w:firstRowLastColumn="0" w:lastRowFirstColumn="0" w:lastRowLastColumn="0"/>
            <w:tcW w:w="512" w:type="pct"/>
          </w:tcPr>
          <w:p w14:paraId="07E9706C"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w:t>
            </w:r>
          </w:p>
        </w:tc>
        <w:tc>
          <w:tcPr>
            <w:cnfStyle w:val="000010000000" w:firstRow="0" w:lastRow="0" w:firstColumn="0" w:lastColumn="0" w:oddVBand="1" w:evenVBand="0" w:oddHBand="0" w:evenHBand="0" w:firstRowFirstColumn="0" w:firstRowLastColumn="0" w:lastRowFirstColumn="0" w:lastRowLastColumn="0"/>
            <w:tcW w:w="687" w:type="pct"/>
          </w:tcPr>
          <w:p w14:paraId="218A92F0" w14:textId="77777777" w:rsidR="004120FF" w:rsidRPr="00745A99" w:rsidRDefault="004120FF">
            <w:pPr>
              <w:autoSpaceDE w:val="0"/>
              <w:autoSpaceDN w:val="0"/>
              <w:adjustRightInd w:val="0"/>
              <w:jc w:val="center"/>
              <w:rPr>
                <w:rFonts w:ascii="Arial" w:hAnsi="Arial" w:cs="Arial"/>
                <w:color w:val="000000"/>
                <w:sz w:val="18"/>
                <w:szCs w:val="18"/>
                <w:lang w:eastAsia="en-AU"/>
              </w:rPr>
            </w:pPr>
            <w:r w:rsidRPr="00745A99">
              <w:rPr>
                <w:rFonts w:ascii="Arial" w:hAnsi="Arial" w:cs="Arial"/>
                <w:color w:val="000000"/>
                <w:sz w:val="18"/>
                <w:szCs w:val="18"/>
                <w:lang w:eastAsia="en-AU"/>
              </w:rPr>
              <w:t>-</w:t>
            </w:r>
          </w:p>
        </w:tc>
      </w:tr>
    </w:tbl>
    <w:p w14:paraId="2898904F" w14:textId="77777777" w:rsidR="006F51A2" w:rsidRDefault="006F51A2" w:rsidP="004B4949"/>
    <w:p w14:paraId="0A1157E8" w14:textId="2062B5D5" w:rsidR="00343F1F" w:rsidRPr="00D82AF7" w:rsidRDefault="0043603E" w:rsidP="00343F1F">
      <w:pPr>
        <w:pStyle w:val="Indent1"/>
      </w:pPr>
      <w:bookmarkStart w:id="20" w:name="_Toc208576775"/>
      <w:r w:rsidRPr="00D82AF7">
        <w:t>Restoration r</w:t>
      </w:r>
      <w:r w:rsidR="00954CE2" w:rsidRPr="00D82AF7">
        <w:t>ebate</w:t>
      </w:r>
      <w:r w:rsidR="009A0F91" w:rsidRPr="00D82AF7">
        <w:t xml:space="preserve"> </w:t>
      </w:r>
      <w:r w:rsidRPr="00D82AF7">
        <w:t>e</w:t>
      </w:r>
      <w:r w:rsidR="009A0F91" w:rsidRPr="00D82AF7">
        <w:t xml:space="preserve">ligibility </w:t>
      </w:r>
      <w:r w:rsidRPr="00D82AF7">
        <w:t>c</w:t>
      </w:r>
      <w:r w:rsidR="009A0F91" w:rsidRPr="00D82AF7">
        <w:t>riteria</w:t>
      </w:r>
      <w:bookmarkEnd w:id="20"/>
    </w:p>
    <w:p w14:paraId="56660964" w14:textId="61852DEB" w:rsidR="009A0F91" w:rsidRPr="00D82AF7" w:rsidRDefault="00296804" w:rsidP="0062764C">
      <w:pPr>
        <w:pStyle w:val="Heading2"/>
      </w:pPr>
      <w:r>
        <w:t>For all products and services, except for Managed Data Networks</w:t>
      </w:r>
      <w:r w:rsidR="0049653F">
        <w:t xml:space="preserve"> and Business Broadband</w:t>
      </w:r>
      <w:r>
        <w:t>, i</w:t>
      </w:r>
      <w:r w:rsidR="0062764C" w:rsidRPr="00D82AF7">
        <w:t xml:space="preserve">f </w:t>
      </w:r>
      <w:r w:rsidR="006A6618" w:rsidRPr="00D82AF7">
        <w:t>we fail to</w:t>
      </w:r>
      <w:r w:rsidR="003744A1" w:rsidRPr="00D82AF7">
        <w:t xml:space="preserve"> restore your product or service by </w:t>
      </w:r>
      <w:r w:rsidR="00A741DA" w:rsidRPr="00D82AF7">
        <w:t>the applicable restoration</w:t>
      </w:r>
      <w:r w:rsidR="003744A1" w:rsidRPr="00D82AF7">
        <w:t xml:space="preserve"> time</w:t>
      </w:r>
      <w:r w:rsidR="00927CD2" w:rsidRPr="00D82AF7">
        <w:t xml:space="preserve"> (depending on the service level that you select)</w:t>
      </w:r>
      <w:r w:rsidR="0062764C" w:rsidRPr="00D82AF7">
        <w:t xml:space="preserve">, you </w:t>
      </w:r>
      <w:r w:rsidR="00DF249A" w:rsidRPr="00D82AF7">
        <w:t>will be eligible for a rebate provided that you meet the following eligibility criteria</w:t>
      </w:r>
      <w:r w:rsidR="009A0F91" w:rsidRPr="00D82AF7">
        <w:t>:</w:t>
      </w:r>
    </w:p>
    <w:p w14:paraId="23831E51" w14:textId="77777777" w:rsidR="00BF3D69" w:rsidRPr="00D82AF7" w:rsidRDefault="00BF3D69" w:rsidP="009A0F91">
      <w:pPr>
        <w:pStyle w:val="Heading3"/>
      </w:pPr>
      <w:r w:rsidRPr="00D82AF7">
        <w:t>you giv</w:t>
      </w:r>
      <w:r w:rsidR="00822CF7" w:rsidRPr="00D82AF7">
        <w:t>e</w:t>
      </w:r>
      <w:r w:rsidRPr="00D82AF7">
        <w:t xml:space="preserve"> us accurate and timely information that we need to restore your product or </w:t>
      </w:r>
      <w:proofErr w:type="gramStart"/>
      <w:r w:rsidRPr="00D82AF7">
        <w:t>service;</w:t>
      </w:r>
      <w:proofErr w:type="gramEnd"/>
    </w:p>
    <w:p w14:paraId="782ECCDC" w14:textId="77777777" w:rsidR="00BF3D69" w:rsidRPr="00D82AF7" w:rsidRDefault="00BF3D69" w:rsidP="00BF3D69">
      <w:pPr>
        <w:pStyle w:val="Heading3"/>
      </w:pPr>
      <w:r w:rsidRPr="00D82AF7">
        <w:t>you giv</w:t>
      </w:r>
      <w:r w:rsidR="00822CF7" w:rsidRPr="00D82AF7">
        <w:t>e</w:t>
      </w:r>
      <w:r w:rsidRPr="00D82AF7">
        <w:t xml:space="preserve"> us sufficient and timely access to your premises and equipment so that we can attempt to restore your product or service;</w:t>
      </w:r>
      <w:r w:rsidR="00426171" w:rsidRPr="00D82AF7">
        <w:t xml:space="preserve"> and</w:t>
      </w:r>
    </w:p>
    <w:p w14:paraId="3676000B" w14:textId="77777777" w:rsidR="009A0F91" w:rsidRDefault="000156D7" w:rsidP="009A0F91">
      <w:pPr>
        <w:pStyle w:val="Heading3"/>
      </w:pPr>
      <w:r w:rsidRPr="00D82AF7">
        <w:t xml:space="preserve">you </w:t>
      </w:r>
      <w:r w:rsidR="009A0F91" w:rsidRPr="00D82AF7">
        <w:t>have</w:t>
      </w:r>
      <w:r w:rsidR="00BF3D69" w:rsidRPr="00D82AF7">
        <w:t xml:space="preserve"> not</w:t>
      </w:r>
      <w:r w:rsidRPr="00D82AF7">
        <w:t xml:space="preserve"> been</w:t>
      </w:r>
      <w:r w:rsidR="009A0F91" w:rsidRPr="00D82AF7">
        <w:t xml:space="preserve"> provided with a</w:t>
      </w:r>
      <w:r w:rsidR="00BF3D69" w:rsidRPr="00D82AF7">
        <w:t xml:space="preserve"> reasonably sufficient</w:t>
      </w:r>
      <w:r w:rsidR="009A0F91" w:rsidRPr="00D82AF7">
        <w:t xml:space="preserve"> work-around solution which enables you to continue to use your product or service</w:t>
      </w:r>
      <w:r w:rsidR="00822CF7" w:rsidRPr="00D82AF7">
        <w:t xml:space="preserve"> within the relevant restoration period</w:t>
      </w:r>
      <w:r w:rsidR="00426171" w:rsidRPr="00D82AF7">
        <w:t>.</w:t>
      </w:r>
    </w:p>
    <w:p w14:paraId="67EC8407" w14:textId="77777777" w:rsidR="00AE6790" w:rsidRPr="00AE7AF8" w:rsidRDefault="00296804" w:rsidP="00296804">
      <w:pPr>
        <w:pStyle w:val="Heading2"/>
      </w:pPr>
      <w:r w:rsidRPr="00AE7AF8">
        <w:t>For Managed Data Networks you are only eligible for a rebate</w:t>
      </w:r>
      <w:r w:rsidR="00AE7AF8" w:rsidRPr="00AE7AF8">
        <w:t>, if we fail to restore your product or service by the applicable restoration time (depending on the service level that you select),</w:t>
      </w:r>
    </w:p>
    <w:p w14:paraId="7791FF2B" w14:textId="77777777" w:rsidR="00AE6790" w:rsidRPr="00AE7AF8" w:rsidRDefault="00296804" w:rsidP="00AE6790">
      <w:pPr>
        <w:pStyle w:val="Heading3"/>
      </w:pPr>
      <w:r w:rsidRPr="00AE7AF8">
        <w:t xml:space="preserve">on either the </w:t>
      </w:r>
      <w:r w:rsidR="007F48AA" w:rsidRPr="00AE7AF8">
        <w:t>m</w:t>
      </w:r>
      <w:r w:rsidRPr="00AE7AF8">
        <w:t xml:space="preserve">onthly access rental charge for </w:t>
      </w:r>
      <w:r w:rsidR="007F48AA" w:rsidRPr="00AE7AF8">
        <w:t>a</w:t>
      </w:r>
      <w:r w:rsidRPr="00AE7AF8">
        <w:t>ccess faults</w:t>
      </w:r>
      <w:r w:rsidR="007F48AA" w:rsidRPr="00AE7AF8">
        <w:t xml:space="preserve"> </w:t>
      </w:r>
      <w:r w:rsidR="00AE6790" w:rsidRPr="00AE7AF8">
        <w:t xml:space="preserve">with the selected access service </w:t>
      </w:r>
      <w:r w:rsidRPr="00AE7AF8">
        <w:t xml:space="preserve">or the </w:t>
      </w:r>
      <w:r w:rsidR="007F48AA" w:rsidRPr="00AE7AF8">
        <w:t>m</w:t>
      </w:r>
      <w:r w:rsidRPr="00AE7AF8">
        <w:t xml:space="preserve">onthly </w:t>
      </w:r>
      <w:r w:rsidR="00AE7AF8" w:rsidRPr="00AE7AF8">
        <w:t xml:space="preserve">service charge/monthly service tier charge (as applicable) </w:t>
      </w:r>
      <w:r w:rsidR="00AE6790" w:rsidRPr="00AE7AF8">
        <w:t>if</w:t>
      </w:r>
      <w:r w:rsidRPr="00AE7AF8">
        <w:t xml:space="preserve"> we fail to meet a Priority Level 1 or 2 fault </w:t>
      </w:r>
      <w:r w:rsidR="008E710D" w:rsidRPr="00AE7AF8">
        <w:t>as described in the Managed Data Networks section of Our Customer Terms</w:t>
      </w:r>
      <w:r w:rsidR="00AE6790" w:rsidRPr="00AE7AF8">
        <w:t>; and</w:t>
      </w:r>
    </w:p>
    <w:p w14:paraId="36F713C6" w14:textId="77777777" w:rsidR="00296804" w:rsidRPr="00D82AF7" w:rsidRDefault="00296804" w:rsidP="00AE6790">
      <w:pPr>
        <w:pStyle w:val="Heading3"/>
      </w:pPr>
      <w:r w:rsidRPr="00D82AF7">
        <w:t>provided that you meet the following eligibility criteria:</w:t>
      </w:r>
    </w:p>
    <w:p w14:paraId="3FBE7636" w14:textId="77777777" w:rsidR="00296804" w:rsidRPr="00D82AF7" w:rsidRDefault="00296804" w:rsidP="00AE6790">
      <w:pPr>
        <w:pStyle w:val="Heading4"/>
      </w:pPr>
      <w:r w:rsidRPr="00D82AF7">
        <w:t xml:space="preserve">you give us accurate and timely information that we need to restore your product or </w:t>
      </w:r>
      <w:proofErr w:type="gramStart"/>
      <w:r w:rsidRPr="00D82AF7">
        <w:t>service;</w:t>
      </w:r>
      <w:proofErr w:type="gramEnd"/>
    </w:p>
    <w:p w14:paraId="08C9C2F2" w14:textId="77777777" w:rsidR="00296804" w:rsidRPr="00D82AF7" w:rsidRDefault="00296804" w:rsidP="00AE6790">
      <w:pPr>
        <w:pStyle w:val="Heading4"/>
      </w:pPr>
      <w:r w:rsidRPr="00D82AF7">
        <w:t>you give us sufficient and timely access to your premises and equipment so that we can attempt to restore your product or service; and</w:t>
      </w:r>
    </w:p>
    <w:p w14:paraId="3F4882C6" w14:textId="77777777" w:rsidR="00296804" w:rsidRDefault="00296804" w:rsidP="00AE6790">
      <w:pPr>
        <w:pStyle w:val="Heading4"/>
      </w:pPr>
      <w:r w:rsidRPr="00D82AF7">
        <w:t>you have not been provided with a reasonably sufficient work-around solution which enables you to continue to use your product or service within the relevant restoration period.</w:t>
      </w:r>
    </w:p>
    <w:p w14:paraId="5BCDBCFF" w14:textId="347ADFF7" w:rsidR="00296804" w:rsidRPr="00D82AF7" w:rsidRDefault="0049653F" w:rsidP="0049653F">
      <w:pPr>
        <w:pStyle w:val="Heading2"/>
      </w:pPr>
      <w:r>
        <w:t xml:space="preserve">No Standard Restoration rebates apply for </w:t>
      </w:r>
      <w:r w:rsidR="005423EF">
        <w:t xml:space="preserve">Telstra ADSL </w:t>
      </w:r>
      <w:r>
        <w:t>Business Broadband</w:t>
      </w:r>
      <w:r w:rsidR="005423EF">
        <w:t xml:space="preserve"> or Telstra Business Broadband on </w:t>
      </w:r>
      <w:proofErr w:type="spellStart"/>
      <w:r w:rsidR="00385F77">
        <w:t>nbn</w:t>
      </w:r>
      <w:proofErr w:type="spellEnd"/>
      <w:r w:rsidR="00385F77">
        <w:t>™</w:t>
      </w:r>
      <w:r>
        <w:t>.</w:t>
      </w:r>
    </w:p>
    <w:p w14:paraId="7ED85F05" w14:textId="5D050876" w:rsidR="009A0F91" w:rsidRPr="00D82AF7" w:rsidRDefault="00DF249A" w:rsidP="009A0F91">
      <w:pPr>
        <w:pStyle w:val="Indent1"/>
      </w:pPr>
      <w:bookmarkStart w:id="21" w:name="_Toc208576776"/>
      <w:r w:rsidRPr="00D82AF7">
        <w:t xml:space="preserve">Restoration </w:t>
      </w:r>
      <w:r w:rsidR="000156D7" w:rsidRPr="00D82AF7">
        <w:t>r</w:t>
      </w:r>
      <w:r w:rsidR="009A0F91" w:rsidRPr="00D82AF7">
        <w:t>ebates</w:t>
      </w:r>
      <w:bookmarkEnd w:id="21"/>
    </w:p>
    <w:p w14:paraId="4DC24198" w14:textId="77777777" w:rsidR="00FA68B7" w:rsidRPr="00D82AF7" w:rsidRDefault="00DF249A" w:rsidP="009A0F91">
      <w:pPr>
        <w:pStyle w:val="Heading2"/>
      </w:pPr>
      <w:r w:rsidRPr="00D82AF7">
        <w:t>I</w:t>
      </w:r>
      <w:r w:rsidR="00AF2301" w:rsidRPr="00D82AF7">
        <w:t>n order to receive a rebate</w:t>
      </w:r>
      <w:r w:rsidR="00822CF7" w:rsidRPr="00D82AF7">
        <w:t xml:space="preserve"> for a restoration service level</w:t>
      </w:r>
      <w:r w:rsidRPr="00D82AF7">
        <w:t>, you</w:t>
      </w:r>
      <w:r w:rsidR="00FA68B7" w:rsidRPr="00D82AF7">
        <w:t xml:space="preserve"> must</w:t>
      </w:r>
      <w:r w:rsidR="005A09AC" w:rsidRPr="00D82AF7">
        <w:t xml:space="preserve"> </w:t>
      </w:r>
      <w:r w:rsidR="00FA68B7" w:rsidRPr="00D82AF7">
        <w:t xml:space="preserve">apply to us for </w:t>
      </w:r>
      <w:r w:rsidR="00AF2301" w:rsidRPr="00D82AF7">
        <w:t>that</w:t>
      </w:r>
      <w:r w:rsidR="00FA68B7" w:rsidRPr="00D82AF7">
        <w:t xml:space="preserve"> rebate</w:t>
      </w:r>
      <w:r w:rsidR="00AF2301" w:rsidRPr="00D82AF7">
        <w:t xml:space="preserve"> within two months of our failure to meet the applicable service level</w:t>
      </w:r>
      <w:r w:rsidR="00FA68B7" w:rsidRPr="00D82AF7">
        <w:t>.</w:t>
      </w:r>
    </w:p>
    <w:p w14:paraId="305B4AF2" w14:textId="77777777" w:rsidR="009A0F91" w:rsidRPr="00D82AF7" w:rsidRDefault="00FA68B7" w:rsidP="007A7869">
      <w:pPr>
        <w:pStyle w:val="Heading2"/>
      </w:pPr>
      <w:r w:rsidRPr="00D82AF7">
        <w:lastRenderedPageBreak/>
        <w:t xml:space="preserve">To apply for a rebate, you must complete a rebate application form (we can provide this to you on request) </w:t>
      </w:r>
      <w:r w:rsidR="007A7869" w:rsidRPr="00D82AF7">
        <w:t>and return the form to your relevant Telstra representative.</w:t>
      </w:r>
    </w:p>
    <w:p w14:paraId="395700E1" w14:textId="77777777" w:rsidR="000156D7" w:rsidRPr="00D82AF7" w:rsidRDefault="006A6618" w:rsidP="006A6618">
      <w:pPr>
        <w:pStyle w:val="Heading2"/>
      </w:pPr>
      <w:r w:rsidRPr="00D82AF7">
        <w:t>We will let you know whether we agree that you are eligible for a rebate.</w:t>
      </w:r>
    </w:p>
    <w:p w14:paraId="57E83D32" w14:textId="77777777" w:rsidR="00675B10" w:rsidRDefault="00675B10">
      <w:pPr>
        <w:rPr>
          <w:bCs/>
        </w:rPr>
      </w:pPr>
      <w:r>
        <w:br w:type="page"/>
      </w:r>
    </w:p>
    <w:p w14:paraId="59C97ED8" w14:textId="0614680C" w:rsidR="00DF249A" w:rsidRDefault="00822CF7" w:rsidP="009A0F91">
      <w:pPr>
        <w:pStyle w:val="Heading2"/>
      </w:pPr>
      <w:r w:rsidRPr="00D82AF7">
        <w:lastRenderedPageBreak/>
        <w:t>If you are eligible for a rebate, it</w:t>
      </w:r>
      <w:r w:rsidR="00DF249A" w:rsidRPr="00D82AF7">
        <w:t xml:space="preserve"> will be calculated as follows:</w:t>
      </w:r>
    </w:p>
    <w:tbl>
      <w:tblP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5980"/>
      </w:tblGrid>
      <w:tr w:rsidR="00DF249A" w:rsidRPr="001A031B" w14:paraId="56A0D426" w14:textId="77777777" w:rsidTr="001A031B">
        <w:trPr>
          <w:cantSplit/>
        </w:trPr>
        <w:tc>
          <w:tcPr>
            <w:tcW w:w="2523" w:type="dxa"/>
            <w:shd w:val="clear" w:color="auto" w:fill="E0E0E0"/>
          </w:tcPr>
          <w:p w14:paraId="454E60CD" w14:textId="77777777" w:rsidR="00DF249A" w:rsidRPr="00D82AF7" w:rsidRDefault="005A09AC" w:rsidP="005371E9">
            <w:pPr>
              <w:pStyle w:val="TableData"/>
            </w:pPr>
            <w:r w:rsidRPr="00D82AF7">
              <w:t>Restoration</w:t>
            </w:r>
            <w:r w:rsidR="00DF249A" w:rsidRPr="00D82AF7">
              <w:t xml:space="preserve"> service level</w:t>
            </w:r>
          </w:p>
        </w:tc>
        <w:tc>
          <w:tcPr>
            <w:tcW w:w="5980" w:type="dxa"/>
            <w:shd w:val="clear" w:color="auto" w:fill="E0E0E0"/>
          </w:tcPr>
          <w:p w14:paraId="6AE4626D" w14:textId="77777777" w:rsidR="00DF249A" w:rsidRPr="00D14611" w:rsidRDefault="00DF249A" w:rsidP="005371E9">
            <w:pPr>
              <w:pStyle w:val="TableData"/>
            </w:pPr>
            <w:r w:rsidRPr="00D14611">
              <w:t>Rebate for affected product(s) or service(s)</w:t>
            </w:r>
          </w:p>
        </w:tc>
      </w:tr>
      <w:tr w:rsidR="00DF249A" w:rsidRPr="001A031B" w14:paraId="593293D5" w14:textId="77777777" w:rsidTr="001A031B">
        <w:trPr>
          <w:cantSplit/>
        </w:trPr>
        <w:tc>
          <w:tcPr>
            <w:tcW w:w="2523" w:type="dxa"/>
          </w:tcPr>
          <w:p w14:paraId="72F7AD03" w14:textId="77777777" w:rsidR="00DF249A" w:rsidRPr="00D82AF7" w:rsidRDefault="00DF249A" w:rsidP="005371E9">
            <w:pPr>
              <w:pStyle w:val="TableData"/>
            </w:pPr>
            <w:r w:rsidRPr="00D82AF7">
              <w:t>Standard restoration service level</w:t>
            </w:r>
          </w:p>
        </w:tc>
        <w:tc>
          <w:tcPr>
            <w:tcW w:w="5980" w:type="dxa"/>
          </w:tcPr>
          <w:p w14:paraId="22B54BEB" w14:textId="7BCF60D9" w:rsidR="00DF249A" w:rsidRPr="00FC0A0A" w:rsidRDefault="00345F05" w:rsidP="001A031B">
            <w:pPr>
              <w:pStyle w:val="TableData"/>
              <w:numPr>
                <w:ilvl w:val="0"/>
                <w:numId w:val="5"/>
              </w:numPr>
            </w:pPr>
            <w:proofErr w:type="spellStart"/>
            <w:r w:rsidRPr="001A031B">
              <w:rPr>
                <w:b w:val="0"/>
              </w:rPr>
              <w:t>ForLarge</w:t>
            </w:r>
            <w:proofErr w:type="spellEnd"/>
            <w:r w:rsidRPr="001A031B">
              <w:rPr>
                <w:b w:val="0"/>
              </w:rPr>
              <w:t xml:space="preserve"> Megabit Bearer services, 5% of your monthly access fee per complete hour beyond the restoration time and capped at 100% of your monthly access fee per month</w:t>
            </w:r>
          </w:p>
          <w:p w14:paraId="202E4BB7" w14:textId="3209CB9F" w:rsidR="00FC0A0A" w:rsidRDefault="00296804" w:rsidP="00FC0A0A">
            <w:pPr>
              <w:pStyle w:val="TableData"/>
              <w:numPr>
                <w:ilvl w:val="0"/>
                <w:numId w:val="5"/>
              </w:numPr>
              <w:rPr>
                <w:b w:val="0"/>
              </w:rPr>
            </w:pPr>
            <w:r>
              <w:rPr>
                <w:b w:val="0"/>
              </w:rPr>
              <w:t>For M</w:t>
            </w:r>
            <w:r w:rsidR="00FC0A0A">
              <w:rPr>
                <w:b w:val="0"/>
              </w:rPr>
              <w:t>DN service</w:t>
            </w:r>
            <w:r w:rsidR="0077424D">
              <w:rPr>
                <w:b w:val="0"/>
              </w:rPr>
              <w:t>,</w:t>
            </w:r>
            <w:r w:rsidR="00FC0A0A">
              <w:rPr>
                <w:b w:val="0"/>
              </w:rPr>
              <w:t xml:space="preserve"> 20% of your access</w:t>
            </w:r>
            <w:r w:rsidR="0077424D">
              <w:rPr>
                <w:b w:val="0"/>
              </w:rPr>
              <w:t xml:space="preserve"> service</w:t>
            </w:r>
            <w:r w:rsidR="00FC0A0A">
              <w:rPr>
                <w:b w:val="0"/>
              </w:rPr>
              <w:t xml:space="preserve"> fee or </w:t>
            </w:r>
            <w:r w:rsidR="00BB569A">
              <w:rPr>
                <w:b w:val="0"/>
              </w:rPr>
              <w:t>monthly service tier charge/monthly service charge (as applicable)</w:t>
            </w:r>
            <w:r w:rsidR="00FC0A0A">
              <w:rPr>
                <w:b w:val="0"/>
              </w:rPr>
              <w:t xml:space="preserve"> per complete hour beyond the restoration time and capped at 100% of your monthly access or monthly management fee per month</w:t>
            </w:r>
            <w:r w:rsidR="0077424D">
              <w:rPr>
                <w:b w:val="0"/>
              </w:rPr>
              <w:t xml:space="preserve"> (whichever is applicable)</w:t>
            </w:r>
            <w:r w:rsidR="00FC0A0A">
              <w:rPr>
                <w:b w:val="0"/>
              </w:rPr>
              <w:t>.</w:t>
            </w:r>
          </w:p>
          <w:p w14:paraId="2B1B810D" w14:textId="0933C473" w:rsidR="00345F05" w:rsidRPr="00D82AF7" w:rsidRDefault="00345F05" w:rsidP="00E528F2">
            <w:pPr>
              <w:pStyle w:val="TableData"/>
              <w:numPr>
                <w:ilvl w:val="0"/>
                <w:numId w:val="5"/>
              </w:numPr>
            </w:pPr>
            <w:r w:rsidRPr="001A031B">
              <w:rPr>
                <w:b w:val="0"/>
              </w:rPr>
              <w:t>For all other services</w:t>
            </w:r>
            <w:r w:rsidR="00645C3E">
              <w:rPr>
                <w:b w:val="0"/>
              </w:rPr>
              <w:t xml:space="preserve"> (excluding </w:t>
            </w:r>
            <w:r w:rsidR="005423EF">
              <w:rPr>
                <w:b w:val="0"/>
              </w:rPr>
              <w:t xml:space="preserve">Telstra ADSL </w:t>
            </w:r>
            <w:r w:rsidR="00645C3E">
              <w:rPr>
                <w:b w:val="0"/>
              </w:rPr>
              <w:t>Business Broadband</w:t>
            </w:r>
            <w:r w:rsidR="005423EF">
              <w:rPr>
                <w:b w:val="0"/>
              </w:rPr>
              <w:t xml:space="preserve">, Telstra Business Broadband </w:t>
            </w:r>
            <w:r w:rsidR="00D50B16">
              <w:rPr>
                <w:b w:val="0"/>
              </w:rPr>
              <w:t xml:space="preserve">on </w:t>
            </w:r>
            <w:proofErr w:type="spellStart"/>
            <w:r w:rsidR="00385F77">
              <w:rPr>
                <w:b w:val="0"/>
              </w:rPr>
              <w:t>nbn</w:t>
            </w:r>
            <w:proofErr w:type="spellEnd"/>
            <w:r w:rsidR="00385F77">
              <w:rPr>
                <w:b w:val="0"/>
              </w:rPr>
              <w:t>™</w:t>
            </w:r>
            <w:r w:rsidR="005423EF">
              <w:rPr>
                <w:b w:val="0"/>
              </w:rPr>
              <w:t xml:space="preserve">, Telstra Business Broadband </w:t>
            </w:r>
            <w:r w:rsidR="00D50B16">
              <w:rPr>
                <w:b w:val="0"/>
              </w:rPr>
              <w:t xml:space="preserve">on </w:t>
            </w:r>
            <w:proofErr w:type="spellStart"/>
            <w:r w:rsidR="00385F77">
              <w:rPr>
                <w:b w:val="0"/>
              </w:rPr>
              <w:t>nbn</w:t>
            </w:r>
            <w:proofErr w:type="spellEnd"/>
            <w:r w:rsidR="00385F77">
              <w:rPr>
                <w:b w:val="0"/>
              </w:rPr>
              <w:t>™</w:t>
            </w:r>
            <w:r w:rsidR="005423EF">
              <w:rPr>
                <w:b w:val="0"/>
              </w:rPr>
              <w:t xml:space="preserve"> </w:t>
            </w:r>
            <w:r w:rsidR="00415266">
              <w:rPr>
                <w:b w:val="0"/>
              </w:rPr>
              <w:t>Premium Connectivity Packages</w:t>
            </w:r>
            <w:r w:rsidR="00D01CB5">
              <w:rPr>
                <w:b w:val="0"/>
              </w:rPr>
              <w:t xml:space="preserve"> and TWS if you purchased TWS after 30 May 2014</w:t>
            </w:r>
            <w:r w:rsidR="00645C3E">
              <w:rPr>
                <w:b w:val="0"/>
              </w:rPr>
              <w:t>)</w:t>
            </w:r>
            <w:r w:rsidRPr="001A031B">
              <w:rPr>
                <w:b w:val="0"/>
              </w:rPr>
              <w:t xml:space="preserve">, 20% </w:t>
            </w:r>
            <w:r w:rsidR="0007697A" w:rsidRPr="001A031B">
              <w:rPr>
                <w:b w:val="0"/>
              </w:rPr>
              <w:t xml:space="preserve">of </w:t>
            </w:r>
            <w:r w:rsidRPr="001A031B">
              <w:rPr>
                <w:b w:val="0"/>
              </w:rPr>
              <w:t>your monthly access fee per complete hour beyond the restoration time and capped at 100% of your monthly access fee per month</w:t>
            </w:r>
          </w:p>
        </w:tc>
      </w:tr>
      <w:tr w:rsidR="00DF249A" w:rsidRPr="001A031B" w14:paraId="75DBCA62" w14:textId="77777777" w:rsidTr="001A031B">
        <w:trPr>
          <w:cantSplit/>
        </w:trPr>
        <w:tc>
          <w:tcPr>
            <w:tcW w:w="2523" w:type="dxa"/>
          </w:tcPr>
          <w:p w14:paraId="045E307E" w14:textId="77777777" w:rsidR="00DF249A" w:rsidRPr="00D82AF7" w:rsidRDefault="00E42069" w:rsidP="005371E9">
            <w:pPr>
              <w:pStyle w:val="TableData"/>
            </w:pPr>
            <w:r>
              <w:t>SLA Premium</w:t>
            </w:r>
            <w:r w:rsidR="00224E17" w:rsidRPr="00D82AF7">
              <w:t xml:space="preserve"> </w:t>
            </w:r>
            <w:r w:rsidR="00977185" w:rsidRPr="00D82AF7">
              <w:t>service level</w:t>
            </w:r>
          </w:p>
        </w:tc>
        <w:tc>
          <w:tcPr>
            <w:tcW w:w="5980" w:type="dxa"/>
          </w:tcPr>
          <w:p w14:paraId="6DE0309C" w14:textId="77777777" w:rsidR="00C641F8" w:rsidRDefault="00C641F8" w:rsidP="00C641F8">
            <w:pPr>
              <w:pStyle w:val="TableData"/>
              <w:numPr>
                <w:ilvl w:val="0"/>
                <w:numId w:val="5"/>
              </w:numPr>
              <w:rPr>
                <w:b w:val="0"/>
              </w:rPr>
            </w:pPr>
            <w:r>
              <w:rPr>
                <w:b w:val="0"/>
              </w:rPr>
              <w:t>For MDN service, 20% of your access</w:t>
            </w:r>
            <w:r w:rsidR="0077424D">
              <w:rPr>
                <w:b w:val="0"/>
              </w:rPr>
              <w:t xml:space="preserve"> service</w:t>
            </w:r>
            <w:r>
              <w:rPr>
                <w:b w:val="0"/>
              </w:rPr>
              <w:t xml:space="preserve"> fee or monthly management fee per complete hour beyond the restoration time and capped at 100% of your monthly access </w:t>
            </w:r>
            <w:r w:rsidR="0077424D">
              <w:rPr>
                <w:b w:val="0"/>
              </w:rPr>
              <w:t xml:space="preserve">service </w:t>
            </w:r>
            <w:r>
              <w:rPr>
                <w:b w:val="0"/>
              </w:rPr>
              <w:t xml:space="preserve">or monthly </w:t>
            </w:r>
            <w:r w:rsidR="00BB569A">
              <w:rPr>
                <w:b w:val="0"/>
              </w:rPr>
              <w:t xml:space="preserve">service tier charge/monthly service charge (as applicable) </w:t>
            </w:r>
            <w:r>
              <w:rPr>
                <w:b w:val="0"/>
              </w:rPr>
              <w:t>fee per month</w:t>
            </w:r>
            <w:r w:rsidR="0077424D">
              <w:rPr>
                <w:b w:val="0"/>
              </w:rPr>
              <w:t xml:space="preserve"> (whichever is applicable) PLUS</w:t>
            </w:r>
            <w:r>
              <w:t xml:space="preserve"> </w:t>
            </w:r>
            <w:r w:rsidRPr="0077424D">
              <w:rPr>
                <w:b w:val="0"/>
              </w:rPr>
              <w:t>50% of the annual charge you pay for your S</w:t>
            </w:r>
            <w:r w:rsidR="00B8610D">
              <w:rPr>
                <w:b w:val="0"/>
              </w:rPr>
              <w:t>LA</w:t>
            </w:r>
            <w:r w:rsidRPr="0077424D">
              <w:rPr>
                <w:b w:val="0"/>
              </w:rPr>
              <w:t xml:space="preserve"> Premium service level, capped at 100% of your annual calendar year charge for your S</w:t>
            </w:r>
            <w:r w:rsidR="00B8610D">
              <w:rPr>
                <w:b w:val="0"/>
              </w:rPr>
              <w:t xml:space="preserve">LA </w:t>
            </w:r>
            <w:r w:rsidRPr="0077424D">
              <w:rPr>
                <w:b w:val="0"/>
              </w:rPr>
              <w:t>Premium service level.</w:t>
            </w:r>
          </w:p>
          <w:p w14:paraId="71D0E486" w14:textId="77FBE059" w:rsidR="0007697A" w:rsidRPr="0006382F" w:rsidRDefault="0007697A" w:rsidP="0006382F">
            <w:pPr>
              <w:pStyle w:val="TableData"/>
              <w:numPr>
                <w:ilvl w:val="0"/>
                <w:numId w:val="5"/>
              </w:numPr>
              <w:rPr>
                <w:b w:val="0"/>
              </w:rPr>
            </w:pPr>
            <w:r w:rsidRPr="00FB136E">
              <w:rPr>
                <w:b w:val="0"/>
              </w:rPr>
              <w:t>For all other services</w:t>
            </w:r>
            <w:r w:rsidR="00D01CB5">
              <w:rPr>
                <w:b w:val="0"/>
              </w:rPr>
              <w:t xml:space="preserve"> whether on Telstra’s network or the </w:t>
            </w:r>
            <w:proofErr w:type="spellStart"/>
            <w:r w:rsidR="006B2D4B" w:rsidRPr="008767BC">
              <w:t>nbn</w:t>
            </w:r>
            <w:r w:rsidR="006B2D4B" w:rsidRPr="008767BC">
              <w:rPr>
                <w:b w:val="0"/>
                <w:vertAlign w:val="superscript"/>
              </w:rPr>
              <w:t>TM</w:t>
            </w:r>
            <w:proofErr w:type="spellEnd"/>
            <w:r w:rsidR="00D01CB5">
              <w:rPr>
                <w:b w:val="0"/>
              </w:rPr>
              <w:t xml:space="preserve"> (excluding TWS if you purchased TWS after 30 May 2014)</w:t>
            </w:r>
            <w:r w:rsidRPr="00FB136E">
              <w:rPr>
                <w:b w:val="0"/>
              </w:rPr>
              <w:t xml:space="preserve">, 20% of your monthly access fee per complete hour beyond the  restoration time, capped at 100% of your monthly access fee per month PLUS 50% of the annual charge </w:t>
            </w:r>
            <w:r w:rsidR="00F4502F" w:rsidRPr="00FB136E">
              <w:rPr>
                <w:b w:val="0"/>
              </w:rPr>
              <w:t xml:space="preserve">you pay for </w:t>
            </w:r>
            <w:r w:rsidRPr="00FB136E">
              <w:rPr>
                <w:b w:val="0"/>
              </w:rPr>
              <w:t xml:space="preserve">your </w:t>
            </w:r>
            <w:r w:rsidR="00E42069">
              <w:rPr>
                <w:b w:val="0"/>
              </w:rPr>
              <w:t>SLA Premium</w:t>
            </w:r>
            <w:r w:rsidR="00927CD2" w:rsidRPr="00FB136E">
              <w:rPr>
                <w:b w:val="0"/>
              </w:rPr>
              <w:t xml:space="preserve"> </w:t>
            </w:r>
            <w:r w:rsidRPr="00FB136E">
              <w:rPr>
                <w:b w:val="0"/>
              </w:rPr>
              <w:t xml:space="preserve">service level, capped at 100% of your annual charge for your </w:t>
            </w:r>
            <w:r w:rsidR="00E42069">
              <w:rPr>
                <w:b w:val="0"/>
              </w:rPr>
              <w:t>SLA Premium</w:t>
            </w:r>
            <w:r w:rsidRPr="00FB136E">
              <w:rPr>
                <w:b w:val="0"/>
              </w:rPr>
              <w:t xml:space="preserve"> service level for all faults</w:t>
            </w:r>
          </w:p>
        </w:tc>
      </w:tr>
    </w:tbl>
    <w:p w14:paraId="0BF00C6A" w14:textId="77777777" w:rsidR="00F10D7D" w:rsidRPr="00D82AF7" w:rsidRDefault="00F10D7D" w:rsidP="00F10D7D">
      <w:pPr>
        <w:pStyle w:val="Heading2"/>
        <w:numPr>
          <w:ilvl w:val="0"/>
          <w:numId w:val="0"/>
        </w:numPr>
        <w:rPr>
          <w:b/>
        </w:rPr>
      </w:pPr>
    </w:p>
    <w:p w14:paraId="1318E6E6" w14:textId="77777777" w:rsidR="005A6BE4" w:rsidRPr="00D82AF7" w:rsidRDefault="007A7869" w:rsidP="003C6215">
      <w:pPr>
        <w:pStyle w:val="Heading2"/>
      </w:pPr>
      <w:r w:rsidRPr="00D82AF7">
        <w:t xml:space="preserve">Once we have accepted your application for a rebate, we </w:t>
      </w:r>
      <w:r w:rsidR="005A6BE4" w:rsidRPr="00D82AF7">
        <w:t xml:space="preserve">will </w:t>
      </w:r>
      <w:r w:rsidR="00822CF7" w:rsidRPr="00D82AF7">
        <w:t>apply</w:t>
      </w:r>
      <w:r w:rsidR="005A6BE4" w:rsidRPr="00D82AF7">
        <w:t xml:space="preserve"> a credit </w:t>
      </w:r>
      <w:r w:rsidR="00822CF7" w:rsidRPr="00D82AF7">
        <w:t xml:space="preserve">to </w:t>
      </w:r>
      <w:r w:rsidR="00CD2F06" w:rsidRPr="00D82AF7">
        <w:t>one</w:t>
      </w:r>
      <w:r w:rsidRPr="00D82AF7">
        <w:t xml:space="preserve"> of your next two bills</w:t>
      </w:r>
      <w:r w:rsidR="005A6BE4" w:rsidRPr="00D82AF7">
        <w:t>.</w:t>
      </w:r>
    </w:p>
    <w:p w14:paraId="3D5EB55C" w14:textId="77777777" w:rsidR="00954CE2" w:rsidRPr="00D82AF7" w:rsidRDefault="00585C3B" w:rsidP="003C6215">
      <w:pPr>
        <w:pStyle w:val="Heading2"/>
      </w:pPr>
      <w:r w:rsidRPr="00D82AF7">
        <w:t>The monthly fee applicable in calculating the cap for a month is the monthly fee for the month in which we failed to meet the service level.</w:t>
      </w:r>
    </w:p>
    <w:p w14:paraId="75605FEA" w14:textId="77777777" w:rsidR="006C662E" w:rsidRPr="00D82AF7" w:rsidRDefault="006C662E" w:rsidP="003C6215">
      <w:pPr>
        <w:pStyle w:val="Heading2"/>
      </w:pPr>
      <w:r w:rsidRPr="00D82AF7">
        <w:t xml:space="preserve">The applicable rebate above is your sole remedy for us </w:t>
      </w:r>
      <w:r w:rsidR="00A741DA" w:rsidRPr="00D82AF7">
        <w:t>failing to meet</w:t>
      </w:r>
      <w:r w:rsidRPr="00D82AF7">
        <w:t xml:space="preserve"> the applicable service level.</w:t>
      </w:r>
    </w:p>
    <w:p w14:paraId="0D4C7784" w14:textId="21FE3E5B" w:rsidR="009A0F91" w:rsidRPr="00D82AF7" w:rsidRDefault="003717C8" w:rsidP="003717C8">
      <w:pPr>
        <w:pStyle w:val="Indent1"/>
      </w:pPr>
      <w:bookmarkStart w:id="22" w:name="_Toc208576777"/>
      <w:r w:rsidRPr="00D82AF7">
        <w:t>Faults caused by you</w:t>
      </w:r>
      <w:bookmarkEnd w:id="22"/>
    </w:p>
    <w:p w14:paraId="4991BED2" w14:textId="77777777" w:rsidR="003717C8" w:rsidRPr="00D82AF7" w:rsidRDefault="003717C8" w:rsidP="003717C8">
      <w:pPr>
        <w:pStyle w:val="Heading2"/>
      </w:pPr>
      <w:r w:rsidRPr="00D82AF7">
        <w:t>If you ask us to restore your product or service and you have caused the fault</w:t>
      </w:r>
      <w:r w:rsidR="00B63C6F" w:rsidRPr="00D82AF7">
        <w:t xml:space="preserve"> </w:t>
      </w:r>
      <w:r w:rsidRPr="00D82AF7">
        <w:t xml:space="preserve">(or the fault is caused by someone using your product or service) we may charge you our reasonable costs incurred in identifying, examining and rectifying those faults. </w:t>
      </w:r>
    </w:p>
    <w:p w14:paraId="77525D25" w14:textId="36FDF207" w:rsidR="000750AB" w:rsidRPr="00D82AF7" w:rsidRDefault="000750AB" w:rsidP="000750AB">
      <w:pPr>
        <w:pStyle w:val="Heading1"/>
      </w:pPr>
      <w:bookmarkStart w:id="23" w:name="_Toc208576778"/>
      <w:r w:rsidRPr="00D82AF7">
        <w:lastRenderedPageBreak/>
        <w:t>Restoration service level table</w:t>
      </w:r>
      <w:bookmarkEnd w:id="23"/>
    </w:p>
    <w:p w14:paraId="2DCC52FF" w14:textId="77777777" w:rsidR="0075704A" w:rsidRDefault="0075704A" w:rsidP="0075704A">
      <w:pPr>
        <w:pStyle w:val="Heading2"/>
      </w:pPr>
      <w:r w:rsidRPr="00D82AF7">
        <w:t>If you acquire a</w:t>
      </w:r>
      <w:r>
        <w:t>n eligible product together with an eligible access service</w:t>
      </w:r>
      <w:r w:rsidRPr="00D82AF7">
        <w:t xml:space="preserve"> </w:t>
      </w:r>
      <w:r w:rsidR="00D01CB5">
        <w:t xml:space="preserve">as listed in the tables </w:t>
      </w:r>
      <w:proofErr w:type="gramStart"/>
      <w:r w:rsidR="00D01CB5">
        <w:t>below</w:t>
      </w:r>
      <w:proofErr w:type="gramEnd"/>
      <w:r w:rsidR="00D01CB5">
        <w:t xml:space="preserve"> </w:t>
      </w:r>
      <w:r w:rsidRPr="00D82AF7">
        <w:t xml:space="preserve">then </w:t>
      </w:r>
      <w:r>
        <w:t>you may apply for</w:t>
      </w:r>
      <w:r w:rsidRPr="00D82AF7">
        <w:t xml:space="preserve"> an end-to-end </w:t>
      </w:r>
      <w:r>
        <w:t>SLA Premium</w:t>
      </w:r>
      <w:r w:rsidRPr="00D82AF7">
        <w:t xml:space="preserve"> service level for both the </w:t>
      </w:r>
      <w:r>
        <w:t xml:space="preserve">eligible product </w:t>
      </w:r>
      <w:r w:rsidRPr="00D82AF7">
        <w:t>and the underlying access service</w:t>
      </w:r>
      <w:r>
        <w:t xml:space="preserve"> which form the solution</w:t>
      </w:r>
      <w:r w:rsidRPr="00D82AF7">
        <w:t>.</w:t>
      </w:r>
    </w:p>
    <w:p w14:paraId="1298D289" w14:textId="77777777" w:rsidR="0075704A" w:rsidRDefault="0075704A" w:rsidP="0075704A">
      <w:pPr>
        <w:pStyle w:val="Heading2"/>
      </w:pPr>
      <w:r w:rsidRPr="00CA7E05">
        <w:t xml:space="preserve">If you have selected Managed Data Networks as your eligible product, you will not be eligible for a selected SLA Premium service level unless your selected Managed Data Networks equipment maintenance restoration service level as described in the Managed Data Networks section of Our Customer Terms has an equal to or better restoration time as access service level you have selected under the SLA Premium.  </w:t>
      </w:r>
    </w:p>
    <w:p w14:paraId="0BD199B4" w14:textId="77777777" w:rsidR="00D01CB5" w:rsidRDefault="00D01CB5" w:rsidP="00D01CB5">
      <w:pPr>
        <w:pStyle w:val="Heading2"/>
      </w:pPr>
      <w:r>
        <w:t xml:space="preserve">If you have a </w:t>
      </w:r>
      <w:r w:rsidRPr="002825ED">
        <w:t>Fully Redundant service, if redundancy only is lost, the standard restoration target to restore redundancy is Business Plus.</w:t>
      </w:r>
    </w:p>
    <w:p w14:paraId="03025042" w14:textId="565A5071" w:rsidR="00D01CB5" w:rsidRPr="00D82AF7" w:rsidRDefault="00D01CB5" w:rsidP="00D01CB5">
      <w:pPr>
        <w:pStyle w:val="Heading2"/>
      </w:pPr>
      <w:r>
        <w:t>If you acquired your SLA Premium service on and from 30 May 2014, t</w:t>
      </w:r>
      <w:r w:rsidRPr="00D82AF7">
        <w:t xml:space="preserve">he table below sets out the </w:t>
      </w:r>
      <w:r>
        <w:t>Standard Restoration and SLA Premium</w:t>
      </w:r>
      <w:r w:rsidRPr="00D82AF7">
        <w:t xml:space="preserve"> service levels</w:t>
      </w:r>
      <w:r>
        <w:t xml:space="preserve"> for Telstra </w:t>
      </w:r>
      <w:r w:rsidR="006A5ABB">
        <w:t>products</w:t>
      </w:r>
      <w:r>
        <w:t xml:space="preserve"> excluding Telstra </w:t>
      </w:r>
      <w:r w:rsidR="006A5ABB">
        <w:t>products</w:t>
      </w:r>
      <w:r>
        <w:t xml:space="preserve"> on </w:t>
      </w:r>
      <w:proofErr w:type="spellStart"/>
      <w:r w:rsidR="006A5ABB" w:rsidRPr="008767BC">
        <w:rPr>
          <w:b/>
        </w:rPr>
        <w:t>nbn</w:t>
      </w:r>
      <w:r w:rsidR="006A5ABB" w:rsidRPr="008767BC">
        <w:rPr>
          <w:vertAlign w:val="superscript"/>
        </w:rPr>
        <w:t>TM</w:t>
      </w:r>
      <w:proofErr w:type="spellEnd"/>
      <w:r w:rsidRPr="00D82AF7">
        <w:rPr>
          <w:b/>
        </w:rPr>
        <w:t>:</w:t>
      </w:r>
    </w:p>
    <w:p w14:paraId="0ACD9A7E" w14:textId="77777777" w:rsidR="00CA7E05" w:rsidRPr="00D82AF7" w:rsidRDefault="00CA7E05" w:rsidP="00977185">
      <w:pPr>
        <w:pStyle w:val="Heading2"/>
        <w:numPr>
          <w:ilvl w:val="0"/>
          <w:numId w:val="0"/>
        </w:numPr>
      </w:pPr>
    </w:p>
    <w:p w14:paraId="0CAC9531" w14:textId="77777777" w:rsidR="00124002" w:rsidRPr="00D82AF7" w:rsidRDefault="00124002" w:rsidP="00124002">
      <w:pPr>
        <w:pStyle w:val="Heading2"/>
        <w:numPr>
          <w:ilvl w:val="0"/>
          <w:numId w:val="0"/>
        </w:numPr>
        <w:sectPr w:rsidR="00124002" w:rsidRPr="00D82AF7" w:rsidSect="00051267">
          <w:pgSz w:w="11907" w:h="16840" w:code="9"/>
          <w:pgMar w:top="1134" w:right="1559" w:bottom="1418" w:left="1843" w:header="425" w:footer="567" w:gutter="0"/>
          <w:cols w:space="720"/>
        </w:sectPr>
      </w:pPr>
    </w:p>
    <w:p w14:paraId="53E432DC" w14:textId="59C64630" w:rsidR="00D01CB5" w:rsidRDefault="00A443D4" w:rsidP="00D01CB5">
      <w:pPr>
        <w:pStyle w:val="Heading2"/>
        <w:numPr>
          <w:ilvl w:val="0"/>
          <w:numId w:val="0"/>
        </w:numPr>
      </w:pPr>
      <w:r w:rsidRPr="00A443D4">
        <w:rPr>
          <w:noProof/>
        </w:rPr>
        <w:lastRenderedPageBreak/>
        <w:drawing>
          <wp:inline distT="0" distB="0" distL="0" distR="0" wp14:anchorId="7D28F19F" wp14:editId="5C531070">
            <wp:extent cx="6593527" cy="5922099"/>
            <wp:effectExtent l="0" t="0" r="0" b="2540"/>
            <wp:docPr id="5" name="Picture 5" descr="Standard Restoration, SLA Premium and Telstra Provisioning Commitment section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ndard Restoration, SLA Premium and Telstra Provisioning Commitment section Tabl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12720" cy="5939337"/>
                    </a:xfrm>
                    <a:prstGeom prst="rect">
                      <a:avLst/>
                    </a:prstGeom>
                    <a:noFill/>
                    <a:ln>
                      <a:noFill/>
                    </a:ln>
                  </pic:spPr>
                </pic:pic>
              </a:graphicData>
            </a:graphic>
          </wp:inline>
        </w:drawing>
      </w:r>
    </w:p>
    <w:p w14:paraId="13DE6BAF" w14:textId="77777777" w:rsidR="00DF5B06" w:rsidRDefault="00DF5B06" w:rsidP="00D01CB5">
      <w:pPr>
        <w:pStyle w:val="Heading2"/>
        <w:numPr>
          <w:ilvl w:val="0"/>
          <w:numId w:val="0"/>
        </w:numPr>
      </w:pPr>
    </w:p>
    <w:tbl>
      <w:tblPr>
        <w:tblStyle w:val="TableGrid"/>
        <w:tblW w:w="0" w:type="auto"/>
        <w:tblLook w:val="04A0" w:firstRow="1" w:lastRow="0" w:firstColumn="1" w:lastColumn="0" w:noHBand="0" w:noVBand="1"/>
      </w:tblPr>
      <w:tblGrid>
        <w:gridCol w:w="1838"/>
        <w:gridCol w:w="2835"/>
        <w:gridCol w:w="1461"/>
        <w:gridCol w:w="2036"/>
        <w:gridCol w:w="2036"/>
        <w:gridCol w:w="2036"/>
        <w:gridCol w:w="2036"/>
      </w:tblGrid>
      <w:tr w:rsidR="00897159" w:rsidRPr="00392E05" w14:paraId="0EEAFDE7" w14:textId="77777777" w:rsidTr="00392E05">
        <w:tc>
          <w:tcPr>
            <w:tcW w:w="4673" w:type="dxa"/>
            <w:gridSpan w:val="2"/>
            <w:shd w:val="clear" w:color="auto" w:fill="FFFFFF" w:themeFill="background1"/>
          </w:tcPr>
          <w:p w14:paraId="2A325D5E" w14:textId="77777777" w:rsidR="00DF5B06" w:rsidRPr="00897159" w:rsidRDefault="00DF5B06" w:rsidP="00DF5B06">
            <w:pPr>
              <w:pStyle w:val="Heading2"/>
              <w:numPr>
                <w:ilvl w:val="0"/>
                <w:numId w:val="0"/>
              </w:numPr>
              <w:rPr>
                <w:rFonts w:asciiTheme="minorHAnsi" w:hAnsiTheme="minorHAnsi" w:cstheme="minorHAnsi"/>
                <w:sz w:val="12"/>
                <w:szCs w:val="12"/>
              </w:rPr>
            </w:pPr>
          </w:p>
        </w:tc>
        <w:tc>
          <w:tcPr>
            <w:tcW w:w="1461" w:type="dxa"/>
            <w:shd w:val="clear" w:color="auto" w:fill="FFFFFF" w:themeFill="background1"/>
          </w:tcPr>
          <w:p w14:paraId="6934A787" w14:textId="5446533D" w:rsidR="00DF5B06" w:rsidRPr="00897159" w:rsidRDefault="00DF5B06" w:rsidP="00DF5B06">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End of Next Business Day</w:t>
            </w:r>
          </w:p>
        </w:tc>
        <w:tc>
          <w:tcPr>
            <w:tcW w:w="2036" w:type="dxa"/>
            <w:shd w:val="clear" w:color="auto" w:fill="FFFFFF" w:themeFill="background1"/>
          </w:tcPr>
          <w:p w14:paraId="240BD1B8" w14:textId="28F438DB" w:rsidR="00DF5B06" w:rsidRPr="00897159" w:rsidRDefault="00DF5B06" w:rsidP="00DF5B06">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Extended Business Hours</w:t>
            </w:r>
          </w:p>
        </w:tc>
        <w:tc>
          <w:tcPr>
            <w:tcW w:w="2036" w:type="dxa"/>
            <w:shd w:val="clear" w:color="auto" w:fill="FFFFFF" w:themeFill="background1"/>
          </w:tcPr>
          <w:p w14:paraId="747933FE" w14:textId="3C360067" w:rsidR="00DF5B06" w:rsidRPr="00897159" w:rsidRDefault="00DF5B06" w:rsidP="00DF5B06">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Business Plus</w:t>
            </w:r>
          </w:p>
        </w:tc>
        <w:tc>
          <w:tcPr>
            <w:tcW w:w="2036" w:type="dxa"/>
            <w:shd w:val="clear" w:color="auto" w:fill="FFFFFF" w:themeFill="background1"/>
          </w:tcPr>
          <w:p w14:paraId="68CC814B" w14:textId="6BEF1DB4" w:rsidR="00DF5B06" w:rsidRPr="00897159" w:rsidRDefault="00DF5B06" w:rsidP="00DF5B06">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Express 4</w:t>
            </w:r>
          </w:p>
        </w:tc>
        <w:tc>
          <w:tcPr>
            <w:tcW w:w="2036" w:type="dxa"/>
            <w:shd w:val="clear" w:color="auto" w:fill="FFFFFF" w:themeFill="background1"/>
          </w:tcPr>
          <w:p w14:paraId="08891B5A" w14:textId="4F53697E" w:rsidR="00DF5B06" w:rsidRPr="00897159" w:rsidRDefault="00DF5B06" w:rsidP="00DF5B06">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Express 4 Plus</w:t>
            </w:r>
          </w:p>
        </w:tc>
      </w:tr>
      <w:tr w:rsidR="00897159" w:rsidRPr="00392E05" w14:paraId="09E3F3E8" w14:textId="77777777" w:rsidTr="002525C7">
        <w:tc>
          <w:tcPr>
            <w:tcW w:w="1838" w:type="dxa"/>
            <w:shd w:val="clear" w:color="auto" w:fill="FFFFFF" w:themeFill="background1"/>
          </w:tcPr>
          <w:p w14:paraId="681B2EDA" w14:textId="77777777" w:rsidR="00392E05" w:rsidRPr="00897159" w:rsidRDefault="00392E05" w:rsidP="00392E05">
            <w:pPr>
              <w:pStyle w:val="Heading2"/>
              <w:numPr>
                <w:ilvl w:val="0"/>
                <w:numId w:val="0"/>
              </w:numPr>
              <w:rPr>
                <w:rFonts w:asciiTheme="minorHAnsi" w:hAnsiTheme="minorHAnsi" w:cstheme="minorHAnsi"/>
                <w:sz w:val="12"/>
                <w:szCs w:val="12"/>
              </w:rPr>
            </w:pPr>
          </w:p>
        </w:tc>
        <w:tc>
          <w:tcPr>
            <w:tcW w:w="2835" w:type="dxa"/>
            <w:shd w:val="clear" w:color="auto" w:fill="FFFFFF" w:themeFill="background1"/>
          </w:tcPr>
          <w:p w14:paraId="75E15A47" w14:textId="04D212F9"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Coverage period</w:t>
            </w:r>
          </w:p>
        </w:tc>
        <w:tc>
          <w:tcPr>
            <w:tcW w:w="1461" w:type="dxa"/>
            <w:shd w:val="clear" w:color="auto" w:fill="FFFFFF" w:themeFill="background1"/>
          </w:tcPr>
          <w:p w14:paraId="61514403" w14:textId="5B90A833"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8am-5pm Mon-Fri</w:t>
            </w:r>
          </w:p>
        </w:tc>
        <w:tc>
          <w:tcPr>
            <w:tcW w:w="2036" w:type="dxa"/>
            <w:shd w:val="clear" w:color="auto" w:fill="FFFFFF" w:themeFill="background1"/>
          </w:tcPr>
          <w:p w14:paraId="05AB086D" w14:textId="57919640"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7am-9pm Mon-Sun</w:t>
            </w:r>
          </w:p>
        </w:tc>
        <w:tc>
          <w:tcPr>
            <w:tcW w:w="2036" w:type="dxa"/>
            <w:shd w:val="clear" w:color="auto" w:fill="FFFFFF" w:themeFill="background1"/>
          </w:tcPr>
          <w:p w14:paraId="0D6EEF34" w14:textId="073DFA68"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24x7</w:t>
            </w:r>
          </w:p>
        </w:tc>
        <w:tc>
          <w:tcPr>
            <w:tcW w:w="2036" w:type="dxa"/>
            <w:shd w:val="clear" w:color="auto" w:fill="FFFFFF" w:themeFill="background1"/>
          </w:tcPr>
          <w:p w14:paraId="73DB5ACE" w14:textId="6FBC237F"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7am-9pm Mon-Sun</w:t>
            </w:r>
          </w:p>
        </w:tc>
        <w:tc>
          <w:tcPr>
            <w:tcW w:w="2036" w:type="dxa"/>
            <w:shd w:val="clear" w:color="auto" w:fill="FFFFFF" w:themeFill="background1"/>
          </w:tcPr>
          <w:p w14:paraId="41378487" w14:textId="1FAAB66D"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24x7</w:t>
            </w:r>
          </w:p>
        </w:tc>
      </w:tr>
      <w:tr w:rsidR="00897159" w:rsidRPr="00392E05" w14:paraId="4E7C6D42" w14:textId="77777777" w:rsidTr="002525C7">
        <w:tc>
          <w:tcPr>
            <w:tcW w:w="1838" w:type="dxa"/>
            <w:shd w:val="clear" w:color="auto" w:fill="FFFFFF" w:themeFill="background1"/>
          </w:tcPr>
          <w:p w14:paraId="0910BBFD" w14:textId="77777777" w:rsidR="00392E05" w:rsidRPr="00897159" w:rsidRDefault="00392E05" w:rsidP="00392E05">
            <w:pPr>
              <w:pStyle w:val="Heading2"/>
              <w:numPr>
                <w:ilvl w:val="0"/>
                <w:numId w:val="0"/>
              </w:numPr>
              <w:rPr>
                <w:rFonts w:asciiTheme="minorHAnsi" w:hAnsiTheme="minorHAnsi" w:cstheme="minorHAnsi"/>
                <w:sz w:val="12"/>
                <w:szCs w:val="12"/>
              </w:rPr>
            </w:pPr>
          </w:p>
        </w:tc>
        <w:tc>
          <w:tcPr>
            <w:tcW w:w="2835" w:type="dxa"/>
            <w:shd w:val="clear" w:color="auto" w:fill="FFFFFF" w:themeFill="background1"/>
          </w:tcPr>
          <w:p w14:paraId="62088EEF" w14:textId="0A2E7CED"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Response Time within</w:t>
            </w:r>
          </w:p>
        </w:tc>
        <w:tc>
          <w:tcPr>
            <w:tcW w:w="1461" w:type="dxa"/>
            <w:shd w:val="clear" w:color="auto" w:fill="FFFFFF" w:themeFill="background1"/>
          </w:tcPr>
          <w:p w14:paraId="7D603F3C" w14:textId="7FF9530B"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8 hours</w:t>
            </w:r>
          </w:p>
        </w:tc>
        <w:tc>
          <w:tcPr>
            <w:tcW w:w="2036" w:type="dxa"/>
            <w:shd w:val="clear" w:color="auto" w:fill="FFFFFF" w:themeFill="background1"/>
          </w:tcPr>
          <w:p w14:paraId="7066EDE2" w14:textId="1AF3D07F"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120 mins</w:t>
            </w:r>
          </w:p>
        </w:tc>
        <w:tc>
          <w:tcPr>
            <w:tcW w:w="2036" w:type="dxa"/>
            <w:shd w:val="clear" w:color="auto" w:fill="FFFFFF" w:themeFill="background1"/>
          </w:tcPr>
          <w:p w14:paraId="37C0F881" w14:textId="16926996"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60 mins</w:t>
            </w:r>
          </w:p>
        </w:tc>
        <w:tc>
          <w:tcPr>
            <w:tcW w:w="4072" w:type="dxa"/>
            <w:gridSpan w:val="2"/>
            <w:shd w:val="clear" w:color="auto" w:fill="FFFFFF" w:themeFill="background1"/>
          </w:tcPr>
          <w:p w14:paraId="0086CD3E" w14:textId="00F61F5E"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30 mins</w:t>
            </w:r>
          </w:p>
        </w:tc>
      </w:tr>
      <w:tr w:rsidR="00897159" w:rsidRPr="00392E05" w14:paraId="226173F4" w14:textId="77777777" w:rsidTr="002525C7">
        <w:tc>
          <w:tcPr>
            <w:tcW w:w="1838" w:type="dxa"/>
            <w:shd w:val="clear" w:color="auto" w:fill="FFFFFF" w:themeFill="background1"/>
          </w:tcPr>
          <w:p w14:paraId="167868FC" w14:textId="77777777" w:rsidR="00392E05" w:rsidRPr="00897159" w:rsidRDefault="00392E05" w:rsidP="00392E05">
            <w:pPr>
              <w:pStyle w:val="Heading2"/>
              <w:numPr>
                <w:ilvl w:val="0"/>
                <w:numId w:val="0"/>
              </w:numPr>
              <w:rPr>
                <w:rFonts w:asciiTheme="minorHAnsi" w:hAnsiTheme="minorHAnsi" w:cstheme="minorHAnsi"/>
                <w:sz w:val="12"/>
                <w:szCs w:val="12"/>
              </w:rPr>
            </w:pPr>
          </w:p>
        </w:tc>
        <w:tc>
          <w:tcPr>
            <w:tcW w:w="2835" w:type="dxa"/>
            <w:shd w:val="clear" w:color="auto" w:fill="FFFFFF" w:themeFill="background1"/>
          </w:tcPr>
          <w:p w14:paraId="24605B46" w14:textId="347B58DB"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Urban, Rural or Remote Offsite Restoration Time</w:t>
            </w:r>
          </w:p>
        </w:tc>
        <w:tc>
          <w:tcPr>
            <w:tcW w:w="1461" w:type="dxa"/>
            <w:shd w:val="clear" w:color="auto" w:fill="FFFFFF" w:themeFill="background1"/>
          </w:tcPr>
          <w:p w14:paraId="1F9A4A19" w14:textId="50864BEC"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EONBD</w:t>
            </w:r>
          </w:p>
        </w:tc>
        <w:tc>
          <w:tcPr>
            <w:tcW w:w="4072" w:type="dxa"/>
            <w:gridSpan w:val="2"/>
            <w:shd w:val="clear" w:color="auto" w:fill="FFFFFF" w:themeFill="background1"/>
          </w:tcPr>
          <w:p w14:paraId="529F4329" w14:textId="7AD339DD"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12 hours</w:t>
            </w:r>
          </w:p>
        </w:tc>
        <w:tc>
          <w:tcPr>
            <w:tcW w:w="4072" w:type="dxa"/>
            <w:gridSpan w:val="2"/>
            <w:shd w:val="clear" w:color="auto" w:fill="FFFFFF" w:themeFill="background1"/>
          </w:tcPr>
          <w:p w14:paraId="336E1D29" w14:textId="7917EF95"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4 hours</w:t>
            </w:r>
          </w:p>
        </w:tc>
      </w:tr>
      <w:tr w:rsidR="00897159" w:rsidRPr="00392E05" w14:paraId="2FC3173C" w14:textId="77777777" w:rsidTr="002525C7">
        <w:tc>
          <w:tcPr>
            <w:tcW w:w="1838" w:type="dxa"/>
            <w:shd w:val="clear" w:color="auto" w:fill="FFFFFF" w:themeFill="background1"/>
          </w:tcPr>
          <w:p w14:paraId="0FAA2B1D" w14:textId="77777777" w:rsidR="00392E05" w:rsidRPr="00897159" w:rsidRDefault="00392E05" w:rsidP="00392E05">
            <w:pPr>
              <w:pStyle w:val="Heading2"/>
              <w:numPr>
                <w:ilvl w:val="0"/>
                <w:numId w:val="0"/>
              </w:numPr>
              <w:rPr>
                <w:rFonts w:asciiTheme="minorHAnsi" w:hAnsiTheme="minorHAnsi" w:cstheme="minorHAnsi"/>
                <w:sz w:val="12"/>
                <w:szCs w:val="12"/>
              </w:rPr>
            </w:pPr>
          </w:p>
        </w:tc>
        <w:tc>
          <w:tcPr>
            <w:tcW w:w="2835" w:type="dxa"/>
            <w:shd w:val="clear" w:color="auto" w:fill="FFFFFF" w:themeFill="background1"/>
          </w:tcPr>
          <w:p w14:paraId="0E44B85A" w14:textId="7B0C8B58"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Urban Onsite Restoration Time</w:t>
            </w:r>
          </w:p>
        </w:tc>
        <w:tc>
          <w:tcPr>
            <w:tcW w:w="1461" w:type="dxa"/>
            <w:shd w:val="clear" w:color="auto" w:fill="FFFFFF" w:themeFill="background1"/>
          </w:tcPr>
          <w:p w14:paraId="7D610CBD" w14:textId="68950EB5"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EONBD</w:t>
            </w:r>
          </w:p>
        </w:tc>
        <w:tc>
          <w:tcPr>
            <w:tcW w:w="4072" w:type="dxa"/>
            <w:gridSpan w:val="2"/>
            <w:shd w:val="clear" w:color="auto" w:fill="FFFFFF" w:themeFill="background1"/>
          </w:tcPr>
          <w:p w14:paraId="25A7AED4" w14:textId="145FDA9C"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12 hours</w:t>
            </w:r>
          </w:p>
        </w:tc>
        <w:tc>
          <w:tcPr>
            <w:tcW w:w="4072" w:type="dxa"/>
            <w:gridSpan w:val="2"/>
            <w:shd w:val="clear" w:color="auto" w:fill="FFFFFF" w:themeFill="background1"/>
          </w:tcPr>
          <w:p w14:paraId="44EF6A05" w14:textId="264F174C"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4 hours</w:t>
            </w:r>
          </w:p>
        </w:tc>
      </w:tr>
      <w:tr w:rsidR="00897159" w:rsidRPr="00392E05" w14:paraId="6F13F302" w14:textId="77777777" w:rsidTr="002525C7">
        <w:tc>
          <w:tcPr>
            <w:tcW w:w="1838" w:type="dxa"/>
            <w:shd w:val="clear" w:color="auto" w:fill="FFFFFF" w:themeFill="background1"/>
          </w:tcPr>
          <w:p w14:paraId="6A5F3555" w14:textId="77777777" w:rsidR="00392E05" w:rsidRPr="00897159" w:rsidRDefault="00392E05" w:rsidP="00392E05">
            <w:pPr>
              <w:pStyle w:val="Heading2"/>
              <w:numPr>
                <w:ilvl w:val="0"/>
                <w:numId w:val="0"/>
              </w:numPr>
              <w:rPr>
                <w:rFonts w:asciiTheme="minorHAnsi" w:hAnsiTheme="minorHAnsi" w:cstheme="minorHAnsi"/>
                <w:sz w:val="12"/>
                <w:szCs w:val="12"/>
              </w:rPr>
            </w:pPr>
          </w:p>
        </w:tc>
        <w:tc>
          <w:tcPr>
            <w:tcW w:w="2835" w:type="dxa"/>
            <w:shd w:val="clear" w:color="auto" w:fill="FFFFFF" w:themeFill="background1"/>
          </w:tcPr>
          <w:p w14:paraId="618DE43B" w14:textId="2B4A9B3E"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Rural Onsite Restoration Time</w:t>
            </w:r>
          </w:p>
        </w:tc>
        <w:tc>
          <w:tcPr>
            <w:tcW w:w="9605" w:type="dxa"/>
            <w:gridSpan w:val="5"/>
            <w:shd w:val="clear" w:color="auto" w:fill="FFFFFF" w:themeFill="background1"/>
          </w:tcPr>
          <w:p w14:paraId="69DD6FB9" w14:textId="2FDA5F7F"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b/>
                <w:sz w:val="12"/>
                <w:szCs w:val="12"/>
              </w:rPr>
              <w:t>Urban onsite Restoration Time PLUS one business day</w:t>
            </w:r>
          </w:p>
        </w:tc>
      </w:tr>
      <w:tr w:rsidR="00897159" w:rsidRPr="00392E05" w14:paraId="68F23B8E" w14:textId="77777777" w:rsidTr="002525C7">
        <w:tc>
          <w:tcPr>
            <w:tcW w:w="1838" w:type="dxa"/>
            <w:shd w:val="clear" w:color="auto" w:fill="FFFFFF" w:themeFill="background1"/>
          </w:tcPr>
          <w:p w14:paraId="41AD4014" w14:textId="77777777" w:rsidR="00392E05" w:rsidRPr="00897159" w:rsidRDefault="00392E05" w:rsidP="00392E05">
            <w:pPr>
              <w:pStyle w:val="Heading2"/>
              <w:numPr>
                <w:ilvl w:val="0"/>
                <w:numId w:val="0"/>
              </w:numPr>
              <w:rPr>
                <w:rFonts w:asciiTheme="minorHAnsi" w:hAnsiTheme="minorHAnsi" w:cstheme="minorHAnsi"/>
                <w:sz w:val="12"/>
                <w:szCs w:val="12"/>
              </w:rPr>
            </w:pPr>
          </w:p>
        </w:tc>
        <w:tc>
          <w:tcPr>
            <w:tcW w:w="2835" w:type="dxa"/>
            <w:shd w:val="clear" w:color="auto" w:fill="FFFFFF" w:themeFill="background1"/>
          </w:tcPr>
          <w:p w14:paraId="2E8020AC" w14:textId="68325F21"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Remote Onsite Restoration Time</w:t>
            </w:r>
          </w:p>
        </w:tc>
        <w:tc>
          <w:tcPr>
            <w:tcW w:w="9605" w:type="dxa"/>
            <w:gridSpan w:val="5"/>
            <w:shd w:val="clear" w:color="auto" w:fill="FFFFFF" w:themeFill="background1"/>
          </w:tcPr>
          <w:p w14:paraId="78156C8C" w14:textId="5C8AF879" w:rsidR="00392E05" w:rsidRPr="00897159" w:rsidRDefault="00392E05" w:rsidP="00392E05">
            <w:pPr>
              <w:pStyle w:val="Heading2"/>
              <w:numPr>
                <w:ilvl w:val="0"/>
                <w:numId w:val="0"/>
              </w:numPr>
              <w:rPr>
                <w:rFonts w:asciiTheme="minorHAnsi" w:hAnsiTheme="minorHAnsi" w:cstheme="minorHAnsi"/>
                <w:sz w:val="12"/>
                <w:szCs w:val="12"/>
              </w:rPr>
            </w:pPr>
            <w:r w:rsidRPr="00897159">
              <w:rPr>
                <w:rFonts w:asciiTheme="minorHAnsi" w:hAnsiTheme="minorHAnsi" w:cstheme="minorHAnsi"/>
                <w:b/>
                <w:sz w:val="12"/>
                <w:szCs w:val="12"/>
              </w:rPr>
              <w:t>Urban onsite Restoration Time PLUS two business days</w:t>
            </w:r>
          </w:p>
        </w:tc>
      </w:tr>
      <w:tr w:rsidR="00392E05" w:rsidRPr="00392E05" w14:paraId="1DC3D080" w14:textId="77777777" w:rsidTr="0049337F">
        <w:tc>
          <w:tcPr>
            <w:tcW w:w="14278" w:type="dxa"/>
            <w:gridSpan w:val="7"/>
            <w:shd w:val="clear" w:color="auto" w:fill="808080" w:themeFill="background1" w:themeFillShade="80"/>
          </w:tcPr>
          <w:p w14:paraId="3F50E73C" w14:textId="1232B588" w:rsidR="00392E05" w:rsidRPr="00897159" w:rsidRDefault="00392E05" w:rsidP="00392E05">
            <w:pPr>
              <w:pStyle w:val="Heading2"/>
              <w:numPr>
                <w:ilvl w:val="0"/>
                <w:numId w:val="0"/>
              </w:numPr>
              <w:rPr>
                <w:rFonts w:asciiTheme="minorHAnsi" w:hAnsiTheme="minorHAnsi" w:cstheme="minorHAnsi"/>
                <w:color w:val="FFFFFF" w:themeColor="background1"/>
                <w:sz w:val="12"/>
                <w:szCs w:val="12"/>
              </w:rPr>
            </w:pPr>
            <w:r w:rsidRPr="0049337F">
              <w:rPr>
                <w:rFonts w:asciiTheme="minorHAnsi" w:hAnsiTheme="minorHAnsi" w:cstheme="minorHAnsi"/>
                <w:color w:val="FFFFFF" w:themeColor="background1"/>
                <w:sz w:val="12"/>
                <w:szCs w:val="12"/>
              </w:rPr>
              <w:t>Solution</w:t>
            </w:r>
          </w:p>
        </w:tc>
      </w:tr>
      <w:tr w:rsidR="00897159" w:rsidRPr="00392E05" w14:paraId="76E85D78" w14:textId="77777777" w:rsidTr="0049337F">
        <w:tc>
          <w:tcPr>
            <w:tcW w:w="1838" w:type="dxa"/>
            <w:shd w:val="clear" w:color="auto" w:fill="808080" w:themeFill="background1" w:themeFillShade="80"/>
          </w:tcPr>
          <w:p w14:paraId="2041CD7B" w14:textId="0524B16D" w:rsidR="00392E05" w:rsidRPr="00897159" w:rsidRDefault="00392E05" w:rsidP="00D01CB5">
            <w:pPr>
              <w:pStyle w:val="Heading2"/>
              <w:numPr>
                <w:ilvl w:val="0"/>
                <w:numId w:val="0"/>
              </w:numPr>
              <w:rPr>
                <w:rFonts w:asciiTheme="minorHAnsi" w:hAnsiTheme="minorHAnsi" w:cstheme="minorHAnsi"/>
                <w:color w:val="FFFFFF" w:themeColor="background1"/>
                <w:sz w:val="12"/>
                <w:szCs w:val="12"/>
              </w:rPr>
            </w:pPr>
            <w:r w:rsidRPr="0049337F">
              <w:rPr>
                <w:rFonts w:asciiTheme="minorHAnsi" w:hAnsiTheme="minorHAnsi" w:cstheme="minorHAnsi"/>
                <w:color w:val="FFFFFF" w:themeColor="background1"/>
                <w:sz w:val="12"/>
                <w:szCs w:val="12"/>
              </w:rPr>
              <w:t>Eligible Product</w:t>
            </w:r>
          </w:p>
        </w:tc>
        <w:tc>
          <w:tcPr>
            <w:tcW w:w="2835" w:type="dxa"/>
            <w:shd w:val="clear" w:color="auto" w:fill="808080" w:themeFill="background1" w:themeFillShade="80"/>
          </w:tcPr>
          <w:p w14:paraId="1774A4D4" w14:textId="256904D4" w:rsidR="00392E05" w:rsidRPr="00897159" w:rsidRDefault="002525C7" w:rsidP="00D01CB5">
            <w:pPr>
              <w:pStyle w:val="Heading2"/>
              <w:numPr>
                <w:ilvl w:val="0"/>
                <w:numId w:val="0"/>
              </w:numPr>
              <w:rPr>
                <w:rFonts w:asciiTheme="minorHAnsi" w:hAnsiTheme="minorHAnsi" w:cstheme="minorHAnsi"/>
                <w:color w:val="FFFFFF" w:themeColor="background1"/>
                <w:sz w:val="12"/>
                <w:szCs w:val="12"/>
              </w:rPr>
            </w:pPr>
            <w:r w:rsidRPr="0049337F">
              <w:rPr>
                <w:rFonts w:asciiTheme="minorHAnsi" w:hAnsiTheme="minorHAnsi" w:cstheme="minorHAnsi"/>
                <w:color w:val="FFFFFF" w:themeColor="background1"/>
                <w:sz w:val="12"/>
                <w:szCs w:val="12"/>
              </w:rPr>
              <w:t>Access Service</w:t>
            </w:r>
          </w:p>
        </w:tc>
        <w:tc>
          <w:tcPr>
            <w:tcW w:w="1461" w:type="dxa"/>
            <w:shd w:val="clear" w:color="auto" w:fill="808080" w:themeFill="background1" w:themeFillShade="80"/>
          </w:tcPr>
          <w:p w14:paraId="70E414E1" w14:textId="77777777" w:rsidR="00392E05" w:rsidRPr="00897159" w:rsidRDefault="00392E05" w:rsidP="00D01CB5">
            <w:pPr>
              <w:pStyle w:val="Heading2"/>
              <w:numPr>
                <w:ilvl w:val="0"/>
                <w:numId w:val="0"/>
              </w:numPr>
              <w:rPr>
                <w:rFonts w:asciiTheme="minorHAnsi" w:hAnsiTheme="minorHAnsi" w:cstheme="minorHAnsi"/>
                <w:sz w:val="12"/>
                <w:szCs w:val="12"/>
              </w:rPr>
            </w:pPr>
          </w:p>
        </w:tc>
        <w:tc>
          <w:tcPr>
            <w:tcW w:w="2036" w:type="dxa"/>
            <w:shd w:val="clear" w:color="auto" w:fill="808080" w:themeFill="background1" w:themeFillShade="80"/>
          </w:tcPr>
          <w:p w14:paraId="790200F5" w14:textId="77777777" w:rsidR="00392E05" w:rsidRPr="00897159" w:rsidRDefault="00392E05" w:rsidP="00D01CB5">
            <w:pPr>
              <w:pStyle w:val="Heading2"/>
              <w:numPr>
                <w:ilvl w:val="0"/>
                <w:numId w:val="0"/>
              </w:numPr>
              <w:rPr>
                <w:rFonts w:asciiTheme="minorHAnsi" w:hAnsiTheme="minorHAnsi" w:cstheme="minorHAnsi"/>
                <w:sz w:val="12"/>
                <w:szCs w:val="12"/>
              </w:rPr>
            </w:pPr>
          </w:p>
        </w:tc>
        <w:tc>
          <w:tcPr>
            <w:tcW w:w="2036" w:type="dxa"/>
            <w:shd w:val="clear" w:color="auto" w:fill="808080" w:themeFill="background1" w:themeFillShade="80"/>
          </w:tcPr>
          <w:p w14:paraId="5CEBB5B5" w14:textId="77777777" w:rsidR="00392E05" w:rsidRPr="00897159" w:rsidRDefault="00392E05" w:rsidP="00D01CB5">
            <w:pPr>
              <w:pStyle w:val="Heading2"/>
              <w:numPr>
                <w:ilvl w:val="0"/>
                <w:numId w:val="0"/>
              </w:numPr>
              <w:rPr>
                <w:rFonts w:asciiTheme="minorHAnsi" w:hAnsiTheme="minorHAnsi" w:cstheme="minorHAnsi"/>
                <w:sz w:val="12"/>
                <w:szCs w:val="12"/>
              </w:rPr>
            </w:pPr>
          </w:p>
        </w:tc>
        <w:tc>
          <w:tcPr>
            <w:tcW w:w="2036" w:type="dxa"/>
            <w:shd w:val="clear" w:color="auto" w:fill="808080" w:themeFill="background1" w:themeFillShade="80"/>
          </w:tcPr>
          <w:p w14:paraId="59A6C096" w14:textId="77777777" w:rsidR="00392E05" w:rsidRPr="00897159" w:rsidRDefault="00392E05" w:rsidP="00D01CB5">
            <w:pPr>
              <w:pStyle w:val="Heading2"/>
              <w:numPr>
                <w:ilvl w:val="0"/>
                <w:numId w:val="0"/>
              </w:numPr>
              <w:rPr>
                <w:rFonts w:asciiTheme="minorHAnsi" w:hAnsiTheme="minorHAnsi" w:cstheme="minorHAnsi"/>
                <w:sz w:val="12"/>
                <w:szCs w:val="12"/>
              </w:rPr>
            </w:pPr>
          </w:p>
        </w:tc>
        <w:tc>
          <w:tcPr>
            <w:tcW w:w="2036" w:type="dxa"/>
            <w:shd w:val="clear" w:color="auto" w:fill="808080" w:themeFill="background1" w:themeFillShade="80"/>
          </w:tcPr>
          <w:p w14:paraId="6D37208B" w14:textId="77777777" w:rsidR="00392E05" w:rsidRPr="00897159" w:rsidRDefault="00392E05" w:rsidP="00D01CB5">
            <w:pPr>
              <w:pStyle w:val="Heading2"/>
              <w:numPr>
                <w:ilvl w:val="0"/>
                <w:numId w:val="0"/>
              </w:numPr>
              <w:rPr>
                <w:rFonts w:asciiTheme="minorHAnsi" w:hAnsiTheme="minorHAnsi" w:cstheme="minorHAnsi"/>
                <w:sz w:val="12"/>
                <w:szCs w:val="12"/>
              </w:rPr>
            </w:pPr>
          </w:p>
        </w:tc>
      </w:tr>
      <w:tr w:rsidR="00897159" w:rsidRPr="00392E05" w14:paraId="0C1BDCDB" w14:textId="77777777" w:rsidTr="002525C7">
        <w:tc>
          <w:tcPr>
            <w:tcW w:w="1838" w:type="dxa"/>
            <w:vMerge w:val="restart"/>
          </w:tcPr>
          <w:p w14:paraId="35DC6F55" w14:textId="77777777" w:rsidR="002525C7" w:rsidRDefault="002525C7" w:rsidP="00D01CB5">
            <w:pPr>
              <w:pStyle w:val="Heading2"/>
              <w:numPr>
                <w:ilvl w:val="0"/>
                <w:numId w:val="0"/>
              </w:numPr>
              <w:rPr>
                <w:rFonts w:asciiTheme="minorHAnsi" w:hAnsiTheme="minorHAnsi" w:cstheme="minorHAnsi"/>
                <w:sz w:val="12"/>
                <w:szCs w:val="12"/>
              </w:rPr>
            </w:pPr>
          </w:p>
          <w:p w14:paraId="0591B5D7" w14:textId="40E3467E"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Business IP (including Business IP Adapt)</w:t>
            </w:r>
          </w:p>
          <w:p w14:paraId="2172EC68" w14:textId="027FCAF0"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Connect IP</w:t>
            </w:r>
          </w:p>
          <w:p w14:paraId="5B3F51E2" w14:textId="2180E303"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Business Broadband</w:t>
            </w:r>
          </w:p>
          <w:p w14:paraId="3DC2B89E" w14:textId="667BDE8B"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Telstra Internet Direct (including Telstra Internet Direct Adapt)</w:t>
            </w:r>
          </w:p>
          <w:p w14:paraId="6C27ECEF" w14:textId="0EE5F03D"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 xml:space="preserve">Managed Data Networks (MDN)  </w:t>
            </w:r>
          </w:p>
          <w:p w14:paraId="2E455244" w14:textId="2AC515D2"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SIP Connect</w:t>
            </w:r>
          </w:p>
          <w:p w14:paraId="6BFCA83E" w14:textId="3471B419" w:rsidR="002525C7" w:rsidRPr="00897159" w:rsidRDefault="002525C7" w:rsidP="002525C7">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National Ethernet</w:t>
            </w:r>
          </w:p>
        </w:tc>
        <w:tc>
          <w:tcPr>
            <w:tcW w:w="2835" w:type="dxa"/>
          </w:tcPr>
          <w:p w14:paraId="1B6C63B3" w14:textId="77777777" w:rsidR="002525C7" w:rsidRPr="002525C7" w:rsidRDefault="002525C7" w:rsidP="002525C7">
            <w:pPr>
              <w:pStyle w:val="Heading2"/>
              <w:rPr>
                <w:rFonts w:asciiTheme="minorHAnsi" w:hAnsiTheme="minorHAnsi" w:cstheme="minorHAnsi"/>
                <w:sz w:val="12"/>
                <w:szCs w:val="12"/>
              </w:rPr>
            </w:pPr>
            <w:r w:rsidRPr="002525C7">
              <w:rPr>
                <w:rFonts w:asciiTheme="minorHAnsi" w:hAnsiTheme="minorHAnsi" w:cstheme="minorHAnsi"/>
                <w:sz w:val="12"/>
                <w:szCs w:val="12"/>
              </w:rPr>
              <w:t>Telstra Fibre National</w:t>
            </w:r>
          </w:p>
          <w:p w14:paraId="56CF4CBB" w14:textId="28399C3A" w:rsidR="002525C7" w:rsidRPr="00897159" w:rsidRDefault="002525C7" w:rsidP="002525C7">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Ethernet</w:t>
            </w:r>
            <w:proofErr w:type="gramStart"/>
            <w:r w:rsidRPr="002525C7">
              <w:rPr>
                <w:rFonts w:asciiTheme="minorHAnsi" w:hAnsiTheme="minorHAnsi" w:cstheme="minorHAnsi"/>
                <w:sz w:val="12"/>
                <w:szCs w:val="12"/>
              </w:rPr>
              <w:t>/(</w:t>
            </w:r>
            <w:proofErr w:type="gramEnd"/>
            <w:r w:rsidRPr="002525C7">
              <w:rPr>
                <w:rFonts w:asciiTheme="minorHAnsi" w:hAnsiTheme="minorHAnsi" w:cstheme="minorHAnsi"/>
                <w:sz w:val="12"/>
                <w:szCs w:val="12"/>
              </w:rPr>
              <w:t>Ethernet MAN) Fully Redundant and Adaptive Networks Telstra Fibre</w:t>
            </w:r>
          </w:p>
        </w:tc>
        <w:tc>
          <w:tcPr>
            <w:tcW w:w="1461" w:type="dxa"/>
          </w:tcPr>
          <w:p w14:paraId="69BF85A9"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73779B87"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shd w:val="clear" w:color="auto" w:fill="00B0F0"/>
          </w:tcPr>
          <w:p w14:paraId="4E9682E7" w14:textId="41CC7A3C" w:rsidR="002525C7" w:rsidRPr="00897159" w:rsidRDefault="002525C7" w:rsidP="00D01CB5">
            <w:pPr>
              <w:pStyle w:val="Heading2"/>
              <w:numPr>
                <w:ilvl w:val="0"/>
                <w:numId w:val="0"/>
              </w:numPr>
              <w:rPr>
                <w:rFonts w:asciiTheme="minorHAnsi" w:hAnsiTheme="minorHAnsi" w:cstheme="minorHAnsi"/>
                <w:sz w:val="12"/>
                <w:szCs w:val="12"/>
              </w:rPr>
            </w:pPr>
            <w:r>
              <w:rPr>
                <w:rFonts w:asciiTheme="minorHAnsi" w:hAnsiTheme="minorHAnsi" w:cstheme="minorHAnsi"/>
                <w:sz w:val="12"/>
                <w:szCs w:val="12"/>
              </w:rPr>
              <w:t>STD</w:t>
            </w:r>
          </w:p>
        </w:tc>
        <w:tc>
          <w:tcPr>
            <w:tcW w:w="2036" w:type="dxa"/>
          </w:tcPr>
          <w:p w14:paraId="7F28B14E"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5726F1EC" w14:textId="77777777" w:rsidR="002525C7" w:rsidRPr="00897159" w:rsidRDefault="002525C7" w:rsidP="00D01CB5">
            <w:pPr>
              <w:pStyle w:val="Heading2"/>
              <w:numPr>
                <w:ilvl w:val="0"/>
                <w:numId w:val="0"/>
              </w:numPr>
              <w:rPr>
                <w:rFonts w:asciiTheme="minorHAnsi" w:hAnsiTheme="minorHAnsi" w:cstheme="minorHAnsi"/>
                <w:sz w:val="12"/>
                <w:szCs w:val="12"/>
              </w:rPr>
            </w:pPr>
          </w:p>
        </w:tc>
      </w:tr>
      <w:tr w:rsidR="00897159" w:rsidRPr="00392E05" w14:paraId="3E508ED0" w14:textId="77777777" w:rsidTr="002525C7">
        <w:tc>
          <w:tcPr>
            <w:tcW w:w="1838" w:type="dxa"/>
            <w:vMerge/>
          </w:tcPr>
          <w:p w14:paraId="28634A3C" w14:textId="44EAF67F" w:rsidR="002525C7" w:rsidRPr="00897159" w:rsidRDefault="002525C7" w:rsidP="002525C7">
            <w:pPr>
              <w:pStyle w:val="Heading2"/>
              <w:numPr>
                <w:ilvl w:val="0"/>
                <w:numId w:val="0"/>
              </w:numPr>
              <w:rPr>
                <w:rFonts w:asciiTheme="minorHAnsi" w:hAnsiTheme="minorHAnsi" w:cstheme="minorHAnsi"/>
                <w:sz w:val="12"/>
                <w:szCs w:val="12"/>
              </w:rPr>
            </w:pPr>
          </w:p>
        </w:tc>
        <w:tc>
          <w:tcPr>
            <w:tcW w:w="2835" w:type="dxa"/>
          </w:tcPr>
          <w:p w14:paraId="0423B48B" w14:textId="0EE5CDBE" w:rsidR="002525C7" w:rsidRPr="00897159" w:rsidRDefault="002525C7" w:rsidP="002525C7">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Priority One 3 and Priority 1300</w:t>
            </w:r>
          </w:p>
        </w:tc>
        <w:tc>
          <w:tcPr>
            <w:tcW w:w="1461" w:type="dxa"/>
          </w:tcPr>
          <w:p w14:paraId="68D1FCAE"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shd w:val="clear" w:color="auto" w:fill="00B0F0"/>
          </w:tcPr>
          <w:p w14:paraId="5AD7844A" w14:textId="4E63946A" w:rsidR="002525C7" w:rsidRPr="00897159" w:rsidRDefault="002525C7" w:rsidP="002525C7">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STD</w:t>
            </w:r>
          </w:p>
        </w:tc>
        <w:tc>
          <w:tcPr>
            <w:tcW w:w="2036" w:type="dxa"/>
            <w:vMerge w:val="restart"/>
          </w:tcPr>
          <w:p w14:paraId="18FAE600" w14:textId="4BB37146" w:rsidR="002525C7" w:rsidRPr="00897159" w:rsidRDefault="002525C7" w:rsidP="002525C7">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SLA Premium Service Levels</w:t>
            </w:r>
          </w:p>
        </w:tc>
        <w:tc>
          <w:tcPr>
            <w:tcW w:w="2036" w:type="dxa"/>
          </w:tcPr>
          <w:p w14:paraId="6C563CAE"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tcPr>
          <w:p w14:paraId="4362BF45" w14:textId="77777777" w:rsidR="002525C7" w:rsidRPr="00897159" w:rsidRDefault="002525C7" w:rsidP="002525C7">
            <w:pPr>
              <w:pStyle w:val="Heading2"/>
              <w:numPr>
                <w:ilvl w:val="0"/>
                <w:numId w:val="0"/>
              </w:numPr>
              <w:rPr>
                <w:rFonts w:asciiTheme="minorHAnsi" w:hAnsiTheme="minorHAnsi" w:cstheme="minorHAnsi"/>
                <w:sz w:val="12"/>
                <w:szCs w:val="12"/>
              </w:rPr>
            </w:pPr>
          </w:p>
        </w:tc>
      </w:tr>
      <w:tr w:rsidR="00897159" w:rsidRPr="00392E05" w14:paraId="7B5DA9EA" w14:textId="77777777" w:rsidTr="002525C7">
        <w:tc>
          <w:tcPr>
            <w:tcW w:w="1838" w:type="dxa"/>
            <w:vMerge/>
          </w:tcPr>
          <w:p w14:paraId="3E5FB252" w14:textId="6E1E25CD" w:rsidR="002525C7" w:rsidRPr="00897159" w:rsidRDefault="002525C7" w:rsidP="002525C7">
            <w:pPr>
              <w:pStyle w:val="Heading2"/>
              <w:numPr>
                <w:ilvl w:val="0"/>
                <w:numId w:val="0"/>
              </w:numPr>
              <w:rPr>
                <w:rFonts w:asciiTheme="minorHAnsi" w:hAnsiTheme="minorHAnsi" w:cstheme="minorHAnsi"/>
                <w:sz w:val="12"/>
                <w:szCs w:val="12"/>
              </w:rPr>
            </w:pPr>
          </w:p>
        </w:tc>
        <w:tc>
          <w:tcPr>
            <w:tcW w:w="2835" w:type="dxa"/>
          </w:tcPr>
          <w:p w14:paraId="7848D485" w14:textId="21129937" w:rsidR="002525C7" w:rsidRPr="00897159" w:rsidRDefault="002525C7" w:rsidP="002525C7">
            <w:pPr>
              <w:pStyle w:val="Heading2"/>
              <w:numPr>
                <w:ilvl w:val="0"/>
                <w:numId w:val="0"/>
              </w:numPr>
              <w:rPr>
                <w:rFonts w:asciiTheme="minorHAnsi" w:hAnsiTheme="minorHAnsi" w:cstheme="minorHAnsi"/>
                <w:sz w:val="12"/>
                <w:szCs w:val="12"/>
              </w:rPr>
            </w:pPr>
            <w:proofErr w:type="spellStart"/>
            <w:r w:rsidRPr="00897159">
              <w:rPr>
                <w:rFonts w:asciiTheme="minorHAnsi" w:hAnsiTheme="minorHAnsi" w:cstheme="minorHAnsi"/>
                <w:sz w:val="12"/>
                <w:szCs w:val="12"/>
              </w:rPr>
              <w:t>Freecall</w:t>
            </w:r>
            <w:proofErr w:type="spellEnd"/>
            <w:r w:rsidRPr="00897159">
              <w:rPr>
                <w:rFonts w:asciiTheme="minorHAnsi" w:hAnsiTheme="minorHAnsi" w:cstheme="minorHAnsi"/>
                <w:sz w:val="12"/>
                <w:szCs w:val="12"/>
              </w:rPr>
              <w:t xml:space="preserve"> One 8 and </w:t>
            </w:r>
            <w:proofErr w:type="spellStart"/>
            <w:r w:rsidRPr="00897159">
              <w:rPr>
                <w:rFonts w:asciiTheme="minorHAnsi" w:hAnsiTheme="minorHAnsi" w:cstheme="minorHAnsi"/>
                <w:sz w:val="12"/>
                <w:szCs w:val="12"/>
              </w:rPr>
              <w:t>Freecall</w:t>
            </w:r>
            <w:proofErr w:type="spellEnd"/>
            <w:r w:rsidRPr="00897159">
              <w:rPr>
                <w:rFonts w:asciiTheme="minorHAnsi" w:hAnsiTheme="minorHAnsi" w:cstheme="minorHAnsi"/>
                <w:sz w:val="12"/>
                <w:szCs w:val="12"/>
              </w:rPr>
              <w:t xml:space="preserve"> 1800 </w:t>
            </w:r>
          </w:p>
        </w:tc>
        <w:tc>
          <w:tcPr>
            <w:tcW w:w="1461" w:type="dxa"/>
          </w:tcPr>
          <w:p w14:paraId="1D0DDF44"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shd w:val="clear" w:color="auto" w:fill="00B0F0"/>
          </w:tcPr>
          <w:p w14:paraId="383AEB60" w14:textId="4B735CAA" w:rsidR="002525C7" w:rsidRPr="00897159" w:rsidRDefault="002525C7" w:rsidP="002525C7">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STD</w:t>
            </w:r>
          </w:p>
        </w:tc>
        <w:tc>
          <w:tcPr>
            <w:tcW w:w="2036" w:type="dxa"/>
            <w:vMerge/>
          </w:tcPr>
          <w:p w14:paraId="47649A24"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tcPr>
          <w:p w14:paraId="797A2FDD"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tcPr>
          <w:p w14:paraId="5F8B3ADA" w14:textId="77777777" w:rsidR="002525C7" w:rsidRPr="00897159" w:rsidRDefault="002525C7" w:rsidP="002525C7">
            <w:pPr>
              <w:pStyle w:val="Heading2"/>
              <w:numPr>
                <w:ilvl w:val="0"/>
                <w:numId w:val="0"/>
              </w:numPr>
              <w:rPr>
                <w:rFonts w:asciiTheme="minorHAnsi" w:hAnsiTheme="minorHAnsi" w:cstheme="minorHAnsi"/>
                <w:sz w:val="12"/>
                <w:szCs w:val="12"/>
              </w:rPr>
            </w:pPr>
          </w:p>
        </w:tc>
      </w:tr>
      <w:tr w:rsidR="00897159" w:rsidRPr="00392E05" w14:paraId="0D368F0E" w14:textId="77777777" w:rsidTr="002525C7">
        <w:tc>
          <w:tcPr>
            <w:tcW w:w="1838" w:type="dxa"/>
            <w:vMerge/>
          </w:tcPr>
          <w:p w14:paraId="570CC792" w14:textId="6B0F4AB3" w:rsidR="002525C7" w:rsidRPr="00897159" w:rsidRDefault="002525C7" w:rsidP="00D01CB5">
            <w:pPr>
              <w:pStyle w:val="Heading2"/>
              <w:numPr>
                <w:ilvl w:val="0"/>
                <w:numId w:val="0"/>
              </w:numPr>
              <w:rPr>
                <w:rFonts w:asciiTheme="minorHAnsi" w:hAnsiTheme="minorHAnsi" w:cstheme="minorHAnsi"/>
                <w:sz w:val="12"/>
                <w:szCs w:val="12"/>
              </w:rPr>
            </w:pPr>
          </w:p>
        </w:tc>
        <w:tc>
          <w:tcPr>
            <w:tcW w:w="2835" w:type="dxa"/>
          </w:tcPr>
          <w:p w14:paraId="20511744" w14:textId="2593FFE8"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Telstra Fibre National Ethernet Single Access / Ethernet MAN Single/Dual Uplink</w:t>
            </w:r>
          </w:p>
        </w:tc>
        <w:tc>
          <w:tcPr>
            <w:tcW w:w="1461" w:type="dxa"/>
          </w:tcPr>
          <w:p w14:paraId="61F63C68"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shd w:val="clear" w:color="auto" w:fill="00B0F0"/>
          </w:tcPr>
          <w:p w14:paraId="3E783E2B" w14:textId="36F91CA7"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STD</w:t>
            </w:r>
          </w:p>
        </w:tc>
        <w:tc>
          <w:tcPr>
            <w:tcW w:w="2036" w:type="dxa"/>
          </w:tcPr>
          <w:p w14:paraId="25F5D00A"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623ACFFF"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054A449B" w14:textId="77777777" w:rsidR="002525C7" w:rsidRPr="00897159" w:rsidRDefault="002525C7" w:rsidP="00D01CB5">
            <w:pPr>
              <w:pStyle w:val="Heading2"/>
              <w:numPr>
                <w:ilvl w:val="0"/>
                <w:numId w:val="0"/>
              </w:numPr>
              <w:rPr>
                <w:rFonts w:asciiTheme="minorHAnsi" w:hAnsiTheme="minorHAnsi" w:cstheme="minorHAnsi"/>
                <w:sz w:val="12"/>
                <w:szCs w:val="12"/>
              </w:rPr>
            </w:pPr>
          </w:p>
        </w:tc>
      </w:tr>
      <w:tr w:rsidR="00897159" w:rsidRPr="002525C7" w14:paraId="4BED94F9" w14:textId="77777777" w:rsidTr="002525C7">
        <w:tc>
          <w:tcPr>
            <w:tcW w:w="1838" w:type="dxa"/>
            <w:vMerge/>
          </w:tcPr>
          <w:p w14:paraId="6105B6F0" w14:textId="3CBD1C6A" w:rsidR="002525C7" w:rsidRPr="00897159" w:rsidRDefault="002525C7" w:rsidP="002525C7">
            <w:pPr>
              <w:pStyle w:val="Heading2"/>
              <w:numPr>
                <w:ilvl w:val="0"/>
                <w:numId w:val="0"/>
              </w:numPr>
              <w:rPr>
                <w:rFonts w:asciiTheme="minorHAnsi" w:hAnsiTheme="minorHAnsi" w:cstheme="minorHAnsi"/>
                <w:sz w:val="12"/>
                <w:szCs w:val="12"/>
              </w:rPr>
            </w:pPr>
          </w:p>
        </w:tc>
        <w:tc>
          <w:tcPr>
            <w:tcW w:w="2835" w:type="dxa"/>
          </w:tcPr>
          <w:p w14:paraId="33481085" w14:textId="5692CA25" w:rsidR="002525C7" w:rsidRPr="00897159" w:rsidRDefault="002525C7" w:rsidP="002525C7">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TID Lite Ethernet MAN single uplink</w:t>
            </w:r>
          </w:p>
        </w:tc>
        <w:tc>
          <w:tcPr>
            <w:tcW w:w="1461" w:type="dxa"/>
          </w:tcPr>
          <w:p w14:paraId="6EAE9767"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shd w:val="clear" w:color="auto" w:fill="00B0F0"/>
          </w:tcPr>
          <w:p w14:paraId="3AF3497F" w14:textId="28C56F12" w:rsidR="002525C7" w:rsidRPr="00897159" w:rsidRDefault="002525C7" w:rsidP="002525C7">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STD</w:t>
            </w:r>
          </w:p>
        </w:tc>
        <w:tc>
          <w:tcPr>
            <w:tcW w:w="2036" w:type="dxa"/>
          </w:tcPr>
          <w:p w14:paraId="22576960" w14:textId="3942D257" w:rsidR="002525C7" w:rsidRPr="00897159" w:rsidRDefault="002525C7" w:rsidP="002525C7">
            <w:pPr>
              <w:pStyle w:val="Heading2"/>
              <w:numPr>
                <w:ilvl w:val="0"/>
                <w:numId w:val="0"/>
              </w:numPr>
              <w:rPr>
                <w:rFonts w:asciiTheme="minorHAnsi" w:hAnsiTheme="minorHAnsi" w:cstheme="minorHAnsi"/>
                <w:sz w:val="12"/>
                <w:szCs w:val="12"/>
              </w:rPr>
            </w:pPr>
            <w:r w:rsidRPr="00897159">
              <w:rPr>
                <w:rFonts w:asciiTheme="minorHAnsi" w:hAnsiTheme="minorHAnsi" w:cstheme="minorHAnsi"/>
                <w:sz w:val="12"/>
                <w:szCs w:val="12"/>
              </w:rPr>
              <w:t>SLA Premium Service Levels</w:t>
            </w:r>
          </w:p>
        </w:tc>
        <w:tc>
          <w:tcPr>
            <w:tcW w:w="2036" w:type="dxa"/>
          </w:tcPr>
          <w:p w14:paraId="0E72525B" w14:textId="77777777" w:rsidR="002525C7" w:rsidRPr="00897159" w:rsidRDefault="002525C7" w:rsidP="002525C7">
            <w:pPr>
              <w:pStyle w:val="Heading2"/>
              <w:numPr>
                <w:ilvl w:val="0"/>
                <w:numId w:val="0"/>
              </w:numPr>
              <w:rPr>
                <w:rFonts w:asciiTheme="minorHAnsi" w:hAnsiTheme="minorHAnsi" w:cstheme="minorHAnsi"/>
                <w:sz w:val="12"/>
                <w:szCs w:val="12"/>
              </w:rPr>
            </w:pPr>
          </w:p>
        </w:tc>
        <w:tc>
          <w:tcPr>
            <w:tcW w:w="2036" w:type="dxa"/>
          </w:tcPr>
          <w:p w14:paraId="52CE35AA" w14:textId="77777777" w:rsidR="002525C7" w:rsidRPr="00897159" w:rsidRDefault="002525C7" w:rsidP="002525C7">
            <w:pPr>
              <w:pStyle w:val="Heading2"/>
              <w:numPr>
                <w:ilvl w:val="0"/>
                <w:numId w:val="0"/>
              </w:numPr>
              <w:rPr>
                <w:rFonts w:asciiTheme="minorHAnsi" w:hAnsiTheme="minorHAnsi" w:cstheme="minorHAnsi"/>
                <w:sz w:val="12"/>
                <w:szCs w:val="12"/>
              </w:rPr>
            </w:pPr>
          </w:p>
        </w:tc>
      </w:tr>
      <w:tr w:rsidR="00897159" w:rsidRPr="002525C7" w14:paraId="7A909969" w14:textId="77777777" w:rsidTr="002525C7">
        <w:tc>
          <w:tcPr>
            <w:tcW w:w="1838" w:type="dxa"/>
            <w:vMerge/>
          </w:tcPr>
          <w:p w14:paraId="69D09740" w14:textId="6B516DD1" w:rsidR="002525C7" w:rsidRPr="00897159" w:rsidRDefault="002525C7" w:rsidP="00D01CB5">
            <w:pPr>
              <w:pStyle w:val="Heading2"/>
              <w:numPr>
                <w:ilvl w:val="0"/>
                <w:numId w:val="0"/>
              </w:numPr>
              <w:rPr>
                <w:rFonts w:asciiTheme="minorHAnsi" w:hAnsiTheme="minorHAnsi" w:cstheme="minorHAnsi"/>
                <w:sz w:val="12"/>
                <w:szCs w:val="12"/>
              </w:rPr>
            </w:pPr>
          </w:p>
        </w:tc>
        <w:tc>
          <w:tcPr>
            <w:tcW w:w="2835" w:type="dxa"/>
          </w:tcPr>
          <w:p w14:paraId="0247553C" w14:textId="6C03F749" w:rsidR="002525C7" w:rsidRPr="00897159" w:rsidRDefault="002525C7" w:rsidP="00D01CB5">
            <w:pPr>
              <w:pStyle w:val="Heading2"/>
              <w:numPr>
                <w:ilvl w:val="0"/>
                <w:numId w:val="0"/>
              </w:numPr>
              <w:rPr>
                <w:rFonts w:asciiTheme="minorHAnsi" w:hAnsiTheme="minorHAnsi" w:cstheme="minorHAnsi"/>
                <w:sz w:val="12"/>
                <w:szCs w:val="12"/>
              </w:rPr>
            </w:pPr>
            <w:r>
              <w:rPr>
                <w:rFonts w:asciiTheme="minorHAnsi" w:hAnsiTheme="minorHAnsi" w:cstheme="minorHAnsi"/>
                <w:sz w:val="12"/>
                <w:szCs w:val="12"/>
              </w:rPr>
              <w:t>IVR</w:t>
            </w:r>
          </w:p>
        </w:tc>
        <w:tc>
          <w:tcPr>
            <w:tcW w:w="1461" w:type="dxa"/>
          </w:tcPr>
          <w:p w14:paraId="059D9041"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shd w:val="clear" w:color="auto" w:fill="00B0F0"/>
          </w:tcPr>
          <w:p w14:paraId="08B3BC99" w14:textId="0FAA51BD" w:rsidR="002525C7" w:rsidRPr="00897159" w:rsidRDefault="002525C7" w:rsidP="00D01CB5">
            <w:pPr>
              <w:pStyle w:val="Heading2"/>
              <w:numPr>
                <w:ilvl w:val="0"/>
                <w:numId w:val="0"/>
              </w:numPr>
              <w:rPr>
                <w:rFonts w:asciiTheme="minorHAnsi" w:hAnsiTheme="minorHAnsi" w:cstheme="minorHAnsi"/>
                <w:sz w:val="12"/>
                <w:szCs w:val="12"/>
              </w:rPr>
            </w:pPr>
            <w:r>
              <w:rPr>
                <w:rFonts w:asciiTheme="minorHAnsi" w:hAnsiTheme="minorHAnsi" w:cstheme="minorHAnsi"/>
                <w:sz w:val="12"/>
                <w:szCs w:val="12"/>
              </w:rPr>
              <w:t>STD</w:t>
            </w:r>
          </w:p>
        </w:tc>
        <w:tc>
          <w:tcPr>
            <w:tcW w:w="2036" w:type="dxa"/>
          </w:tcPr>
          <w:p w14:paraId="7256FFC7"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0E9F6DCF"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15445C2B" w14:textId="77777777" w:rsidR="002525C7" w:rsidRPr="00897159" w:rsidRDefault="002525C7" w:rsidP="00D01CB5">
            <w:pPr>
              <w:pStyle w:val="Heading2"/>
              <w:numPr>
                <w:ilvl w:val="0"/>
                <w:numId w:val="0"/>
              </w:numPr>
              <w:rPr>
                <w:rFonts w:asciiTheme="minorHAnsi" w:hAnsiTheme="minorHAnsi" w:cstheme="minorHAnsi"/>
                <w:sz w:val="12"/>
                <w:szCs w:val="12"/>
              </w:rPr>
            </w:pPr>
          </w:p>
        </w:tc>
      </w:tr>
      <w:tr w:rsidR="00897159" w:rsidRPr="002525C7" w14:paraId="474560AA" w14:textId="77777777" w:rsidTr="002525C7">
        <w:tc>
          <w:tcPr>
            <w:tcW w:w="1838" w:type="dxa"/>
            <w:vMerge/>
          </w:tcPr>
          <w:p w14:paraId="71D320F3" w14:textId="04CF9CFC" w:rsidR="002525C7" w:rsidRPr="00897159" w:rsidRDefault="002525C7" w:rsidP="00D01CB5">
            <w:pPr>
              <w:pStyle w:val="Heading2"/>
              <w:numPr>
                <w:ilvl w:val="0"/>
                <w:numId w:val="0"/>
              </w:numPr>
              <w:rPr>
                <w:rFonts w:asciiTheme="minorHAnsi" w:hAnsiTheme="minorHAnsi" w:cstheme="minorHAnsi"/>
                <w:sz w:val="12"/>
                <w:szCs w:val="12"/>
              </w:rPr>
            </w:pPr>
          </w:p>
        </w:tc>
        <w:tc>
          <w:tcPr>
            <w:tcW w:w="2835" w:type="dxa"/>
          </w:tcPr>
          <w:p w14:paraId="4BA40DC7" w14:textId="6C652943"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Basic Telephone Service (BTS)</w:t>
            </w:r>
          </w:p>
        </w:tc>
        <w:tc>
          <w:tcPr>
            <w:tcW w:w="1461" w:type="dxa"/>
            <w:shd w:val="clear" w:color="auto" w:fill="00B0F0"/>
          </w:tcPr>
          <w:p w14:paraId="6FB15CBD" w14:textId="2D9934EA"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STD</w:t>
            </w:r>
            <w:r w:rsidRPr="002525C7">
              <w:rPr>
                <w:rFonts w:asciiTheme="minorHAnsi" w:hAnsiTheme="minorHAnsi" w:cstheme="minorHAnsi"/>
                <w:sz w:val="12"/>
                <w:szCs w:val="12"/>
              </w:rPr>
              <w:tab/>
            </w:r>
          </w:p>
        </w:tc>
        <w:tc>
          <w:tcPr>
            <w:tcW w:w="2036" w:type="dxa"/>
          </w:tcPr>
          <w:p w14:paraId="023FA983" w14:textId="3A184ABA"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SLA Premium Service Levels</w:t>
            </w:r>
          </w:p>
        </w:tc>
        <w:tc>
          <w:tcPr>
            <w:tcW w:w="2036" w:type="dxa"/>
          </w:tcPr>
          <w:p w14:paraId="5F56BAF7"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1D4F6E4D"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0B473EEA" w14:textId="77777777" w:rsidR="002525C7" w:rsidRPr="00897159" w:rsidRDefault="002525C7" w:rsidP="00D01CB5">
            <w:pPr>
              <w:pStyle w:val="Heading2"/>
              <w:numPr>
                <w:ilvl w:val="0"/>
                <w:numId w:val="0"/>
              </w:numPr>
              <w:rPr>
                <w:rFonts w:asciiTheme="minorHAnsi" w:hAnsiTheme="minorHAnsi" w:cstheme="minorHAnsi"/>
                <w:sz w:val="12"/>
                <w:szCs w:val="12"/>
              </w:rPr>
            </w:pPr>
          </w:p>
        </w:tc>
      </w:tr>
      <w:tr w:rsidR="00897159" w:rsidRPr="002525C7" w14:paraId="7C53B73C" w14:textId="77777777" w:rsidTr="00431CEB">
        <w:tc>
          <w:tcPr>
            <w:tcW w:w="1838" w:type="dxa"/>
            <w:vMerge/>
          </w:tcPr>
          <w:p w14:paraId="19D226E1" w14:textId="4EA4930B" w:rsidR="002525C7" w:rsidRPr="00897159" w:rsidRDefault="002525C7" w:rsidP="00D01CB5">
            <w:pPr>
              <w:pStyle w:val="Heading2"/>
              <w:numPr>
                <w:ilvl w:val="0"/>
                <w:numId w:val="0"/>
              </w:numPr>
              <w:rPr>
                <w:rFonts w:asciiTheme="minorHAnsi" w:hAnsiTheme="minorHAnsi" w:cstheme="minorHAnsi"/>
                <w:sz w:val="12"/>
                <w:szCs w:val="12"/>
              </w:rPr>
            </w:pPr>
          </w:p>
        </w:tc>
        <w:tc>
          <w:tcPr>
            <w:tcW w:w="2835" w:type="dxa"/>
          </w:tcPr>
          <w:p w14:paraId="2E2A4CEC" w14:textId="1C30DB27"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Telstra Wavelength Service (TWS)</w:t>
            </w:r>
          </w:p>
        </w:tc>
        <w:tc>
          <w:tcPr>
            <w:tcW w:w="1461" w:type="dxa"/>
          </w:tcPr>
          <w:p w14:paraId="27D5C2A4"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4E98DD4D"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596EB700"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076F67A6"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57E80D51" w14:textId="77777777" w:rsidR="002525C7" w:rsidRPr="00897159" w:rsidRDefault="002525C7" w:rsidP="00D01CB5">
            <w:pPr>
              <w:pStyle w:val="Heading2"/>
              <w:numPr>
                <w:ilvl w:val="0"/>
                <w:numId w:val="0"/>
              </w:numPr>
              <w:rPr>
                <w:rFonts w:asciiTheme="minorHAnsi" w:hAnsiTheme="minorHAnsi" w:cstheme="minorHAnsi"/>
                <w:sz w:val="12"/>
                <w:szCs w:val="12"/>
              </w:rPr>
            </w:pPr>
          </w:p>
        </w:tc>
      </w:tr>
      <w:tr w:rsidR="00897159" w:rsidRPr="002525C7" w14:paraId="0512FE35" w14:textId="77777777" w:rsidTr="002525C7">
        <w:tc>
          <w:tcPr>
            <w:tcW w:w="1838" w:type="dxa"/>
            <w:vMerge/>
          </w:tcPr>
          <w:p w14:paraId="79B26AFF" w14:textId="3F1883E3" w:rsidR="002525C7" w:rsidRPr="00897159" w:rsidRDefault="002525C7" w:rsidP="00D01CB5">
            <w:pPr>
              <w:pStyle w:val="Heading2"/>
              <w:numPr>
                <w:ilvl w:val="0"/>
                <w:numId w:val="0"/>
              </w:numPr>
              <w:rPr>
                <w:rFonts w:asciiTheme="minorHAnsi" w:hAnsiTheme="minorHAnsi" w:cstheme="minorHAnsi"/>
                <w:sz w:val="12"/>
                <w:szCs w:val="12"/>
              </w:rPr>
            </w:pPr>
          </w:p>
        </w:tc>
        <w:tc>
          <w:tcPr>
            <w:tcW w:w="2835" w:type="dxa"/>
          </w:tcPr>
          <w:p w14:paraId="4CBFA2E2" w14:textId="2493EA31" w:rsidR="002525C7" w:rsidRPr="00897159" w:rsidRDefault="002525C7" w:rsidP="00D01CB5">
            <w:pPr>
              <w:pStyle w:val="Heading2"/>
              <w:numPr>
                <w:ilvl w:val="0"/>
                <w:numId w:val="0"/>
              </w:numPr>
              <w:rPr>
                <w:rFonts w:asciiTheme="minorHAnsi" w:hAnsiTheme="minorHAnsi" w:cstheme="minorHAnsi"/>
                <w:sz w:val="12"/>
                <w:szCs w:val="12"/>
              </w:rPr>
            </w:pPr>
            <w:r w:rsidRPr="002525C7">
              <w:rPr>
                <w:rFonts w:asciiTheme="minorHAnsi" w:hAnsiTheme="minorHAnsi" w:cstheme="minorHAnsi"/>
                <w:sz w:val="12"/>
                <w:szCs w:val="12"/>
              </w:rPr>
              <w:t>Telstra Optic Wave</w:t>
            </w:r>
          </w:p>
        </w:tc>
        <w:tc>
          <w:tcPr>
            <w:tcW w:w="1461" w:type="dxa"/>
          </w:tcPr>
          <w:p w14:paraId="6ED8A7D1"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08AAF677"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shd w:val="clear" w:color="auto" w:fill="00B0F0"/>
          </w:tcPr>
          <w:p w14:paraId="21BDD852" w14:textId="6128E228" w:rsidR="002525C7" w:rsidRPr="00897159" w:rsidRDefault="002525C7" w:rsidP="00D01CB5">
            <w:pPr>
              <w:pStyle w:val="Heading2"/>
              <w:numPr>
                <w:ilvl w:val="0"/>
                <w:numId w:val="0"/>
              </w:numPr>
              <w:rPr>
                <w:rFonts w:asciiTheme="minorHAnsi" w:hAnsiTheme="minorHAnsi" w:cstheme="minorHAnsi"/>
                <w:sz w:val="12"/>
                <w:szCs w:val="12"/>
              </w:rPr>
            </w:pPr>
            <w:r>
              <w:rPr>
                <w:rFonts w:asciiTheme="minorHAnsi" w:hAnsiTheme="minorHAnsi" w:cstheme="minorHAnsi"/>
                <w:sz w:val="12"/>
                <w:szCs w:val="12"/>
              </w:rPr>
              <w:t>STD</w:t>
            </w:r>
          </w:p>
        </w:tc>
        <w:tc>
          <w:tcPr>
            <w:tcW w:w="2036" w:type="dxa"/>
          </w:tcPr>
          <w:p w14:paraId="0B209843" w14:textId="77777777" w:rsidR="002525C7" w:rsidRPr="00897159" w:rsidRDefault="002525C7" w:rsidP="00D01CB5">
            <w:pPr>
              <w:pStyle w:val="Heading2"/>
              <w:numPr>
                <w:ilvl w:val="0"/>
                <w:numId w:val="0"/>
              </w:numPr>
              <w:rPr>
                <w:rFonts w:asciiTheme="minorHAnsi" w:hAnsiTheme="minorHAnsi" w:cstheme="minorHAnsi"/>
                <w:sz w:val="12"/>
                <w:szCs w:val="12"/>
              </w:rPr>
            </w:pPr>
          </w:p>
        </w:tc>
        <w:tc>
          <w:tcPr>
            <w:tcW w:w="2036" w:type="dxa"/>
          </w:tcPr>
          <w:p w14:paraId="7C7DE6FA" w14:textId="77777777" w:rsidR="002525C7" w:rsidRPr="00897159" w:rsidRDefault="002525C7" w:rsidP="00D01CB5">
            <w:pPr>
              <w:pStyle w:val="Heading2"/>
              <w:numPr>
                <w:ilvl w:val="0"/>
                <w:numId w:val="0"/>
              </w:numPr>
              <w:rPr>
                <w:rFonts w:asciiTheme="minorHAnsi" w:hAnsiTheme="minorHAnsi" w:cstheme="minorHAnsi"/>
                <w:sz w:val="12"/>
                <w:szCs w:val="12"/>
              </w:rPr>
            </w:pPr>
          </w:p>
        </w:tc>
      </w:tr>
    </w:tbl>
    <w:p w14:paraId="2286FF75" w14:textId="77777777" w:rsidR="00DF5B06" w:rsidRDefault="00DF5B06" w:rsidP="00D01CB5">
      <w:pPr>
        <w:pStyle w:val="Heading2"/>
        <w:numPr>
          <w:ilvl w:val="0"/>
          <w:numId w:val="0"/>
        </w:numPr>
      </w:pPr>
    </w:p>
    <w:p w14:paraId="02BD5318" w14:textId="77777777" w:rsidR="00DF5B06" w:rsidRDefault="00DF5B06" w:rsidP="00D01CB5">
      <w:pPr>
        <w:pStyle w:val="Heading2"/>
        <w:numPr>
          <w:ilvl w:val="0"/>
          <w:numId w:val="0"/>
        </w:numPr>
      </w:pPr>
    </w:p>
    <w:p w14:paraId="06A852B3" w14:textId="2719EBD5" w:rsidR="00AE5E6E" w:rsidRDefault="00AE5E6E" w:rsidP="00D01CB5">
      <w:pPr>
        <w:pStyle w:val="Heading2"/>
        <w:numPr>
          <w:ilvl w:val="0"/>
          <w:numId w:val="0"/>
        </w:numPr>
      </w:pPr>
    </w:p>
    <w:p w14:paraId="4AAB9085" w14:textId="1519AE27" w:rsidR="00AE5E6E" w:rsidRPr="00492B6D" w:rsidRDefault="00ED182F" w:rsidP="00046B2A">
      <w:pPr>
        <w:pStyle w:val="Heading1"/>
        <w:pBdr>
          <w:top w:val="none" w:sz="0" w:space="0" w:color="auto"/>
        </w:pBdr>
      </w:pPr>
      <w:bookmarkStart w:id="24" w:name="_Toc208576779"/>
      <w:r>
        <w:lastRenderedPageBreak/>
        <w:t>Restoration levels</w:t>
      </w:r>
      <w:r w:rsidR="00AE5E6E" w:rsidRPr="002825ED">
        <w:t xml:space="preserve"> </w:t>
      </w:r>
      <w:r>
        <w:t>f</w:t>
      </w:r>
      <w:r w:rsidR="00AE5E6E" w:rsidRPr="002825ED">
        <w:t xml:space="preserve">or Telstra </w:t>
      </w:r>
      <w:r w:rsidR="00AE5E6E">
        <w:t>Products</w:t>
      </w:r>
      <w:r w:rsidR="00AE5E6E" w:rsidRPr="002825ED">
        <w:t xml:space="preserve"> </w:t>
      </w:r>
      <w:r w:rsidR="00AE5E6E">
        <w:t>o</w:t>
      </w:r>
      <w:r w:rsidR="00AE5E6E" w:rsidRPr="002825ED">
        <w:t>n</w:t>
      </w:r>
      <w:r w:rsidR="00AE5E6E">
        <w:t xml:space="preserve"> </w:t>
      </w:r>
      <w:proofErr w:type="spellStart"/>
      <w:r w:rsidR="00AE5E6E">
        <w:t>nbn</w:t>
      </w:r>
      <w:r w:rsidR="00AE5E6E" w:rsidRPr="008767BC">
        <w:rPr>
          <w:vertAlign w:val="superscript"/>
        </w:rPr>
        <w:t>TM</w:t>
      </w:r>
      <w:bookmarkEnd w:id="24"/>
      <w:proofErr w:type="spellEnd"/>
      <w:r w:rsidR="00AE5E6E" w:rsidRPr="002825ED">
        <w:t xml:space="preserve"> </w:t>
      </w:r>
    </w:p>
    <w:p w14:paraId="32D40BCB" w14:textId="02A048EA" w:rsidR="00AE5E6E" w:rsidRPr="004402B2" w:rsidRDefault="00AE5E6E" w:rsidP="00AE5E6E">
      <w:pPr>
        <w:pStyle w:val="Heading2"/>
        <w:rPr>
          <w:bCs w:val="0"/>
        </w:rPr>
      </w:pPr>
      <w:r w:rsidRPr="00D82AF7">
        <w:t xml:space="preserve">The table below sets out the </w:t>
      </w:r>
      <w:r>
        <w:t>Standard Restoration and SLA Premium</w:t>
      </w:r>
      <w:r w:rsidRPr="00D82AF7">
        <w:t xml:space="preserve"> service levels</w:t>
      </w:r>
      <w:r>
        <w:t xml:space="preserve"> for Telstra products on </w:t>
      </w:r>
      <w:proofErr w:type="spellStart"/>
      <w:r w:rsidRPr="008767BC">
        <w:rPr>
          <w:b/>
        </w:rPr>
        <w:t>nbn</w:t>
      </w:r>
      <w:r w:rsidRPr="008767BC">
        <w:rPr>
          <w:vertAlign w:val="superscript"/>
        </w:rPr>
        <w:t>TM</w:t>
      </w:r>
      <w:proofErr w:type="spellEnd"/>
      <w:r>
        <w:t>:</w:t>
      </w:r>
      <w:r w:rsidRPr="002825ED">
        <w:t xml:space="preserve"> </w:t>
      </w:r>
    </w:p>
    <w:tbl>
      <w:tblPr>
        <w:tblW w:w="13460" w:type="dxa"/>
        <w:tblLook w:val="04A0" w:firstRow="1" w:lastRow="0" w:firstColumn="1" w:lastColumn="0" w:noHBand="0" w:noVBand="1"/>
      </w:tblPr>
      <w:tblGrid>
        <w:gridCol w:w="1660"/>
        <w:gridCol w:w="960"/>
        <w:gridCol w:w="2200"/>
        <w:gridCol w:w="960"/>
        <w:gridCol w:w="960"/>
        <w:gridCol w:w="960"/>
        <w:gridCol w:w="960"/>
        <w:gridCol w:w="960"/>
        <w:gridCol w:w="960"/>
        <w:gridCol w:w="960"/>
        <w:gridCol w:w="960"/>
        <w:gridCol w:w="960"/>
      </w:tblGrid>
      <w:tr w:rsidR="00FE6BB7" w:rsidRPr="00FE6BB7" w14:paraId="5562AF19" w14:textId="77777777" w:rsidTr="00FE6BB7">
        <w:trPr>
          <w:trHeight w:val="320"/>
        </w:trPr>
        <w:tc>
          <w:tcPr>
            <w:tcW w:w="4820" w:type="dxa"/>
            <w:gridSpan w:val="3"/>
            <w:tcBorders>
              <w:top w:val="single" w:sz="8" w:space="0" w:color="auto"/>
              <w:left w:val="single" w:sz="8" w:space="0" w:color="auto"/>
              <w:bottom w:val="single" w:sz="4" w:space="0" w:color="auto"/>
              <w:right w:val="single" w:sz="4" w:space="0" w:color="auto"/>
            </w:tcBorders>
            <w:vAlign w:val="center"/>
            <w:hideMark/>
          </w:tcPr>
          <w:p w14:paraId="118E965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single" w:sz="8" w:space="0" w:color="auto"/>
              <w:left w:val="nil"/>
              <w:bottom w:val="single" w:sz="4" w:space="0" w:color="auto"/>
              <w:right w:val="single" w:sz="4" w:space="0" w:color="auto"/>
            </w:tcBorders>
            <w:vAlign w:val="center"/>
            <w:hideMark/>
          </w:tcPr>
          <w:p w14:paraId="262AB478"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End of Next Business Day</w:t>
            </w:r>
          </w:p>
        </w:tc>
        <w:tc>
          <w:tcPr>
            <w:tcW w:w="960" w:type="dxa"/>
            <w:tcBorders>
              <w:top w:val="single" w:sz="8" w:space="0" w:color="auto"/>
              <w:left w:val="nil"/>
              <w:bottom w:val="single" w:sz="4" w:space="0" w:color="auto"/>
              <w:right w:val="single" w:sz="4" w:space="0" w:color="auto"/>
            </w:tcBorders>
            <w:vAlign w:val="center"/>
            <w:hideMark/>
          </w:tcPr>
          <w:p w14:paraId="4F5A14CB"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Extended Business Hours</w:t>
            </w:r>
          </w:p>
        </w:tc>
        <w:tc>
          <w:tcPr>
            <w:tcW w:w="960" w:type="dxa"/>
            <w:tcBorders>
              <w:top w:val="single" w:sz="8" w:space="0" w:color="auto"/>
              <w:left w:val="nil"/>
              <w:bottom w:val="single" w:sz="4" w:space="0" w:color="auto"/>
              <w:right w:val="single" w:sz="4" w:space="0" w:color="auto"/>
            </w:tcBorders>
            <w:vAlign w:val="center"/>
            <w:hideMark/>
          </w:tcPr>
          <w:p w14:paraId="4DDC883C"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Business Plus</w:t>
            </w:r>
          </w:p>
        </w:tc>
        <w:tc>
          <w:tcPr>
            <w:tcW w:w="960" w:type="dxa"/>
            <w:tcBorders>
              <w:top w:val="single" w:sz="8" w:space="0" w:color="auto"/>
              <w:left w:val="nil"/>
              <w:bottom w:val="single" w:sz="4" w:space="0" w:color="auto"/>
              <w:right w:val="single" w:sz="4" w:space="0" w:color="auto"/>
            </w:tcBorders>
            <w:vAlign w:val="center"/>
            <w:hideMark/>
          </w:tcPr>
          <w:p w14:paraId="2063537F"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Express 8</w:t>
            </w:r>
          </w:p>
        </w:tc>
        <w:tc>
          <w:tcPr>
            <w:tcW w:w="960" w:type="dxa"/>
            <w:tcBorders>
              <w:top w:val="single" w:sz="8" w:space="0" w:color="auto"/>
              <w:left w:val="nil"/>
              <w:bottom w:val="single" w:sz="4" w:space="0" w:color="auto"/>
              <w:right w:val="single" w:sz="4" w:space="0" w:color="auto"/>
            </w:tcBorders>
            <w:vAlign w:val="center"/>
            <w:hideMark/>
          </w:tcPr>
          <w:p w14:paraId="1D86DF9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Express 8 Plus</w:t>
            </w:r>
          </w:p>
        </w:tc>
        <w:tc>
          <w:tcPr>
            <w:tcW w:w="960" w:type="dxa"/>
            <w:tcBorders>
              <w:top w:val="single" w:sz="8" w:space="0" w:color="auto"/>
              <w:left w:val="nil"/>
              <w:bottom w:val="single" w:sz="4" w:space="0" w:color="auto"/>
              <w:right w:val="single" w:sz="4" w:space="0" w:color="auto"/>
            </w:tcBorders>
            <w:vAlign w:val="center"/>
            <w:hideMark/>
          </w:tcPr>
          <w:p w14:paraId="5A3D77E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Express 6</w:t>
            </w:r>
          </w:p>
        </w:tc>
        <w:tc>
          <w:tcPr>
            <w:tcW w:w="960" w:type="dxa"/>
            <w:tcBorders>
              <w:top w:val="single" w:sz="8" w:space="0" w:color="auto"/>
              <w:left w:val="nil"/>
              <w:bottom w:val="single" w:sz="4" w:space="0" w:color="auto"/>
              <w:right w:val="single" w:sz="4" w:space="0" w:color="auto"/>
            </w:tcBorders>
            <w:vAlign w:val="center"/>
            <w:hideMark/>
          </w:tcPr>
          <w:p w14:paraId="032CD785"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Express 6 Plus</w:t>
            </w:r>
          </w:p>
        </w:tc>
        <w:tc>
          <w:tcPr>
            <w:tcW w:w="960" w:type="dxa"/>
            <w:tcBorders>
              <w:top w:val="single" w:sz="8" w:space="0" w:color="auto"/>
              <w:left w:val="nil"/>
              <w:bottom w:val="single" w:sz="4" w:space="0" w:color="auto"/>
              <w:right w:val="single" w:sz="4" w:space="0" w:color="auto"/>
            </w:tcBorders>
            <w:vAlign w:val="center"/>
            <w:hideMark/>
          </w:tcPr>
          <w:p w14:paraId="6A54C88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Express 4</w:t>
            </w:r>
          </w:p>
        </w:tc>
        <w:tc>
          <w:tcPr>
            <w:tcW w:w="960" w:type="dxa"/>
            <w:tcBorders>
              <w:top w:val="single" w:sz="8" w:space="0" w:color="auto"/>
              <w:left w:val="nil"/>
              <w:bottom w:val="single" w:sz="4" w:space="0" w:color="auto"/>
              <w:right w:val="single" w:sz="8" w:space="0" w:color="auto"/>
            </w:tcBorders>
            <w:vAlign w:val="center"/>
            <w:hideMark/>
          </w:tcPr>
          <w:p w14:paraId="519ED51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Express 4 Plus</w:t>
            </w:r>
          </w:p>
        </w:tc>
      </w:tr>
      <w:tr w:rsidR="00FE6BB7" w:rsidRPr="00FE6BB7" w14:paraId="09DE7F6B" w14:textId="77777777" w:rsidTr="00FE6BB7">
        <w:trPr>
          <w:trHeight w:val="320"/>
        </w:trPr>
        <w:tc>
          <w:tcPr>
            <w:tcW w:w="2620" w:type="dxa"/>
            <w:gridSpan w:val="2"/>
            <w:tcBorders>
              <w:top w:val="single" w:sz="4" w:space="0" w:color="auto"/>
              <w:left w:val="single" w:sz="8" w:space="0" w:color="auto"/>
              <w:bottom w:val="single" w:sz="4" w:space="0" w:color="auto"/>
              <w:right w:val="single" w:sz="4" w:space="0" w:color="auto"/>
            </w:tcBorders>
            <w:vAlign w:val="center"/>
            <w:hideMark/>
          </w:tcPr>
          <w:p w14:paraId="45E42BB2"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5D6D2ECB"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Coverage period</w:t>
            </w:r>
          </w:p>
        </w:tc>
        <w:tc>
          <w:tcPr>
            <w:tcW w:w="960" w:type="dxa"/>
            <w:tcBorders>
              <w:top w:val="nil"/>
              <w:left w:val="nil"/>
              <w:bottom w:val="single" w:sz="4" w:space="0" w:color="auto"/>
              <w:right w:val="single" w:sz="4" w:space="0" w:color="auto"/>
            </w:tcBorders>
            <w:vAlign w:val="center"/>
            <w:hideMark/>
          </w:tcPr>
          <w:p w14:paraId="40A90780"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8am-5pm Mon-Fri</w:t>
            </w:r>
          </w:p>
        </w:tc>
        <w:tc>
          <w:tcPr>
            <w:tcW w:w="960" w:type="dxa"/>
            <w:tcBorders>
              <w:top w:val="nil"/>
              <w:left w:val="nil"/>
              <w:bottom w:val="single" w:sz="4" w:space="0" w:color="auto"/>
              <w:right w:val="single" w:sz="4" w:space="0" w:color="auto"/>
            </w:tcBorders>
            <w:vAlign w:val="center"/>
            <w:hideMark/>
          </w:tcPr>
          <w:p w14:paraId="2F91869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7am-9pm Mon-Sun</w:t>
            </w:r>
          </w:p>
        </w:tc>
        <w:tc>
          <w:tcPr>
            <w:tcW w:w="960" w:type="dxa"/>
            <w:tcBorders>
              <w:top w:val="nil"/>
              <w:left w:val="nil"/>
              <w:bottom w:val="single" w:sz="4" w:space="0" w:color="auto"/>
              <w:right w:val="single" w:sz="4" w:space="0" w:color="auto"/>
            </w:tcBorders>
            <w:vAlign w:val="center"/>
            <w:hideMark/>
          </w:tcPr>
          <w:p w14:paraId="7CE59842"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24x7</w:t>
            </w:r>
          </w:p>
        </w:tc>
        <w:tc>
          <w:tcPr>
            <w:tcW w:w="960" w:type="dxa"/>
            <w:tcBorders>
              <w:top w:val="nil"/>
              <w:left w:val="nil"/>
              <w:bottom w:val="single" w:sz="4" w:space="0" w:color="auto"/>
              <w:right w:val="single" w:sz="4" w:space="0" w:color="auto"/>
            </w:tcBorders>
            <w:vAlign w:val="center"/>
            <w:hideMark/>
          </w:tcPr>
          <w:p w14:paraId="0F0F25C6"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7am-9pm Mon-Sun</w:t>
            </w:r>
          </w:p>
        </w:tc>
        <w:tc>
          <w:tcPr>
            <w:tcW w:w="960" w:type="dxa"/>
            <w:tcBorders>
              <w:top w:val="nil"/>
              <w:left w:val="nil"/>
              <w:bottom w:val="single" w:sz="4" w:space="0" w:color="auto"/>
              <w:right w:val="single" w:sz="4" w:space="0" w:color="auto"/>
            </w:tcBorders>
            <w:vAlign w:val="center"/>
            <w:hideMark/>
          </w:tcPr>
          <w:p w14:paraId="5328D1E7"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24x7</w:t>
            </w:r>
          </w:p>
        </w:tc>
        <w:tc>
          <w:tcPr>
            <w:tcW w:w="960" w:type="dxa"/>
            <w:tcBorders>
              <w:top w:val="nil"/>
              <w:left w:val="nil"/>
              <w:bottom w:val="single" w:sz="4" w:space="0" w:color="auto"/>
              <w:right w:val="single" w:sz="4" w:space="0" w:color="auto"/>
            </w:tcBorders>
            <w:vAlign w:val="center"/>
            <w:hideMark/>
          </w:tcPr>
          <w:p w14:paraId="600974DD"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7am-9pm Mon-Sun</w:t>
            </w:r>
          </w:p>
        </w:tc>
        <w:tc>
          <w:tcPr>
            <w:tcW w:w="960" w:type="dxa"/>
            <w:tcBorders>
              <w:top w:val="nil"/>
              <w:left w:val="nil"/>
              <w:bottom w:val="single" w:sz="4" w:space="0" w:color="auto"/>
              <w:right w:val="single" w:sz="4" w:space="0" w:color="auto"/>
            </w:tcBorders>
            <w:vAlign w:val="center"/>
            <w:hideMark/>
          </w:tcPr>
          <w:p w14:paraId="65D53C57"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24x7</w:t>
            </w:r>
          </w:p>
        </w:tc>
        <w:tc>
          <w:tcPr>
            <w:tcW w:w="960" w:type="dxa"/>
            <w:tcBorders>
              <w:top w:val="nil"/>
              <w:left w:val="nil"/>
              <w:bottom w:val="single" w:sz="4" w:space="0" w:color="auto"/>
              <w:right w:val="single" w:sz="4" w:space="0" w:color="auto"/>
            </w:tcBorders>
            <w:vAlign w:val="center"/>
            <w:hideMark/>
          </w:tcPr>
          <w:p w14:paraId="4078D1B0"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7am-9pm Mon-Sun</w:t>
            </w:r>
          </w:p>
        </w:tc>
        <w:tc>
          <w:tcPr>
            <w:tcW w:w="960" w:type="dxa"/>
            <w:tcBorders>
              <w:top w:val="nil"/>
              <w:left w:val="nil"/>
              <w:bottom w:val="single" w:sz="4" w:space="0" w:color="auto"/>
              <w:right w:val="single" w:sz="8" w:space="0" w:color="auto"/>
            </w:tcBorders>
            <w:vAlign w:val="center"/>
            <w:hideMark/>
          </w:tcPr>
          <w:p w14:paraId="76111EFB"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24x7</w:t>
            </w:r>
          </w:p>
        </w:tc>
      </w:tr>
      <w:tr w:rsidR="00FE6BB7" w:rsidRPr="00FE6BB7" w14:paraId="6B87D4B0" w14:textId="77777777" w:rsidTr="00FE6BB7">
        <w:trPr>
          <w:trHeight w:val="290"/>
        </w:trPr>
        <w:tc>
          <w:tcPr>
            <w:tcW w:w="2620" w:type="dxa"/>
            <w:gridSpan w:val="2"/>
            <w:tcBorders>
              <w:top w:val="single" w:sz="4" w:space="0" w:color="auto"/>
              <w:left w:val="single" w:sz="8" w:space="0" w:color="auto"/>
              <w:bottom w:val="single" w:sz="4" w:space="0" w:color="auto"/>
              <w:right w:val="single" w:sz="4" w:space="0" w:color="auto"/>
            </w:tcBorders>
            <w:vAlign w:val="center"/>
            <w:hideMark/>
          </w:tcPr>
          <w:p w14:paraId="37CAE5A4"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7DD8A023"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Response time within</w:t>
            </w:r>
          </w:p>
        </w:tc>
        <w:tc>
          <w:tcPr>
            <w:tcW w:w="960" w:type="dxa"/>
            <w:tcBorders>
              <w:top w:val="nil"/>
              <w:left w:val="nil"/>
              <w:bottom w:val="single" w:sz="4" w:space="0" w:color="auto"/>
              <w:right w:val="single" w:sz="4" w:space="0" w:color="auto"/>
            </w:tcBorders>
            <w:vAlign w:val="center"/>
            <w:hideMark/>
          </w:tcPr>
          <w:p w14:paraId="7A845D9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8 hours</w:t>
            </w:r>
          </w:p>
        </w:tc>
        <w:tc>
          <w:tcPr>
            <w:tcW w:w="960" w:type="dxa"/>
            <w:tcBorders>
              <w:top w:val="nil"/>
              <w:left w:val="nil"/>
              <w:bottom w:val="single" w:sz="4" w:space="0" w:color="auto"/>
              <w:right w:val="single" w:sz="4" w:space="0" w:color="auto"/>
            </w:tcBorders>
            <w:vAlign w:val="center"/>
            <w:hideMark/>
          </w:tcPr>
          <w:p w14:paraId="43067172"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120 mins</w:t>
            </w:r>
          </w:p>
        </w:tc>
        <w:tc>
          <w:tcPr>
            <w:tcW w:w="960" w:type="dxa"/>
            <w:tcBorders>
              <w:top w:val="nil"/>
              <w:left w:val="nil"/>
              <w:bottom w:val="single" w:sz="4" w:space="0" w:color="auto"/>
              <w:right w:val="single" w:sz="4" w:space="0" w:color="auto"/>
            </w:tcBorders>
            <w:vAlign w:val="center"/>
            <w:hideMark/>
          </w:tcPr>
          <w:p w14:paraId="693B004C"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60 mins</w:t>
            </w:r>
          </w:p>
        </w:tc>
        <w:tc>
          <w:tcPr>
            <w:tcW w:w="1920" w:type="dxa"/>
            <w:gridSpan w:val="2"/>
            <w:tcBorders>
              <w:top w:val="single" w:sz="4" w:space="0" w:color="auto"/>
              <w:left w:val="nil"/>
              <w:bottom w:val="single" w:sz="4" w:space="0" w:color="auto"/>
              <w:right w:val="single" w:sz="4" w:space="0" w:color="auto"/>
            </w:tcBorders>
            <w:vAlign w:val="center"/>
            <w:hideMark/>
          </w:tcPr>
          <w:p w14:paraId="1787544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45 mins</w:t>
            </w:r>
          </w:p>
        </w:tc>
        <w:tc>
          <w:tcPr>
            <w:tcW w:w="1920" w:type="dxa"/>
            <w:gridSpan w:val="2"/>
            <w:tcBorders>
              <w:top w:val="single" w:sz="4" w:space="0" w:color="auto"/>
              <w:left w:val="nil"/>
              <w:bottom w:val="single" w:sz="4" w:space="0" w:color="auto"/>
              <w:right w:val="single" w:sz="4" w:space="0" w:color="auto"/>
            </w:tcBorders>
            <w:vAlign w:val="center"/>
            <w:hideMark/>
          </w:tcPr>
          <w:p w14:paraId="3DB9EF0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30 mins</w:t>
            </w:r>
          </w:p>
        </w:tc>
        <w:tc>
          <w:tcPr>
            <w:tcW w:w="1920" w:type="dxa"/>
            <w:gridSpan w:val="2"/>
            <w:tcBorders>
              <w:top w:val="single" w:sz="4" w:space="0" w:color="auto"/>
              <w:left w:val="nil"/>
              <w:bottom w:val="single" w:sz="4" w:space="0" w:color="auto"/>
              <w:right w:val="single" w:sz="8" w:space="0" w:color="000000"/>
            </w:tcBorders>
            <w:vAlign w:val="center"/>
            <w:hideMark/>
          </w:tcPr>
          <w:p w14:paraId="2112DBD2"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30 mins</w:t>
            </w:r>
          </w:p>
        </w:tc>
      </w:tr>
      <w:tr w:rsidR="00FE6BB7" w:rsidRPr="00FE6BB7" w14:paraId="2BAF2FBD" w14:textId="77777777" w:rsidTr="00FE6BB7">
        <w:trPr>
          <w:trHeight w:val="320"/>
        </w:trPr>
        <w:tc>
          <w:tcPr>
            <w:tcW w:w="2620" w:type="dxa"/>
            <w:gridSpan w:val="2"/>
            <w:tcBorders>
              <w:top w:val="single" w:sz="4" w:space="0" w:color="auto"/>
              <w:left w:val="single" w:sz="8" w:space="0" w:color="auto"/>
              <w:bottom w:val="single" w:sz="4" w:space="0" w:color="auto"/>
              <w:right w:val="single" w:sz="4" w:space="0" w:color="auto"/>
            </w:tcBorders>
            <w:vAlign w:val="center"/>
            <w:hideMark/>
          </w:tcPr>
          <w:p w14:paraId="54F7562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2FB002EF"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Urban, Rural or Remote Offsite restoration time</w:t>
            </w:r>
          </w:p>
        </w:tc>
        <w:tc>
          <w:tcPr>
            <w:tcW w:w="960" w:type="dxa"/>
            <w:tcBorders>
              <w:top w:val="nil"/>
              <w:left w:val="nil"/>
              <w:bottom w:val="single" w:sz="4" w:space="0" w:color="auto"/>
              <w:right w:val="single" w:sz="4" w:space="0" w:color="auto"/>
            </w:tcBorders>
            <w:vAlign w:val="center"/>
            <w:hideMark/>
          </w:tcPr>
          <w:p w14:paraId="0E6D6797"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EONBD</w:t>
            </w:r>
          </w:p>
        </w:tc>
        <w:tc>
          <w:tcPr>
            <w:tcW w:w="1920" w:type="dxa"/>
            <w:gridSpan w:val="2"/>
            <w:tcBorders>
              <w:top w:val="single" w:sz="4" w:space="0" w:color="auto"/>
              <w:left w:val="nil"/>
              <w:bottom w:val="single" w:sz="4" w:space="0" w:color="auto"/>
              <w:right w:val="single" w:sz="4" w:space="0" w:color="auto"/>
            </w:tcBorders>
            <w:vAlign w:val="center"/>
            <w:hideMark/>
          </w:tcPr>
          <w:p w14:paraId="162BBA64"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12 hours</w:t>
            </w:r>
          </w:p>
        </w:tc>
        <w:tc>
          <w:tcPr>
            <w:tcW w:w="1920" w:type="dxa"/>
            <w:gridSpan w:val="2"/>
            <w:tcBorders>
              <w:top w:val="single" w:sz="4" w:space="0" w:color="auto"/>
              <w:left w:val="nil"/>
              <w:bottom w:val="single" w:sz="4" w:space="0" w:color="auto"/>
              <w:right w:val="single" w:sz="4" w:space="0" w:color="auto"/>
            </w:tcBorders>
            <w:vAlign w:val="center"/>
            <w:hideMark/>
          </w:tcPr>
          <w:p w14:paraId="269A3A17"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8 hours</w:t>
            </w:r>
          </w:p>
        </w:tc>
        <w:tc>
          <w:tcPr>
            <w:tcW w:w="1920" w:type="dxa"/>
            <w:gridSpan w:val="2"/>
            <w:tcBorders>
              <w:top w:val="single" w:sz="4" w:space="0" w:color="auto"/>
              <w:left w:val="nil"/>
              <w:bottom w:val="single" w:sz="4" w:space="0" w:color="auto"/>
              <w:right w:val="single" w:sz="4" w:space="0" w:color="auto"/>
            </w:tcBorders>
            <w:vAlign w:val="center"/>
            <w:hideMark/>
          </w:tcPr>
          <w:p w14:paraId="05B33AD5"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6 hours</w:t>
            </w:r>
          </w:p>
        </w:tc>
        <w:tc>
          <w:tcPr>
            <w:tcW w:w="1920" w:type="dxa"/>
            <w:gridSpan w:val="2"/>
            <w:tcBorders>
              <w:top w:val="single" w:sz="4" w:space="0" w:color="auto"/>
              <w:left w:val="nil"/>
              <w:bottom w:val="single" w:sz="4" w:space="0" w:color="auto"/>
              <w:right w:val="single" w:sz="8" w:space="0" w:color="000000"/>
            </w:tcBorders>
            <w:vAlign w:val="center"/>
            <w:hideMark/>
          </w:tcPr>
          <w:p w14:paraId="47E4B2E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4 hours</w:t>
            </w:r>
          </w:p>
        </w:tc>
      </w:tr>
      <w:tr w:rsidR="00FE6BB7" w:rsidRPr="00FE6BB7" w14:paraId="23088B5B" w14:textId="77777777" w:rsidTr="00FE6BB7">
        <w:trPr>
          <w:trHeight w:val="290"/>
        </w:trPr>
        <w:tc>
          <w:tcPr>
            <w:tcW w:w="2620" w:type="dxa"/>
            <w:gridSpan w:val="2"/>
            <w:tcBorders>
              <w:top w:val="single" w:sz="4" w:space="0" w:color="auto"/>
              <w:left w:val="single" w:sz="8" w:space="0" w:color="auto"/>
              <w:bottom w:val="single" w:sz="4" w:space="0" w:color="auto"/>
              <w:right w:val="single" w:sz="4" w:space="0" w:color="auto"/>
            </w:tcBorders>
            <w:vAlign w:val="center"/>
            <w:hideMark/>
          </w:tcPr>
          <w:p w14:paraId="7AC742D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495D3D5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Urban Onsite restoration time</w:t>
            </w:r>
          </w:p>
        </w:tc>
        <w:tc>
          <w:tcPr>
            <w:tcW w:w="960" w:type="dxa"/>
            <w:tcBorders>
              <w:top w:val="nil"/>
              <w:left w:val="nil"/>
              <w:bottom w:val="single" w:sz="4" w:space="0" w:color="auto"/>
              <w:right w:val="single" w:sz="4" w:space="0" w:color="auto"/>
            </w:tcBorders>
            <w:vAlign w:val="center"/>
            <w:hideMark/>
          </w:tcPr>
          <w:p w14:paraId="19078588"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EONBD</w:t>
            </w:r>
          </w:p>
        </w:tc>
        <w:tc>
          <w:tcPr>
            <w:tcW w:w="1920" w:type="dxa"/>
            <w:gridSpan w:val="2"/>
            <w:tcBorders>
              <w:top w:val="single" w:sz="4" w:space="0" w:color="auto"/>
              <w:left w:val="nil"/>
              <w:bottom w:val="single" w:sz="4" w:space="0" w:color="auto"/>
              <w:right w:val="single" w:sz="4" w:space="0" w:color="auto"/>
            </w:tcBorders>
            <w:vAlign w:val="center"/>
            <w:hideMark/>
          </w:tcPr>
          <w:p w14:paraId="509A7218"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12 hours</w:t>
            </w:r>
          </w:p>
        </w:tc>
        <w:tc>
          <w:tcPr>
            <w:tcW w:w="1920" w:type="dxa"/>
            <w:gridSpan w:val="2"/>
            <w:tcBorders>
              <w:top w:val="single" w:sz="4" w:space="0" w:color="auto"/>
              <w:left w:val="nil"/>
              <w:bottom w:val="single" w:sz="4" w:space="0" w:color="auto"/>
              <w:right w:val="single" w:sz="4" w:space="0" w:color="auto"/>
            </w:tcBorders>
            <w:vAlign w:val="center"/>
            <w:hideMark/>
          </w:tcPr>
          <w:p w14:paraId="5017EBB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8 hours</w:t>
            </w:r>
          </w:p>
        </w:tc>
        <w:tc>
          <w:tcPr>
            <w:tcW w:w="1920" w:type="dxa"/>
            <w:gridSpan w:val="2"/>
            <w:tcBorders>
              <w:top w:val="single" w:sz="4" w:space="0" w:color="auto"/>
              <w:left w:val="nil"/>
              <w:bottom w:val="single" w:sz="4" w:space="0" w:color="auto"/>
              <w:right w:val="single" w:sz="4" w:space="0" w:color="auto"/>
            </w:tcBorders>
            <w:vAlign w:val="center"/>
            <w:hideMark/>
          </w:tcPr>
          <w:p w14:paraId="40B9D17F"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6 hours</w:t>
            </w:r>
          </w:p>
        </w:tc>
        <w:tc>
          <w:tcPr>
            <w:tcW w:w="1920" w:type="dxa"/>
            <w:gridSpan w:val="2"/>
            <w:tcBorders>
              <w:top w:val="single" w:sz="4" w:space="0" w:color="auto"/>
              <w:left w:val="nil"/>
              <w:bottom w:val="single" w:sz="4" w:space="0" w:color="auto"/>
              <w:right w:val="single" w:sz="8" w:space="0" w:color="000000"/>
            </w:tcBorders>
            <w:vAlign w:val="center"/>
            <w:hideMark/>
          </w:tcPr>
          <w:p w14:paraId="33A6DA1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4 hours</w:t>
            </w:r>
          </w:p>
        </w:tc>
      </w:tr>
      <w:tr w:rsidR="00FE6BB7" w:rsidRPr="00FE6BB7" w14:paraId="31D3D89B" w14:textId="77777777" w:rsidTr="00FE6BB7">
        <w:trPr>
          <w:trHeight w:val="290"/>
        </w:trPr>
        <w:tc>
          <w:tcPr>
            <w:tcW w:w="2620" w:type="dxa"/>
            <w:gridSpan w:val="2"/>
            <w:tcBorders>
              <w:top w:val="single" w:sz="4" w:space="0" w:color="auto"/>
              <w:left w:val="single" w:sz="8" w:space="0" w:color="auto"/>
              <w:bottom w:val="single" w:sz="4" w:space="0" w:color="auto"/>
              <w:right w:val="single" w:sz="4" w:space="0" w:color="auto"/>
            </w:tcBorders>
            <w:vAlign w:val="center"/>
            <w:hideMark/>
          </w:tcPr>
          <w:p w14:paraId="19D6D8FC"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624EF47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Rural Onsite restoration time</w:t>
            </w:r>
          </w:p>
        </w:tc>
        <w:tc>
          <w:tcPr>
            <w:tcW w:w="8640" w:type="dxa"/>
            <w:gridSpan w:val="9"/>
            <w:tcBorders>
              <w:top w:val="single" w:sz="4" w:space="0" w:color="auto"/>
              <w:left w:val="nil"/>
              <w:bottom w:val="single" w:sz="4" w:space="0" w:color="auto"/>
              <w:right w:val="single" w:sz="8" w:space="0" w:color="000000"/>
            </w:tcBorders>
            <w:vAlign w:val="center"/>
            <w:hideMark/>
          </w:tcPr>
          <w:p w14:paraId="0A06616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Urban onsite restoration time PLUS one business day</w:t>
            </w:r>
          </w:p>
        </w:tc>
      </w:tr>
      <w:tr w:rsidR="00FE6BB7" w:rsidRPr="00FE6BB7" w14:paraId="76C60B2E" w14:textId="77777777" w:rsidTr="00FE6BB7">
        <w:trPr>
          <w:trHeight w:val="290"/>
        </w:trPr>
        <w:tc>
          <w:tcPr>
            <w:tcW w:w="2620" w:type="dxa"/>
            <w:gridSpan w:val="2"/>
            <w:tcBorders>
              <w:top w:val="single" w:sz="4" w:space="0" w:color="auto"/>
              <w:left w:val="single" w:sz="8" w:space="0" w:color="auto"/>
              <w:bottom w:val="single" w:sz="4" w:space="0" w:color="auto"/>
              <w:right w:val="single" w:sz="4" w:space="0" w:color="auto"/>
            </w:tcBorders>
            <w:vAlign w:val="center"/>
            <w:hideMark/>
          </w:tcPr>
          <w:p w14:paraId="27297585"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7C8E4688"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Remote Onsite restoration time</w:t>
            </w:r>
          </w:p>
        </w:tc>
        <w:tc>
          <w:tcPr>
            <w:tcW w:w="8640" w:type="dxa"/>
            <w:gridSpan w:val="9"/>
            <w:tcBorders>
              <w:top w:val="single" w:sz="4" w:space="0" w:color="auto"/>
              <w:left w:val="nil"/>
              <w:bottom w:val="single" w:sz="4" w:space="0" w:color="auto"/>
              <w:right w:val="single" w:sz="8" w:space="0" w:color="000000"/>
            </w:tcBorders>
            <w:vAlign w:val="center"/>
            <w:hideMark/>
          </w:tcPr>
          <w:p w14:paraId="7934B9B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Urban onsite restoration time PLUS two business days</w:t>
            </w:r>
          </w:p>
        </w:tc>
      </w:tr>
      <w:tr w:rsidR="00FE6BB7" w:rsidRPr="00FE6BB7" w14:paraId="0F38F847" w14:textId="77777777" w:rsidTr="00FE6BB7">
        <w:trPr>
          <w:trHeight w:val="290"/>
        </w:trPr>
        <w:tc>
          <w:tcPr>
            <w:tcW w:w="13460" w:type="dxa"/>
            <w:gridSpan w:val="12"/>
            <w:tcBorders>
              <w:top w:val="single" w:sz="4" w:space="0" w:color="auto"/>
              <w:left w:val="single" w:sz="8" w:space="0" w:color="auto"/>
              <w:bottom w:val="single" w:sz="4" w:space="0" w:color="auto"/>
              <w:right w:val="single" w:sz="8" w:space="0" w:color="000000"/>
            </w:tcBorders>
            <w:shd w:val="clear" w:color="000000" w:fill="757171"/>
            <w:vAlign w:val="bottom"/>
            <w:hideMark/>
          </w:tcPr>
          <w:p w14:paraId="26A7D23B" w14:textId="77777777" w:rsidR="00FE6BB7" w:rsidRPr="00FE6BB7" w:rsidRDefault="00FE6BB7" w:rsidP="00FE6BB7">
            <w:pPr>
              <w:rPr>
                <w:rFonts w:ascii="Calibri" w:hAnsi="Calibri"/>
                <w:b/>
                <w:bCs/>
                <w:color w:val="FFFFFF"/>
                <w:sz w:val="12"/>
                <w:szCs w:val="12"/>
                <w:lang w:eastAsia="en-AU"/>
              </w:rPr>
            </w:pPr>
            <w:r w:rsidRPr="00FE6BB7">
              <w:rPr>
                <w:rFonts w:ascii="Calibri" w:hAnsi="Calibri"/>
                <w:b/>
                <w:bCs/>
                <w:color w:val="FFFFFF"/>
                <w:sz w:val="12"/>
                <w:szCs w:val="12"/>
                <w:lang w:eastAsia="en-AU"/>
              </w:rPr>
              <w:t>Solution</w:t>
            </w:r>
          </w:p>
        </w:tc>
      </w:tr>
      <w:tr w:rsidR="00FE6BB7" w:rsidRPr="00FE6BB7" w14:paraId="0D90F617" w14:textId="77777777" w:rsidTr="00FE6BB7">
        <w:trPr>
          <w:trHeight w:val="300"/>
        </w:trPr>
        <w:tc>
          <w:tcPr>
            <w:tcW w:w="1660" w:type="dxa"/>
            <w:tcBorders>
              <w:top w:val="nil"/>
              <w:left w:val="single" w:sz="8" w:space="0" w:color="auto"/>
              <w:bottom w:val="nil"/>
              <w:right w:val="single" w:sz="4" w:space="0" w:color="auto"/>
            </w:tcBorders>
            <w:shd w:val="clear" w:color="000000" w:fill="757171"/>
            <w:vAlign w:val="bottom"/>
            <w:hideMark/>
          </w:tcPr>
          <w:p w14:paraId="17998347" w14:textId="77777777" w:rsidR="00FE6BB7" w:rsidRPr="00FE6BB7" w:rsidRDefault="00FE6BB7" w:rsidP="00FE6BB7">
            <w:pPr>
              <w:rPr>
                <w:rFonts w:ascii="Calibri" w:hAnsi="Calibri"/>
                <w:b/>
                <w:bCs/>
                <w:color w:val="FFFFFF"/>
                <w:sz w:val="12"/>
                <w:szCs w:val="12"/>
                <w:lang w:eastAsia="en-AU"/>
              </w:rPr>
            </w:pPr>
            <w:r w:rsidRPr="00FE6BB7">
              <w:rPr>
                <w:rFonts w:ascii="Calibri" w:hAnsi="Calibri"/>
                <w:b/>
                <w:bCs/>
                <w:color w:val="FFFFFF"/>
                <w:sz w:val="12"/>
                <w:szCs w:val="12"/>
                <w:lang w:eastAsia="en-AU"/>
              </w:rPr>
              <w:t>Eligible Product</w:t>
            </w:r>
          </w:p>
        </w:tc>
        <w:tc>
          <w:tcPr>
            <w:tcW w:w="960" w:type="dxa"/>
            <w:tcBorders>
              <w:top w:val="nil"/>
              <w:left w:val="nil"/>
              <w:bottom w:val="nil"/>
              <w:right w:val="single" w:sz="4" w:space="0" w:color="auto"/>
            </w:tcBorders>
            <w:shd w:val="clear" w:color="000000" w:fill="757171"/>
            <w:vAlign w:val="bottom"/>
            <w:hideMark/>
          </w:tcPr>
          <w:p w14:paraId="774DF935" w14:textId="77777777" w:rsidR="00FE6BB7" w:rsidRPr="00FE6BB7" w:rsidRDefault="00FE6BB7" w:rsidP="00FE6BB7">
            <w:pPr>
              <w:rPr>
                <w:rFonts w:ascii="Calibri" w:hAnsi="Calibri"/>
                <w:b/>
                <w:bCs/>
                <w:color w:val="FFFFFF"/>
                <w:sz w:val="12"/>
                <w:szCs w:val="12"/>
                <w:lang w:eastAsia="en-AU"/>
              </w:rPr>
            </w:pPr>
            <w:r w:rsidRPr="00FE6BB7">
              <w:rPr>
                <w:rFonts w:ascii="Calibri" w:hAnsi="Calibri"/>
                <w:b/>
                <w:bCs/>
                <w:color w:val="FFFFFF"/>
                <w:sz w:val="12"/>
                <w:szCs w:val="12"/>
                <w:lang w:eastAsia="en-AU"/>
              </w:rPr>
              <w:t> </w:t>
            </w:r>
          </w:p>
        </w:tc>
        <w:tc>
          <w:tcPr>
            <w:tcW w:w="10840" w:type="dxa"/>
            <w:gridSpan w:val="10"/>
            <w:tcBorders>
              <w:top w:val="single" w:sz="4" w:space="0" w:color="auto"/>
              <w:left w:val="nil"/>
              <w:bottom w:val="nil"/>
              <w:right w:val="single" w:sz="8" w:space="0" w:color="000000"/>
            </w:tcBorders>
            <w:shd w:val="clear" w:color="000000" w:fill="757171"/>
            <w:vAlign w:val="bottom"/>
            <w:hideMark/>
          </w:tcPr>
          <w:p w14:paraId="055E4BDC" w14:textId="77777777" w:rsidR="00FE6BB7" w:rsidRPr="00FE6BB7" w:rsidRDefault="00FE6BB7" w:rsidP="00FE6BB7">
            <w:pPr>
              <w:rPr>
                <w:rFonts w:ascii="Calibri" w:hAnsi="Calibri"/>
                <w:b/>
                <w:bCs/>
                <w:color w:val="FFFFFF"/>
                <w:sz w:val="12"/>
                <w:szCs w:val="12"/>
                <w:lang w:eastAsia="en-AU"/>
              </w:rPr>
            </w:pPr>
            <w:r w:rsidRPr="00FE6BB7">
              <w:rPr>
                <w:rFonts w:ascii="Calibri" w:hAnsi="Calibri"/>
                <w:b/>
                <w:bCs/>
                <w:color w:val="FFFFFF"/>
                <w:sz w:val="12"/>
                <w:szCs w:val="12"/>
                <w:lang w:eastAsia="en-AU"/>
              </w:rPr>
              <w:t>Access Service</w:t>
            </w:r>
          </w:p>
        </w:tc>
      </w:tr>
      <w:tr w:rsidR="00FE6BB7" w:rsidRPr="00FE6BB7" w14:paraId="75B641C6" w14:textId="77777777" w:rsidTr="00FE6BB7">
        <w:trPr>
          <w:trHeight w:val="290"/>
        </w:trPr>
        <w:tc>
          <w:tcPr>
            <w:tcW w:w="1660" w:type="dxa"/>
            <w:vMerge w:val="restart"/>
            <w:tcBorders>
              <w:top w:val="single" w:sz="8" w:space="0" w:color="auto"/>
              <w:left w:val="single" w:sz="8" w:space="0" w:color="auto"/>
              <w:bottom w:val="single" w:sz="8" w:space="0" w:color="000000"/>
              <w:right w:val="single" w:sz="4" w:space="0" w:color="auto"/>
            </w:tcBorders>
            <w:vAlign w:val="center"/>
            <w:hideMark/>
          </w:tcPr>
          <w:p w14:paraId="0D3D888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Business IP</w:t>
            </w:r>
            <w:r w:rsidRPr="00FE6BB7">
              <w:rPr>
                <w:rFonts w:ascii="Calibri" w:hAnsi="Calibri"/>
                <w:b/>
                <w:bCs/>
                <w:color w:val="000000"/>
                <w:sz w:val="12"/>
                <w:szCs w:val="12"/>
                <w:lang w:eastAsia="en-AU"/>
              </w:rPr>
              <w:br/>
              <w:t>Connect IP</w:t>
            </w:r>
            <w:r w:rsidRPr="00FE6BB7">
              <w:rPr>
                <w:rFonts w:ascii="Calibri" w:hAnsi="Calibri"/>
                <w:b/>
                <w:bCs/>
                <w:color w:val="000000"/>
                <w:sz w:val="12"/>
                <w:szCs w:val="12"/>
                <w:lang w:eastAsia="en-AU"/>
              </w:rPr>
              <w:br/>
              <w:t>MDN</w:t>
            </w:r>
          </w:p>
        </w:tc>
        <w:tc>
          <w:tcPr>
            <w:tcW w:w="960" w:type="dxa"/>
            <w:vMerge w:val="restart"/>
            <w:tcBorders>
              <w:top w:val="single" w:sz="8" w:space="0" w:color="auto"/>
              <w:left w:val="single" w:sz="4" w:space="0" w:color="auto"/>
              <w:bottom w:val="single" w:sz="4" w:space="0" w:color="000000"/>
              <w:right w:val="single" w:sz="4" w:space="0" w:color="auto"/>
            </w:tcBorders>
            <w:textDirection w:val="btLr"/>
            <w:vAlign w:val="center"/>
            <w:hideMark/>
          </w:tcPr>
          <w:p w14:paraId="0CAC6BE8"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Advantage</w:t>
            </w:r>
          </w:p>
        </w:tc>
        <w:tc>
          <w:tcPr>
            <w:tcW w:w="2200" w:type="dxa"/>
            <w:tcBorders>
              <w:top w:val="single" w:sz="8" w:space="0" w:color="auto"/>
              <w:left w:val="nil"/>
              <w:bottom w:val="single" w:sz="4" w:space="0" w:color="auto"/>
              <w:right w:val="single" w:sz="4" w:space="0" w:color="auto"/>
            </w:tcBorders>
            <w:vAlign w:val="center"/>
            <w:hideMark/>
          </w:tcPr>
          <w:p w14:paraId="4DB45F39" w14:textId="24620565" w:rsidR="00FE6BB7" w:rsidRPr="00FE6BB7" w:rsidRDefault="00FE6BB7" w:rsidP="00FE6BB7">
            <w:pPr>
              <w:rPr>
                <w:rFonts w:ascii="Calibri" w:hAnsi="Calibri"/>
                <w:color w:val="000000"/>
                <w:sz w:val="12"/>
                <w:szCs w:val="12"/>
                <w:lang w:eastAsia="en-AU"/>
              </w:rPr>
            </w:pPr>
            <w:r w:rsidRPr="00FE6BB7">
              <w:rPr>
                <w:rFonts w:ascii="Calibri" w:hAnsi="Calibri"/>
                <w:color w:val="000000"/>
                <w:sz w:val="12"/>
                <w:szCs w:val="12"/>
                <w:lang w:eastAsia="en-AU"/>
              </w:rPr>
              <w:t xml:space="preserve">Ethernet </w:t>
            </w:r>
            <w:r w:rsidR="002A7567">
              <w:rPr>
                <w:rFonts w:ascii="Calibri" w:hAnsi="Calibri"/>
                <w:color w:val="000000"/>
                <w:sz w:val="12"/>
                <w:szCs w:val="12"/>
                <w:lang w:eastAsia="en-AU"/>
              </w:rPr>
              <w:t>o</w:t>
            </w:r>
            <w:r w:rsidRPr="00FE6BB7">
              <w:rPr>
                <w:rFonts w:ascii="Calibri" w:hAnsi="Calibri"/>
                <w:color w:val="000000"/>
                <w:sz w:val="12"/>
                <w:szCs w:val="12"/>
                <w:lang w:eastAsia="en-AU"/>
              </w:rPr>
              <w:t xml:space="preserve">ver </w:t>
            </w:r>
            <w:proofErr w:type="spellStart"/>
            <w:r w:rsidRPr="00FE6BB7">
              <w:rPr>
                <w:rFonts w:ascii="Calibri" w:hAnsi="Calibri"/>
                <w:b/>
                <w:bCs/>
                <w:color w:val="000000"/>
                <w:sz w:val="12"/>
                <w:szCs w:val="12"/>
                <w:lang w:eastAsia="en-AU"/>
              </w:rPr>
              <w:t>nbn</w:t>
            </w:r>
            <w:proofErr w:type="spellEnd"/>
            <w:r w:rsidRPr="00FE6BB7">
              <w:rPr>
                <w:rFonts w:ascii="Calibri" w:hAnsi="Calibri"/>
                <w:b/>
                <w:bCs/>
                <w:color w:val="000000"/>
                <w:sz w:val="12"/>
                <w:szCs w:val="12"/>
                <w:lang w:eastAsia="en-AU"/>
              </w:rPr>
              <w:t>™</w:t>
            </w:r>
          </w:p>
        </w:tc>
        <w:tc>
          <w:tcPr>
            <w:tcW w:w="960" w:type="dxa"/>
            <w:tcBorders>
              <w:top w:val="single" w:sz="8" w:space="0" w:color="auto"/>
              <w:left w:val="nil"/>
              <w:bottom w:val="single" w:sz="4" w:space="0" w:color="auto"/>
              <w:right w:val="single" w:sz="4" w:space="0" w:color="auto"/>
            </w:tcBorders>
            <w:vAlign w:val="center"/>
            <w:hideMark/>
          </w:tcPr>
          <w:p w14:paraId="1BB5F38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single" w:sz="8" w:space="0" w:color="auto"/>
              <w:left w:val="nil"/>
              <w:bottom w:val="single" w:sz="4" w:space="0" w:color="auto"/>
              <w:right w:val="single" w:sz="4" w:space="0" w:color="auto"/>
            </w:tcBorders>
            <w:shd w:val="clear" w:color="000000" w:fill="4FD1FF"/>
            <w:vAlign w:val="center"/>
            <w:hideMark/>
          </w:tcPr>
          <w:p w14:paraId="2E4CA2D7"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6720" w:type="dxa"/>
            <w:gridSpan w:val="7"/>
            <w:tcBorders>
              <w:top w:val="single" w:sz="8" w:space="0" w:color="auto"/>
              <w:left w:val="nil"/>
              <w:bottom w:val="single" w:sz="4" w:space="0" w:color="auto"/>
              <w:right w:val="single" w:sz="8" w:space="0" w:color="000000"/>
            </w:tcBorders>
            <w:shd w:val="clear" w:color="000000" w:fill="66FFFF"/>
            <w:vAlign w:val="center"/>
            <w:hideMark/>
          </w:tcPr>
          <w:p w14:paraId="4D0FE44D"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r>
      <w:tr w:rsidR="00FE6BB7" w:rsidRPr="00FE6BB7" w14:paraId="72C23769" w14:textId="77777777" w:rsidTr="00FE6BB7">
        <w:trPr>
          <w:trHeight w:val="320"/>
        </w:trPr>
        <w:tc>
          <w:tcPr>
            <w:tcW w:w="1660" w:type="dxa"/>
            <w:vMerge/>
            <w:tcBorders>
              <w:top w:val="single" w:sz="8" w:space="0" w:color="auto"/>
              <w:left w:val="single" w:sz="8" w:space="0" w:color="auto"/>
              <w:bottom w:val="single" w:sz="8" w:space="0" w:color="000000"/>
              <w:right w:val="single" w:sz="4" w:space="0" w:color="auto"/>
            </w:tcBorders>
            <w:vAlign w:val="center"/>
            <w:hideMark/>
          </w:tcPr>
          <w:p w14:paraId="6C064708" w14:textId="77777777" w:rsidR="00FE6BB7" w:rsidRPr="00FE6BB7" w:rsidRDefault="00FE6BB7" w:rsidP="00FE6BB7">
            <w:pPr>
              <w:rPr>
                <w:rFonts w:ascii="Calibri" w:hAnsi="Calibri"/>
                <w:b/>
                <w:bCs/>
                <w:color w:val="000000"/>
                <w:sz w:val="12"/>
                <w:szCs w:val="12"/>
                <w:lang w:eastAsia="en-AU"/>
              </w:rPr>
            </w:pPr>
          </w:p>
        </w:tc>
        <w:tc>
          <w:tcPr>
            <w:tcW w:w="960" w:type="dxa"/>
            <w:vMerge/>
            <w:tcBorders>
              <w:top w:val="single" w:sz="8" w:space="0" w:color="auto"/>
              <w:left w:val="single" w:sz="4" w:space="0" w:color="auto"/>
              <w:bottom w:val="single" w:sz="4" w:space="0" w:color="000000"/>
              <w:right w:val="single" w:sz="4" w:space="0" w:color="auto"/>
            </w:tcBorders>
            <w:vAlign w:val="center"/>
            <w:hideMark/>
          </w:tcPr>
          <w:p w14:paraId="47DFF2B8" w14:textId="77777777" w:rsidR="00FE6BB7" w:rsidRPr="00FE6BB7" w:rsidRDefault="00FE6BB7" w:rsidP="00FE6BB7">
            <w:pPr>
              <w:rPr>
                <w:rFonts w:ascii="Calibri" w:hAnsi="Calibri"/>
                <w:b/>
                <w:bCs/>
                <w:color w:val="000000"/>
                <w:sz w:val="12"/>
                <w:szCs w:val="12"/>
                <w:lang w:eastAsia="en-AU"/>
              </w:rPr>
            </w:pPr>
          </w:p>
        </w:tc>
        <w:tc>
          <w:tcPr>
            <w:tcW w:w="2200" w:type="dxa"/>
            <w:tcBorders>
              <w:top w:val="nil"/>
              <w:left w:val="nil"/>
              <w:bottom w:val="single" w:sz="4" w:space="0" w:color="auto"/>
              <w:right w:val="single" w:sz="4" w:space="0" w:color="auto"/>
            </w:tcBorders>
            <w:vAlign w:val="center"/>
            <w:hideMark/>
          </w:tcPr>
          <w:p w14:paraId="756F5D93" w14:textId="2EC18F9F" w:rsidR="00FE6BB7" w:rsidRPr="00FE6BB7" w:rsidRDefault="00D50B16" w:rsidP="00FE6BB7">
            <w:pPr>
              <w:rPr>
                <w:rFonts w:ascii="Calibri" w:hAnsi="Calibri"/>
                <w:color w:val="000000"/>
                <w:sz w:val="12"/>
                <w:szCs w:val="12"/>
                <w:lang w:eastAsia="en-AU"/>
              </w:rPr>
            </w:pPr>
            <w:r>
              <w:rPr>
                <w:rFonts w:ascii="Calibri" w:hAnsi="Calibri"/>
                <w:color w:val="000000"/>
                <w:sz w:val="12"/>
                <w:szCs w:val="12"/>
                <w:lang w:eastAsia="en-AU"/>
              </w:rPr>
              <w:t xml:space="preserve">Business </w:t>
            </w:r>
            <w:r w:rsidR="00FE6BB7" w:rsidRPr="00FE6BB7">
              <w:rPr>
                <w:rFonts w:ascii="Calibri" w:hAnsi="Calibri"/>
                <w:color w:val="000000"/>
                <w:sz w:val="12"/>
                <w:szCs w:val="12"/>
                <w:lang w:eastAsia="en-AU"/>
              </w:rPr>
              <w:t>Broadband</w:t>
            </w:r>
            <w:r>
              <w:rPr>
                <w:rFonts w:ascii="Calibri" w:hAnsi="Calibri"/>
                <w:color w:val="000000"/>
                <w:sz w:val="12"/>
                <w:szCs w:val="12"/>
                <w:lang w:eastAsia="en-AU"/>
              </w:rPr>
              <w:t xml:space="preserve"> over</w:t>
            </w:r>
            <w:r w:rsidR="00FE6BB7" w:rsidRPr="00FE6BB7">
              <w:rPr>
                <w:rFonts w:ascii="Calibri" w:hAnsi="Calibri"/>
                <w:b/>
                <w:bCs/>
                <w:color w:val="000000"/>
                <w:sz w:val="12"/>
                <w:szCs w:val="12"/>
                <w:lang w:eastAsia="en-AU"/>
              </w:rPr>
              <w:t xml:space="preserve"> </w:t>
            </w:r>
            <w:proofErr w:type="spellStart"/>
            <w:r w:rsidR="00FE6BB7" w:rsidRPr="00FE6BB7">
              <w:rPr>
                <w:rFonts w:ascii="Calibri" w:hAnsi="Calibri"/>
                <w:b/>
                <w:bCs/>
                <w:color w:val="000000"/>
                <w:sz w:val="12"/>
                <w:szCs w:val="12"/>
                <w:lang w:eastAsia="en-AU"/>
              </w:rPr>
              <w:t>nbn</w:t>
            </w:r>
            <w:proofErr w:type="spellEnd"/>
            <w:r w:rsidR="00FE6BB7" w:rsidRPr="00FE6BB7">
              <w:rPr>
                <w:rFonts w:ascii="Calibri" w:hAnsi="Calibri"/>
                <w:b/>
                <w:bCs/>
                <w:color w:val="000000"/>
                <w:sz w:val="12"/>
                <w:szCs w:val="12"/>
                <w:lang w:eastAsia="en-AU"/>
              </w:rPr>
              <w:t>™</w:t>
            </w:r>
            <w:r w:rsidR="00FE6BB7" w:rsidRPr="00FE6BB7">
              <w:rPr>
                <w:rFonts w:ascii="Calibri" w:hAnsi="Calibri"/>
                <w:color w:val="000000"/>
                <w:sz w:val="12"/>
                <w:szCs w:val="12"/>
                <w:lang w:eastAsia="en-AU"/>
              </w:rPr>
              <w:t xml:space="preserve"> (FTTP, FTTN, FTTB, FTTC)</w:t>
            </w:r>
          </w:p>
        </w:tc>
        <w:tc>
          <w:tcPr>
            <w:tcW w:w="960" w:type="dxa"/>
            <w:tcBorders>
              <w:top w:val="nil"/>
              <w:left w:val="nil"/>
              <w:bottom w:val="single" w:sz="4" w:space="0" w:color="auto"/>
              <w:right w:val="single" w:sz="4" w:space="0" w:color="auto"/>
            </w:tcBorders>
            <w:shd w:val="clear" w:color="000000" w:fill="4FD1FF"/>
            <w:vAlign w:val="center"/>
            <w:hideMark/>
          </w:tcPr>
          <w:p w14:paraId="4C65BD59"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7680" w:type="dxa"/>
            <w:gridSpan w:val="8"/>
            <w:tcBorders>
              <w:top w:val="single" w:sz="4" w:space="0" w:color="auto"/>
              <w:left w:val="nil"/>
              <w:bottom w:val="single" w:sz="4" w:space="0" w:color="auto"/>
              <w:right w:val="single" w:sz="8" w:space="0" w:color="000000"/>
            </w:tcBorders>
            <w:shd w:val="clear" w:color="000000" w:fill="66FFFF"/>
            <w:vAlign w:val="center"/>
            <w:hideMark/>
          </w:tcPr>
          <w:p w14:paraId="761DDD5D"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r>
      <w:tr w:rsidR="00FE6BB7" w:rsidRPr="00FE6BB7" w14:paraId="6542C2E4" w14:textId="77777777" w:rsidTr="00FE6BB7">
        <w:trPr>
          <w:trHeight w:val="320"/>
        </w:trPr>
        <w:tc>
          <w:tcPr>
            <w:tcW w:w="1660" w:type="dxa"/>
            <w:vMerge/>
            <w:tcBorders>
              <w:top w:val="single" w:sz="8" w:space="0" w:color="auto"/>
              <w:left w:val="single" w:sz="8" w:space="0" w:color="auto"/>
              <w:bottom w:val="single" w:sz="8" w:space="0" w:color="000000"/>
              <w:right w:val="single" w:sz="4" w:space="0" w:color="auto"/>
            </w:tcBorders>
            <w:vAlign w:val="center"/>
            <w:hideMark/>
          </w:tcPr>
          <w:p w14:paraId="1FD4B673" w14:textId="77777777" w:rsidR="00FE6BB7" w:rsidRPr="00FE6BB7" w:rsidRDefault="00FE6BB7" w:rsidP="00FE6BB7">
            <w:pPr>
              <w:rPr>
                <w:rFonts w:ascii="Calibri" w:hAnsi="Calibri"/>
                <w:b/>
                <w:bCs/>
                <w:color w:val="000000"/>
                <w:sz w:val="12"/>
                <w:szCs w:val="12"/>
                <w:lang w:eastAsia="en-AU"/>
              </w:rPr>
            </w:pPr>
          </w:p>
        </w:tc>
        <w:tc>
          <w:tcPr>
            <w:tcW w:w="960" w:type="dxa"/>
            <w:tcBorders>
              <w:top w:val="nil"/>
              <w:left w:val="nil"/>
              <w:bottom w:val="single" w:sz="4" w:space="0" w:color="auto"/>
              <w:right w:val="single" w:sz="4" w:space="0" w:color="auto"/>
            </w:tcBorders>
            <w:textDirection w:val="btLr"/>
            <w:vAlign w:val="bottom"/>
            <w:hideMark/>
          </w:tcPr>
          <w:p w14:paraId="3E6824A2" w14:textId="77777777" w:rsidR="00FE6BB7" w:rsidRPr="00FE6BB7" w:rsidRDefault="00FE6BB7"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4" w:space="0" w:color="auto"/>
              <w:right w:val="single" w:sz="4" w:space="0" w:color="auto"/>
            </w:tcBorders>
            <w:vAlign w:val="center"/>
            <w:hideMark/>
          </w:tcPr>
          <w:p w14:paraId="3C521FF0" w14:textId="07C60F8F" w:rsidR="00FE6BB7" w:rsidRPr="00FE6BB7" w:rsidRDefault="00D50B16" w:rsidP="00FE6BB7">
            <w:pPr>
              <w:rPr>
                <w:rFonts w:ascii="Calibri" w:hAnsi="Calibri"/>
                <w:color w:val="000000"/>
                <w:sz w:val="12"/>
                <w:szCs w:val="12"/>
                <w:lang w:eastAsia="en-AU"/>
              </w:rPr>
            </w:pPr>
            <w:r>
              <w:rPr>
                <w:rFonts w:ascii="Calibri" w:hAnsi="Calibri"/>
                <w:color w:val="000000"/>
                <w:sz w:val="12"/>
                <w:szCs w:val="12"/>
                <w:lang w:eastAsia="en-AU"/>
              </w:rPr>
              <w:t xml:space="preserve">Business </w:t>
            </w:r>
            <w:r w:rsidR="00FE6BB7" w:rsidRPr="00FE6BB7">
              <w:rPr>
                <w:rFonts w:ascii="Calibri" w:hAnsi="Calibri"/>
                <w:color w:val="000000"/>
                <w:sz w:val="12"/>
                <w:szCs w:val="12"/>
                <w:lang w:eastAsia="en-AU"/>
              </w:rPr>
              <w:t>Broadband</w:t>
            </w:r>
            <w:r>
              <w:rPr>
                <w:rFonts w:ascii="Calibri" w:hAnsi="Calibri"/>
                <w:color w:val="000000"/>
                <w:sz w:val="12"/>
                <w:szCs w:val="12"/>
                <w:lang w:eastAsia="en-AU"/>
              </w:rPr>
              <w:t xml:space="preserve"> over</w:t>
            </w:r>
            <w:r w:rsidR="00FE6BB7" w:rsidRPr="00FE6BB7">
              <w:rPr>
                <w:rFonts w:ascii="Calibri" w:hAnsi="Calibri"/>
                <w:color w:val="000000"/>
                <w:sz w:val="12"/>
                <w:szCs w:val="12"/>
                <w:lang w:eastAsia="en-AU"/>
              </w:rPr>
              <w:t xml:space="preserve"> </w:t>
            </w:r>
            <w:proofErr w:type="spellStart"/>
            <w:r w:rsidR="00FE6BB7" w:rsidRPr="00FE6BB7">
              <w:rPr>
                <w:rFonts w:ascii="Calibri" w:hAnsi="Calibri"/>
                <w:b/>
                <w:bCs/>
                <w:color w:val="000000"/>
                <w:sz w:val="12"/>
                <w:szCs w:val="12"/>
                <w:lang w:eastAsia="en-AU"/>
              </w:rPr>
              <w:t>nbn</w:t>
            </w:r>
            <w:proofErr w:type="spellEnd"/>
            <w:r w:rsidR="00FE6BB7" w:rsidRPr="00FE6BB7">
              <w:rPr>
                <w:rFonts w:ascii="Calibri" w:hAnsi="Calibri"/>
                <w:b/>
                <w:bCs/>
                <w:color w:val="000000"/>
                <w:sz w:val="12"/>
                <w:szCs w:val="12"/>
                <w:lang w:eastAsia="en-AU"/>
              </w:rPr>
              <w:t>™</w:t>
            </w:r>
            <w:r w:rsidR="00FE6BB7" w:rsidRPr="00FE6BB7">
              <w:rPr>
                <w:rFonts w:ascii="Calibri" w:hAnsi="Calibri"/>
                <w:color w:val="000000"/>
                <w:sz w:val="12"/>
                <w:szCs w:val="12"/>
                <w:lang w:eastAsia="en-AU"/>
              </w:rPr>
              <w:t xml:space="preserve"> (HFC and Fixed </w:t>
            </w:r>
            <w:proofErr w:type="gramStart"/>
            <w:r w:rsidR="00FE6BB7" w:rsidRPr="00FE6BB7">
              <w:rPr>
                <w:rFonts w:ascii="Calibri" w:hAnsi="Calibri"/>
                <w:color w:val="000000"/>
                <w:sz w:val="12"/>
                <w:szCs w:val="12"/>
                <w:lang w:eastAsia="en-AU"/>
              </w:rPr>
              <w:t>Wireless)</w:t>
            </w:r>
            <w:r w:rsidR="00FE6BB7" w:rsidRPr="00FE6BB7">
              <w:rPr>
                <w:rFonts w:ascii="Calibri" w:hAnsi="Calibri"/>
                <w:b/>
                <w:bCs/>
                <w:color w:val="000000"/>
                <w:sz w:val="12"/>
                <w:szCs w:val="12"/>
                <w:lang w:eastAsia="en-AU"/>
              </w:rPr>
              <w:t>*</w:t>
            </w:r>
            <w:proofErr w:type="gramEnd"/>
            <w:r w:rsidR="00FE6BB7" w:rsidRPr="00FE6BB7">
              <w:rPr>
                <w:rFonts w:ascii="Calibri" w:hAnsi="Calibri"/>
                <w:b/>
                <w:bCs/>
                <w:color w:val="000000"/>
                <w:sz w:val="12"/>
                <w:szCs w:val="12"/>
                <w:lang w:eastAsia="en-AU"/>
              </w:rPr>
              <w:t>**</w:t>
            </w:r>
          </w:p>
        </w:tc>
        <w:tc>
          <w:tcPr>
            <w:tcW w:w="960" w:type="dxa"/>
            <w:tcBorders>
              <w:top w:val="nil"/>
              <w:left w:val="nil"/>
              <w:bottom w:val="single" w:sz="4" w:space="0" w:color="auto"/>
              <w:right w:val="single" w:sz="4" w:space="0" w:color="auto"/>
            </w:tcBorders>
            <w:shd w:val="clear" w:color="000000" w:fill="4FD1FF"/>
            <w:vAlign w:val="center"/>
            <w:hideMark/>
          </w:tcPr>
          <w:p w14:paraId="359FFFCC"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7680" w:type="dxa"/>
            <w:gridSpan w:val="8"/>
            <w:tcBorders>
              <w:top w:val="single" w:sz="4" w:space="0" w:color="auto"/>
              <w:left w:val="nil"/>
              <w:bottom w:val="single" w:sz="4" w:space="0" w:color="auto"/>
              <w:right w:val="single" w:sz="8" w:space="0" w:color="000000"/>
            </w:tcBorders>
            <w:vAlign w:val="center"/>
            <w:hideMark/>
          </w:tcPr>
          <w:p w14:paraId="56250522"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r>
      <w:tr w:rsidR="00FE6BB7" w:rsidRPr="00FE6BB7" w14:paraId="4F4ABBE6" w14:textId="77777777" w:rsidTr="00FE6BB7">
        <w:trPr>
          <w:trHeight w:val="330"/>
        </w:trPr>
        <w:tc>
          <w:tcPr>
            <w:tcW w:w="1660" w:type="dxa"/>
            <w:vMerge/>
            <w:tcBorders>
              <w:top w:val="single" w:sz="8" w:space="0" w:color="auto"/>
              <w:left w:val="single" w:sz="8" w:space="0" w:color="auto"/>
              <w:bottom w:val="single" w:sz="8" w:space="0" w:color="000000"/>
              <w:right w:val="single" w:sz="4" w:space="0" w:color="auto"/>
            </w:tcBorders>
            <w:vAlign w:val="center"/>
            <w:hideMark/>
          </w:tcPr>
          <w:p w14:paraId="4D3B80FD" w14:textId="77777777" w:rsidR="00FE6BB7" w:rsidRPr="00FE6BB7" w:rsidRDefault="00FE6BB7" w:rsidP="00FE6BB7">
            <w:pPr>
              <w:rPr>
                <w:rFonts w:ascii="Calibri" w:hAnsi="Calibri"/>
                <w:b/>
                <w:bCs/>
                <w:color w:val="000000"/>
                <w:sz w:val="12"/>
                <w:szCs w:val="12"/>
                <w:lang w:eastAsia="en-AU"/>
              </w:rPr>
            </w:pPr>
          </w:p>
        </w:tc>
        <w:tc>
          <w:tcPr>
            <w:tcW w:w="960" w:type="dxa"/>
            <w:tcBorders>
              <w:top w:val="nil"/>
              <w:left w:val="nil"/>
              <w:bottom w:val="single" w:sz="8" w:space="0" w:color="auto"/>
              <w:right w:val="single" w:sz="4" w:space="0" w:color="auto"/>
            </w:tcBorders>
            <w:textDirection w:val="btLr"/>
            <w:vAlign w:val="bottom"/>
            <w:hideMark/>
          </w:tcPr>
          <w:p w14:paraId="7ED053C8" w14:textId="77777777" w:rsidR="00FE6BB7" w:rsidRPr="00FE6BB7" w:rsidRDefault="00FE6BB7"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8" w:space="0" w:color="auto"/>
              <w:right w:val="single" w:sz="4" w:space="0" w:color="auto"/>
            </w:tcBorders>
            <w:vAlign w:val="center"/>
            <w:hideMark/>
          </w:tcPr>
          <w:p w14:paraId="192B12C0" w14:textId="77777777" w:rsidR="00FE6BB7" w:rsidRPr="00FE6BB7" w:rsidRDefault="00FE6BB7" w:rsidP="00FE6BB7">
            <w:pPr>
              <w:rPr>
                <w:rFonts w:ascii="Calibri" w:hAnsi="Calibri"/>
                <w:color w:val="000000"/>
                <w:sz w:val="12"/>
                <w:szCs w:val="12"/>
                <w:lang w:eastAsia="en-AU"/>
              </w:rPr>
            </w:pPr>
            <w:r w:rsidRPr="00FE6BB7">
              <w:rPr>
                <w:rFonts w:ascii="Calibri" w:hAnsi="Calibri"/>
                <w:color w:val="000000"/>
                <w:sz w:val="12"/>
                <w:szCs w:val="12"/>
                <w:lang w:eastAsia="en-AU"/>
              </w:rPr>
              <w:t xml:space="preserve">Direct Fibre over </w:t>
            </w:r>
            <w:proofErr w:type="spellStart"/>
            <w:r w:rsidRPr="00FE6BB7">
              <w:rPr>
                <w:rFonts w:ascii="Calibri" w:hAnsi="Calibri"/>
                <w:b/>
                <w:bCs/>
                <w:color w:val="000000"/>
                <w:sz w:val="12"/>
                <w:szCs w:val="12"/>
                <w:lang w:eastAsia="en-AU"/>
              </w:rPr>
              <w:t>nbn</w:t>
            </w:r>
            <w:proofErr w:type="spellEnd"/>
            <w:r w:rsidRPr="00FE6BB7">
              <w:rPr>
                <w:rFonts w:ascii="Calibri" w:hAnsi="Calibri"/>
                <w:b/>
                <w:bCs/>
                <w:color w:val="000000"/>
                <w:sz w:val="12"/>
                <w:szCs w:val="12"/>
                <w:lang w:eastAsia="en-AU"/>
              </w:rPr>
              <w:t>™</w:t>
            </w:r>
            <w:r w:rsidRPr="00FE6BB7">
              <w:rPr>
                <w:rFonts w:ascii="Calibri" w:hAnsi="Calibri"/>
                <w:color w:val="000000"/>
                <w:sz w:val="12"/>
                <w:szCs w:val="12"/>
                <w:lang w:eastAsia="en-AU"/>
              </w:rPr>
              <w:t xml:space="preserve"> (single access)</w:t>
            </w:r>
          </w:p>
        </w:tc>
        <w:tc>
          <w:tcPr>
            <w:tcW w:w="1920" w:type="dxa"/>
            <w:gridSpan w:val="2"/>
            <w:tcBorders>
              <w:top w:val="single" w:sz="4" w:space="0" w:color="auto"/>
              <w:left w:val="nil"/>
              <w:bottom w:val="single" w:sz="8" w:space="0" w:color="auto"/>
              <w:right w:val="single" w:sz="4" w:space="0" w:color="auto"/>
            </w:tcBorders>
            <w:vAlign w:val="center"/>
            <w:hideMark/>
          </w:tcPr>
          <w:p w14:paraId="247B033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4FD1FF"/>
            <w:vAlign w:val="center"/>
            <w:hideMark/>
          </w:tcPr>
          <w:p w14:paraId="1E3799BF"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960" w:type="dxa"/>
            <w:tcBorders>
              <w:top w:val="nil"/>
              <w:left w:val="nil"/>
              <w:bottom w:val="single" w:sz="8" w:space="0" w:color="auto"/>
              <w:right w:val="single" w:sz="4" w:space="0" w:color="auto"/>
            </w:tcBorders>
            <w:vAlign w:val="center"/>
            <w:hideMark/>
          </w:tcPr>
          <w:p w14:paraId="5611E769"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66FFFF"/>
            <w:vAlign w:val="center"/>
            <w:hideMark/>
          </w:tcPr>
          <w:p w14:paraId="07E79BBD"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c>
          <w:tcPr>
            <w:tcW w:w="960" w:type="dxa"/>
            <w:tcBorders>
              <w:top w:val="nil"/>
              <w:left w:val="nil"/>
              <w:bottom w:val="single" w:sz="8" w:space="0" w:color="auto"/>
              <w:right w:val="single" w:sz="4" w:space="0" w:color="auto"/>
            </w:tcBorders>
            <w:vAlign w:val="center"/>
            <w:hideMark/>
          </w:tcPr>
          <w:p w14:paraId="5B4E470C"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66FFFF"/>
            <w:vAlign w:val="center"/>
            <w:hideMark/>
          </w:tcPr>
          <w:p w14:paraId="650889B3"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c>
          <w:tcPr>
            <w:tcW w:w="960" w:type="dxa"/>
            <w:tcBorders>
              <w:top w:val="nil"/>
              <w:left w:val="nil"/>
              <w:bottom w:val="single" w:sz="8" w:space="0" w:color="auto"/>
              <w:right w:val="single" w:sz="4" w:space="0" w:color="auto"/>
            </w:tcBorders>
            <w:vAlign w:val="center"/>
            <w:hideMark/>
          </w:tcPr>
          <w:p w14:paraId="139778E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8" w:space="0" w:color="auto"/>
            </w:tcBorders>
            <w:shd w:val="clear" w:color="000000" w:fill="66FFFF"/>
            <w:vAlign w:val="center"/>
            <w:hideMark/>
          </w:tcPr>
          <w:p w14:paraId="3506572A"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r>
      <w:tr w:rsidR="00FE6BB7" w:rsidRPr="00FE6BB7" w14:paraId="5642F64B" w14:textId="77777777" w:rsidTr="00FE6BB7">
        <w:trPr>
          <w:trHeight w:val="410"/>
        </w:trPr>
        <w:tc>
          <w:tcPr>
            <w:tcW w:w="1660" w:type="dxa"/>
            <w:tcBorders>
              <w:top w:val="nil"/>
              <w:left w:val="single" w:sz="8" w:space="0" w:color="auto"/>
              <w:bottom w:val="single" w:sz="8" w:space="0" w:color="auto"/>
              <w:right w:val="single" w:sz="4" w:space="0" w:color="auto"/>
            </w:tcBorders>
            <w:vAlign w:val="bottom"/>
            <w:hideMark/>
          </w:tcPr>
          <w:p w14:paraId="01175800" w14:textId="77777777" w:rsidR="00FE6BB7" w:rsidRPr="00FE6BB7" w:rsidRDefault="00FE6BB7"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National Ethernet</w:t>
            </w:r>
          </w:p>
        </w:tc>
        <w:tc>
          <w:tcPr>
            <w:tcW w:w="960" w:type="dxa"/>
            <w:tcBorders>
              <w:top w:val="nil"/>
              <w:left w:val="nil"/>
              <w:bottom w:val="single" w:sz="8" w:space="0" w:color="auto"/>
              <w:right w:val="single" w:sz="4" w:space="0" w:color="auto"/>
            </w:tcBorders>
            <w:textDirection w:val="btLr"/>
            <w:vAlign w:val="center"/>
            <w:hideMark/>
          </w:tcPr>
          <w:p w14:paraId="7797AB9F"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Assure</w:t>
            </w:r>
          </w:p>
        </w:tc>
        <w:tc>
          <w:tcPr>
            <w:tcW w:w="2200" w:type="dxa"/>
            <w:tcBorders>
              <w:top w:val="nil"/>
              <w:left w:val="nil"/>
              <w:bottom w:val="single" w:sz="8" w:space="0" w:color="auto"/>
              <w:right w:val="single" w:sz="4" w:space="0" w:color="auto"/>
            </w:tcBorders>
            <w:vAlign w:val="center"/>
            <w:hideMark/>
          </w:tcPr>
          <w:p w14:paraId="109FF8BD" w14:textId="5F75ABF6" w:rsidR="00FE6BB7" w:rsidRPr="00FE6BB7" w:rsidRDefault="00FE6BB7" w:rsidP="00FE6BB7">
            <w:pPr>
              <w:rPr>
                <w:rFonts w:ascii="Calibri" w:hAnsi="Calibri"/>
                <w:color w:val="000000"/>
                <w:sz w:val="12"/>
                <w:szCs w:val="12"/>
                <w:lang w:eastAsia="en-AU"/>
              </w:rPr>
            </w:pPr>
            <w:r w:rsidRPr="00FE6BB7">
              <w:rPr>
                <w:rFonts w:ascii="Calibri" w:hAnsi="Calibri"/>
                <w:color w:val="000000"/>
                <w:sz w:val="12"/>
                <w:szCs w:val="12"/>
                <w:lang w:eastAsia="en-AU"/>
              </w:rPr>
              <w:t xml:space="preserve">Ethernet </w:t>
            </w:r>
            <w:r w:rsidR="002A7567">
              <w:rPr>
                <w:rFonts w:ascii="Calibri" w:hAnsi="Calibri"/>
                <w:color w:val="000000"/>
                <w:sz w:val="12"/>
                <w:szCs w:val="12"/>
                <w:lang w:eastAsia="en-AU"/>
              </w:rPr>
              <w:t>o</w:t>
            </w:r>
            <w:r w:rsidRPr="00FE6BB7">
              <w:rPr>
                <w:rFonts w:ascii="Calibri" w:hAnsi="Calibri"/>
                <w:color w:val="000000"/>
                <w:sz w:val="12"/>
                <w:szCs w:val="12"/>
                <w:lang w:eastAsia="en-AU"/>
              </w:rPr>
              <w:t xml:space="preserve">ver </w:t>
            </w:r>
            <w:proofErr w:type="spellStart"/>
            <w:r w:rsidRPr="00FE6BB7">
              <w:rPr>
                <w:rFonts w:ascii="Calibri" w:hAnsi="Calibri"/>
                <w:b/>
                <w:bCs/>
                <w:color w:val="000000"/>
                <w:sz w:val="12"/>
                <w:szCs w:val="12"/>
                <w:lang w:eastAsia="en-AU"/>
              </w:rPr>
              <w:t>nbn</w:t>
            </w:r>
            <w:proofErr w:type="spellEnd"/>
            <w:r w:rsidRPr="00FE6BB7">
              <w:rPr>
                <w:rFonts w:ascii="Calibri" w:hAnsi="Calibri"/>
                <w:b/>
                <w:bCs/>
                <w:color w:val="000000"/>
                <w:sz w:val="12"/>
                <w:szCs w:val="12"/>
                <w:lang w:eastAsia="en-AU"/>
              </w:rPr>
              <w:t>™</w:t>
            </w:r>
            <w:r w:rsidRPr="00FE6BB7">
              <w:rPr>
                <w:rFonts w:ascii="Calibri" w:hAnsi="Calibri"/>
                <w:color w:val="000000"/>
                <w:sz w:val="12"/>
                <w:szCs w:val="12"/>
                <w:lang w:eastAsia="en-AU"/>
              </w:rPr>
              <w:t xml:space="preserve"> (single access)</w:t>
            </w:r>
          </w:p>
        </w:tc>
        <w:tc>
          <w:tcPr>
            <w:tcW w:w="1920" w:type="dxa"/>
            <w:gridSpan w:val="2"/>
            <w:tcBorders>
              <w:top w:val="single" w:sz="8" w:space="0" w:color="auto"/>
              <w:left w:val="nil"/>
              <w:bottom w:val="single" w:sz="8" w:space="0" w:color="auto"/>
              <w:right w:val="single" w:sz="4" w:space="0" w:color="000000"/>
            </w:tcBorders>
            <w:vAlign w:val="center"/>
            <w:hideMark/>
          </w:tcPr>
          <w:p w14:paraId="641620FB"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4FD1FF"/>
            <w:vAlign w:val="center"/>
            <w:hideMark/>
          </w:tcPr>
          <w:p w14:paraId="3FFC3179"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1920" w:type="dxa"/>
            <w:gridSpan w:val="2"/>
            <w:tcBorders>
              <w:top w:val="single" w:sz="8" w:space="0" w:color="auto"/>
              <w:left w:val="nil"/>
              <w:bottom w:val="single" w:sz="8" w:space="0" w:color="auto"/>
              <w:right w:val="single" w:sz="4" w:space="0" w:color="auto"/>
            </w:tcBorders>
            <w:shd w:val="clear" w:color="000000" w:fill="66FFFF"/>
            <w:vAlign w:val="center"/>
            <w:hideMark/>
          </w:tcPr>
          <w:p w14:paraId="4902C533"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c>
          <w:tcPr>
            <w:tcW w:w="3840" w:type="dxa"/>
            <w:gridSpan w:val="4"/>
            <w:tcBorders>
              <w:top w:val="single" w:sz="8" w:space="0" w:color="auto"/>
              <w:left w:val="nil"/>
              <w:bottom w:val="single" w:sz="8" w:space="0" w:color="auto"/>
              <w:right w:val="single" w:sz="8" w:space="0" w:color="000000"/>
            </w:tcBorders>
            <w:vAlign w:val="center"/>
            <w:hideMark/>
          </w:tcPr>
          <w:p w14:paraId="0A5411FE"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r>
      <w:tr w:rsidR="00FE6BB7" w:rsidRPr="00FE6BB7" w14:paraId="68412977" w14:textId="77777777" w:rsidTr="00FE6BB7">
        <w:trPr>
          <w:trHeight w:val="300"/>
        </w:trPr>
        <w:tc>
          <w:tcPr>
            <w:tcW w:w="1660" w:type="dxa"/>
            <w:tcBorders>
              <w:top w:val="nil"/>
              <w:left w:val="single" w:sz="8" w:space="0" w:color="auto"/>
              <w:bottom w:val="single" w:sz="8" w:space="0" w:color="auto"/>
              <w:right w:val="single" w:sz="4" w:space="0" w:color="auto"/>
            </w:tcBorders>
            <w:vAlign w:val="bottom"/>
            <w:hideMark/>
          </w:tcPr>
          <w:p w14:paraId="61EF7DDA" w14:textId="77777777" w:rsidR="00FE6BB7" w:rsidRPr="00FE6BB7" w:rsidRDefault="00FE6BB7"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TID*</w:t>
            </w:r>
          </w:p>
        </w:tc>
        <w:tc>
          <w:tcPr>
            <w:tcW w:w="960" w:type="dxa"/>
            <w:tcBorders>
              <w:top w:val="nil"/>
              <w:left w:val="nil"/>
              <w:bottom w:val="single" w:sz="8" w:space="0" w:color="auto"/>
              <w:right w:val="single" w:sz="4" w:space="0" w:color="auto"/>
            </w:tcBorders>
            <w:vAlign w:val="bottom"/>
            <w:hideMark/>
          </w:tcPr>
          <w:p w14:paraId="3BBBEF89" w14:textId="77777777" w:rsidR="00FE6BB7" w:rsidRPr="00FE6BB7" w:rsidRDefault="00FE6BB7"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8" w:space="0" w:color="auto"/>
              <w:right w:val="single" w:sz="4" w:space="0" w:color="auto"/>
            </w:tcBorders>
            <w:vAlign w:val="center"/>
            <w:hideMark/>
          </w:tcPr>
          <w:p w14:paraId="33E11E5B" w14:textId="4052E604" w:rsidR="00FE6BB7" w:rsidRPr="00FE6BB7" w:rsidRDefault="00FE6BB7" w:rsidP="00FE6BB7">
            <w:pPr>
              <w:rPr>
                <w:rFonts w:ascii="Calibri" w:hAnsi="Calibri"/>
                <w:color w:val="000000"/>
                <w:sz w:val="12"/>
                <w:szCs w:val="12"/>
                <w:lang w:eastAsia="en-AU"/>
              </w:rPr>
            </w:pPr>
            <w:r w:rsidRPr="00FE6BB7">
              <w:rPr>
                <w:rFonts w:ascii="Calibri" w:hAnsi="Calibri"/>
                <w:color w:val="000000"/>
                <w:sz w:val="12"/>
                <w:szCs w:val="12"/>
                <w:lang w:eastAsia="en-AU"/>
              </w:rPr>
              <w:t xml:space="preserve">Ethernet </w:t>
            </w:r>
            <w:r w:rsidR="002A7567">
              <w:rPr>
                <w:rFonts w:ascii="Calibri" w:hAnsi="Calibri"/>
                <w:color w:val="000000"/>
                <w:sz w:val="12"/>
                <w:szCs w:val="12"/>
                <w:lang w:eastAsia="en-AU"/>
              </w:rPr>
              <w:t>o</w:t>
            </w:r>
            <w:r w:rsidRPr="00FE6BB7">
              <w:rPr>
                <w:rFonts w:ascii="Calibri" w:hAnsi="Calibri"/>
                <w:color w:val="000000"/>
                <w:sz w:val="12"/>
                <w:szCs w:val="12"/>
                <w:lang w:eastAsia="en-AU"/>
              </w:rPr>
              <w:t xml:space="preserve">ver </w:t>
            </w:r>
            <w:proofErr w:type="spellStart"/>
            <w:r w:rsidRPr="00FE6BB7">
              <w:rPr>
                <w:rFonts w:ascii="Calibri" w:hAnsi="Calibri"/>
                <w:b/>
                <w:bCs/>
                <w:color w:val="000000"/>
                <w:sz w:val="12"/>
                <w:szCs w:val="12"/>
                <w:lang w:eastAsia="en-AU"/>
              </w:rPr>
              <w:t>nbn</w:t>
            </w:r>
            <w:proofErr w:type="spellEnd"/>
            <w:r w:rsidRPr="00FE6BB7">
              <w:rPr>
                <w:rFonts w:ascii="Calibri" w:hAnsi="Calibri"/>
                <w:b/>
                <w:bCs/>
                <w:color w:val="000000"/>
                <w:sz w:val="12"/>
                <w:szCs w:val="12"/>
                <w:lang w:eastAsia="en-AU"/>
              </w:rPr>
              <w:t>™</w:t>
            </w:r>
          </w:p>
        </w:tc>
        <w:tc>
          <w:tcPr>
            <w:tcW w:w="960" w:type="dxa"/>
            <w:tcBorders>
              <w:top w:val="nil"/>
              <w:left w:val="nil"/>
              <w:bottom w:val="single" w:sz="8" w:space="0" w:color="auto"/>
              <w:right w:val="single" w:sz="4" w:space="0" w:color="auto"/>
            </w:tcBorders>
            <w:vAlign w:val="center"/>
            <w:hideMark/>
          </w:tcPr>
          <w:p w14:paraId="5E565CC1"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4FD1FF"/>
            <w:vAlign w:val="center"/>
            <w:hideMark/>
          </w:tcPr>
          <w:p w14:paraId="32312DD5"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6720" w:type="dxa"/>
            <w:gridSpan w:val="7"/>
            <w:tcBorders>
              <w:top w:val="single" w:sz="8" w:space="0" w:color="auto"/>
              <w:left w:val="nil"/>
              <w:bottom w:val="single" w:sz="8" w:space="0" w:color="auto"/>
              <w:right w:val="single" w:sz="8" w:space="0" w:color="000000"/>
            </w:tcBorders>
            <w:vAlign w:val="center"/>
            <w:hideMark/>
          </w:tcPr>
          <w:p w14:paraId="23B8166D" w14:textId="77777777" w:rsidR="00FE6BB7" w:rsidRPr="00FE6BB7" w:rsidRDefault="00FE6BB7"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r>
      <w:tr w:rsidR="00954231" w:rsidRPr="00FE6BB7" w14:paraId="4D66DAE9" w14:textId="77777777" w:rsidTr="00835F0B">
        <w:trPr>
          <w:trHeight w:val="330"/>
        </w:trPr>
        <w:tc>
          <w:tcPr>
            <w:tcW w:w="1660" w:type="dxa"/>
            <w:tcBorders>
              <w:top w:val="nil"/>
              <w:left w:val="single" w:sz="8" w:space="0" w:color="auto"/>
              <w:bottom w:val="single" w:sz="8" w:space="0" w:color="auto"/>
              <w:right w:val="single" w:sz="4" w:space="0" w:color="auto"/>
            </w:tcBorders>
            <w:vAlign w:val="bottom"/>
            <w:hideMark/>
          </w:tcPr>
          <w:p w14:paraId="26E09A37" w14:textId="3D98246B" w:rsidR="00954231" w:rsidRPr="00FE6BB7" w:rsidRDefault="00954231"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 xml:space="preserve">TBB </w:t>
            </w:r>
            <w:proofErr w:type="spellStart"/>
            <w:r w:rsidR="00385F77">
              <w:rPr>
                <w:rFonts w:ascii="Calibri" w:hAnsi="Calibri"/>
                <w:b/>
                <w:bCs/>
                <w:color w:val="000000"/>
                <w:sz w:val="12"/>
                <w:szCs w:val="12"/>
                <w:lang w:eastAsia="en-AU"/>
              </w:rPr>
              <w:t>nbn</w:t>
            </w:r>
            <w:proofErr w:type="spellEnd"/>
            <w:r w:rsidR="00385F77">
              <w:rPr>
                <w:rFonts w:ascii="Calibri" w:hAnsi="Calibri"/>
                <w:b/>
                <w:bCs/>
                <w:color w:val="000000"/>
                <w:sz w:val="12"/>
                <w:szCs w:val="12"/>
                <w:lang w:eastAsia="en-AU"/>
              </w:rPr>
              <w:t>™</w:t>
            </w:r>
            <w:r w:rsidRPr="00FE6BB7">
              <w:rPr>
                <w:rFonts w:ascii="Calibri" w:hAnsi="Calibri"/>
                <w:b/>
                <w:bCs/>
                <w:color w:val="000000"/>
                <w:sz w:val="12"/>
                <w:szCs w:val="12"/>
                <w:lang w:eastAsia="en-AU"/>
              </w:rPr>
              <w:t xml:space="preserve"> </w:t>
            </w:r>
            <w:r w:rsidR="00415266">
              <w:rPr>
                <w:rFonts w:ascii="Calibri" w:hAnsi="Calibri"/>
                <w:b/>
                <w:bCs/>
                <w:color w:val="000000"/>
                <w:sz w:val="12"/>
                <w:szCs w:val="12"/>
                <w:lang w:eastAsia="en-AU"/>
              </w:rPr>
              <w:t>Premium Connectivity Packages</w:t>
            </w:r>
            <w:r w:rsidRPr="00FE6BB7">
              <w:rPr>
                <w:rFonts w:ascii="Calibri" w:hAnsi="Calibri"/>
                <w:b/>
                <w:bCs/>
                <w:color w:val="000000"/>
                <w:sz w:val="12"/>
                <w:szCs w:val="12"/>
                <w:lang w:eastAsia="en-AU"/>
              </w:rPr>
              <w:t>**</w:t>
            </w:r>
            <w:r>
              <w:rPr>
                <w:rFonts w:ascii="Calibri" w:hAnsi="Calibri"/>
                <w:b/>
                <w:bCs/>
                <w:color w:val="000000"/>
                <w:sz w:val="12"/>
                <w:szCs w:val="12"/>
                <w:lang w:eastAsia="en-AU"/>
              </w:rPr>
              <w:t xml:space="preserve"> (Dedicated Data Packs and Voice Priority Packs only)</w:t>
            </w:r>
          </w:p>
        </w:tc>
        <w:tc>
          <w:tcPr>
            <w:tcW w:w="960" w:type="dxa"/>
            <w:tcBorders>
              <w:top w:val="nil"/>
              <w:left w:val="nil"/>
              <w:bottom w:val="single" w:sz="8" w:space="0" w:color="auto"/>
              <w:right w:val="single" w:sz="4" w:space="0" w:color="auto"/>
            </w:tcBorders>
            <w:vAlign w:val="bottom"/>
            <w:hideMark/>
          </w:tcPr>
          <w:p w14:paraId="1188FD9C" w14:textId="77777777" w:rsidR="00954231" w:rsidRPr="00FE6BB7" w:rsidRDefault="00954231" w:rsidP="00FE6BB7">
            <w:pP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2200" w:type="dxa"/>
            <w:tcBorders>
              <w:top w:val="nil"/>
              <w:left w:val="nil"/>
              <w:bottom w:val="single" w:sz="8" w:space="0" w:color="auto"/>
              <w:right w:val="single" w:sz="4" w:space="0" w:color="auto"/>
            </w:tcBorders>
            <w:vAlign w:val="center"/>
            <w:hideMark/>
          </w:tcPr>
          <w:p w14:paraId="4F76040A" w14:textId="78AA5554" w:rsidR="00954231" w:rsidRPr="00FE6BB7" w:rsidRDefault="00954231" w:rsidP="00FE6BB7">
            <w:pPr>
              <w:rPr>
                <w:rFonts w:ascii="Calibri" w:hAnsi="Calibri"/>
                <w:color w:val="000000"/>
                <w:sz w:val="12"/>
                <w:szCs w:val="12"/>
                <w:lang w:eastAsia="en-AU"/>
              </w:rPr>
            </w:pPr>
            <w:r w:rsidRPr="00F9491F">
              <w:rPr>
                <w:rFonts w:ascii="Calibri" w:hAnsi="Calibri"/>
                <w:color w:val="000000"/>
                <w:sz w:val="12"/>
                <w:szCs w:val="12"/>
                <w:lang w:eastAsia="en-AU"/>
              </w:rPr>
              <w:t xml:space="preserve">Business </w:t>
            </w:r>
            <w:r w:rsidRPr="00FE6BB7">
              <w:rPr>
                <w:rFonts w:ascii="Calibri" w:hAnsi="Calibri"/>
                <w:color w:val="000000"/>
                <w:sz w:val="12"/>
                <w:szCs w:val="12"/>
                <w:lang w:eastAsia="en-AU"/>
              </w:rPr>
              <w:t>Broadband</w:t>
            </w:r>
            <w:r w:rsidR="002A7567">
              <w:rPr>
                <w:rFonts w:ascii="Calibri" w:hAnsi="Calibri"/>
                <w:color w:val="000000"/>
                <w:sz w:val="12"/>
                <w:szCs w:val="12"/>
                <w:lang w:eastAsia="en-AU"/>
              </w:rPr>
              <w:t xml:space="preserve"> over</w:t>
            </w:r>
            <w:r w:rsidRPr="00FE6BB7">
              <w:rPr>
                <w:rFonts w:ascii="Calibri" w:hAnsi="Calibri"/>
                <w:color w:val="000000"/>
                <w:sz w:val="12"/>
                <w:szCs w:val="12"/>
                <w:lang w:eastAsia="en-AU"/>
              </w:rPr>
              <w:t xml:space="preserve"> </w:t>
            </w:r>
            <w:proofErr w:type="spellStart"/>
            <w:r w:rsidRPr="00606BC6">
              <w:rPr>
                <w:rFonts w:ascii="Calibri" w:hAnsi="Calibri"/>
                <w:b/>
                <w:bCs/>
                <w:color w:val="000000"/>
                <w:sz w:val="12"/>
                <w:szCs w:val="12"/>
                <w:lang w:eastAsia="en-AU"/>
              </w:rPr>
              <w:t>nbn</w:t>
            </w:r>
            <w:proofErr w:type="spellEnd"/>
            <w:r w:rsidRPr="00606BC6">
              <w:rPr>
                <w:rFonts w:ascii="Calibri" w:hAnsi="Calibri"/>
                <w:b/>
                <w:bCs/>
                <w:color w:val="000000"/>
                <w:sz w:val="12"/>
                <w:szCs w:val="12"/>
                <w:lang w:eastAsia="en-AU"/>
              </w:rPr>
              <w:t>™</w:t>
            </w:r>
            <w:r w:rsidRPr="00FE6BB7">
              <w:rPr>
                <w:rFonts w:ascii="Calibri" w:hAnsi="Calibri"/>
                <w:color w:val="000000"/>
                <w:sz w:val="12"/>
                <w:szCs w:val="12"/>
                <w:lang w:eastAsia="en-AU"/>
              </w:rPr>
              <w:t xml:space="preserve"> </w:t>
            </w:r>
          </w:p>
        </w:tc>
        <w:tc>
          <w:tcPr>
            <w:tcW w:w="960" w:type="dxa"/>
            <w:tcBorders>
              <w:top w:val="nil"/>
              <w:left w:val="nil"/>
              <w:bottom w:val="single" w:sz="8" w:space="0" w:color="auto"/>
              <w:right w:val="single" w:sz="4" w:space="0" w:color="auto"/>
            </w:tcBorders>
            <w:shd w:val="clear" w:color="000000" w:fill="4FD1FF"/>
            <w:vAlign w:val="center"/>
            <w:hideMark/>
          </w:tcPr>
          <w:p w14:paraId="7D85E093" w14:textId="77777777"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STD</w:t>
            </w:r>
          </w:p>
        </w:tc>
        <w:tc>
          <w:tcPr>
            <w:tcW w:w="960" w:type="dxa"/>
            <w:tcBorders>
              <w:top w:val="nil"/>
              <w:left w:val="nil"/>
              <w:bottom w:val="single" w:sz="8" w:space="0" w:color="auto"/>
              <w:right w:val="single" w:sz="4" w:space="0" w:color="auto"/>
            </w:tcBorders>
            <w:vAlign w:val="center"/>
            <w:hideMark/>
          </w:tcPr>
          <w:p w14:paraId="14056BA7" w14:textId="77777777"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66FFFF"/>
            <w:vAlign w:val="center"/>
            <w:hideMark/>
          </w:tcPr>
          <w:p w14:paraId="2EFFB013" w14:textId="77777777"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c>
          <w:tcPr>
            <w:tcW w:w="960" w:type="dxa"/>
            <w:tcBorders>
              <w:top w:val="nil"/>
              <w:left w:val="nil"/>
              <w:bottom w:val="single" w:sz="8" w:space="0" w:color="auto"/>
              <w:right w:val="single" w:sz="4" w:space="0" w:color="auto"/>
            </w:tcBorders>
            <w:vAlign w:val="center"/>
            <w:hideMark/>
          </w:tcPr>
          <w:p w14:paraId="22128A8B" w14:textId="77777777"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tc>
        <w:tc>
          <w:tcPr>
            <w:tcW w:w="960" w:type="dxa"/>
            <w:tcBorders>
              <w:top w:val="nil"/>
              <w:left w:val="nil"/>
              <w:bottom w:val="single" w:sz="8" w:space="0" w:color="auto"/>
              <w:right w:val="single" w:sz="4" w:space="0" w:color="auto"/>
            </w:tcBorders>
            <w:shd w:val="clear" w:color="000000" w:fill="66FFFF"/>
            <w:vAlign w:val="center"/>
            <w:hideMark/>
          </w:tcPr>
          <w:p w14:paraId="3C59AE78" w14:textId="77777777"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SLA Premium Service Levels</w:t>
            </w:r>
          </w:p>
        </w:tc>
        <w:tc>
          <w:tcPr>
            <w:tcW w:w="3840" w:type="dxa"/>
            <w:gridSpan w:val="4"/>
            <w:tcBorders>
              <w:top w:val="nil"/>
              <w:left w:val="nil"/>
              <w:bottom w:val="single" w:sz="8" w:space="0" w:color="auto"/>
              <w:right w:val="single" w:sz="8" w:space="0" w:color="auto"/>
            </w:tcBorders>
            <w:vAlign w:val="center"/>
            <w:hideMark/>
          </w:tcPr>
          <w:p w14:paraId="7858ADD2" w14:textId="77777777"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p w14:paraId="712DDE0B" w14:textId="07AC4ED3" w:rsidR="00954231" w:rsidRPr="00FE6BB7" w:rsidRDefault="00954231" w:rsidP="00FE6BB7">
            <w:pPr>
              <w:jc w:val="center"/>
              <w:rPr>
                <w:rFonts w:ascii="Calibri" w:hAnsi="Calibri"/>
                <w:b/>
                <w:bCs/>
                <w:color w:val="000000"/>
                <w:sz w:val="12"/>
                <w:szCs w:val="12"/>
                <w:lang w:eastAsia="en-AU"/>
              </w:rPr>
            </w:pPr>
            <w:r w:rsidRPr="00FE6BB7">
              <w:rPr>
                <w:rFonts w:ascii="Calibri" w:hAnsi="Calibri"/>
                <w:b/>
                <w:bCs/>
                <w:color w:val="000000"/>
                <w:sz w:val="12"/>
                <w:szCs w:val="12"/>
                <w:lang w:eastAsia="en-AU"/>
              </w:rPr>
              <w:t> </w:t>
            </w:r>
          </w:p>
          <w:p w14:paraId="1A3DBC20" w14:textId="17674E27" w:rsidR="00954231" w:rsidRPr="00954231" w:rsidRDefault="00954231" w:rsidP="00FE6BB7">
            <w:pPr>
              <w:jc w:val="center"/>
              <w:rPr>
                <w:rFonts w:ascii="Calibri" w:hAnsi="Calibri"/>
                <w:b/>
                <w:bCs/>
                <w:color w:val="000000"/>
                <w:sz w:val="12"/>
                <w:szCs w:val="12"/>
                <w:lang w:eastAsia="en-AU"/>
              </w:rPr>
            </w:pPr>
            <w:r w:rsidRPr="00954231">
              <w:rPr>
                <w:rFonts w:ascii="Calibri" w:hAnsi="Calibri"/>
                <w:b/>
                <w:bCs/>
                <w:color w:val="000000"/>
                <w:sz w:val="12"/>
                <w:szCs w:val="12"/>
                <w:lang w:eastAsia="en-AU"/>
              </w:rPr>
              <w:t> </w:t>
            </w:r>
          </w:p>
        </w:tc>
      </w:tr>
      <w:tr w:rsidR="00FE6BB7" w:rsidRPr="00FE6BB7" w14:paraId="6DEB7D37" w14:textId="77777777" w:rsidTr="00FE6BB7">
        <w:trPr>
          <w:trHeight w:val="770"/>
        </w:trPr>
        <w:tc>
          <w:tcPr>
            <w:tcW w:w="13460" w:type="dxa"/>
            <w:gridSpan w:val="12"/>
            <w:tcBorders>
              <w:top w:val="single" w:sz="8" w:space="0" w:color="auto"/>
              <w:left w:val="single" w:sz="8" w:space="0" w:color="auto"/>
              <w:bottom w:val="single" w:sz="8" w:space="0" w:color="auto"/>
              <w:right w:val="single" w:sz="8" w:space="0" w:color="000000"/>
            </w:tcBorders>
            <w:vAlign w:val="bottom"/>
            <w:hideMark/>
          </w:tcPr>
          <w:p w14:paraId="7DE8FAD3" w14:textId="3EDE9B19" w:rsidR="00FE6BB7" w:rsidRPr="00FE6BB7" w:rsidRDefault="00FE6BB7" w:rsidP="00FE6BB7">
            <w:pPr>
              <w:rPr>
                <w:rFonts w:ascii="Calibri" w:hAnsi="Calibri"/>
                <w:color w:val="000000"/>
                <w:sz w:val="12"/>
                <w:szCs w:val="12"/>
                <w:lang w:eastAsia="en-AU"/>
              </w:rPr>
            </w:pPr>
            <w:r w:rsidRPr="00FE6BB7">
              <w:rPr>
                <w:rFonts w:ascii="Calibri" w:hAnsi="Calibri"/>
                <w:b/>
                <w:bCs/>
                <w:color w:val="000000"/>
                <w:sz w:val="12"/>
                <w:szCs w:val="12"/>
                <w:lang w:eastAsia="en-AU"/>
              </w:rPr>
              <w:t>Notes:</w:t>
            </w:r>
            <w:r w:rsidRPr="00FE6BB7">
              <w:rPr>
                <w:rFonts w:ascii="Calibri" w:hAnsi="Calibri"/>
                <w:color w:val="000000"/>
                <w:sz w:val="12"/>
                <w:szCs w:val="12"/>
                <w:lang w:eastAsia="en-AU"/>
              </w:rPr>
              <w:br/>
            </w:r>
            <w:r w:rsidRPr="00FE6BB7">
              <w:rPr>
                <w:rFonts w:ascii="Calibri" w:hAnsi="Calibri"/>
                <w:b/>
                <w:bCs/>
                <w:color w:val="000000"/>
                <w:sz w:val="12"/>
                <w:szCs w:val="12"/>
                <w:lang w:eastAsia="en-AU"/>
              </w:rPr>
              <w:t xml:space="preserve">* TID - </w:t>
            </w:r>
            <w:r w:rsidRPr="00FE6BB7">
              <w:rPr>
                <w:rFonts w:ascii="Calibri" w:hAnsi="Calibri"/>
                <w:color w:val="000000"/>
                <w:sz w:val="12"/>
                <w:szCs w:val="12"/>
                <w:lang w:eastAsia="en-AU"/>
              </w:rPr>
              <w:t>SLA Premium Service Levels are not available on TID Ethernet over</w:t>
            </w:r>
            <w:r w:rsidRPr="00FE6BB7">
              <w:rPr>
                <w:rFonts w:ascii="Calibri" w:hAnsi="Calibri"/>
                <w:b/>
                <w:bCs/>
                <w:color w:val="000000"/>
                <w:sz w:val="12"/>
                <w:szCs w:val="12"/>
                <w:lang w:eastAsia="en-AU"/>
              </w:rPr>
              <w:t xml:space="preserve"> </w:t>
            </w:r>
            <w:proofErr w:type="spellStart"/>
            <w:r w:rsidRPr="00FE6BB7">
              <w:rPr>
                <w:rFonts w:ascii="Calibri" w:hAnsi="Calibri"/>
                <w:b/>
                <w:bCs/>
                <w:color w:val="000000"/>
                <w:sz w:val="12"/>
                <w:szCs w:val="12"/>
                <w:lang w:eastAsia="en-AU"/>
              </w:rPr>
              <w:t>nbn</w:t>
            </w:r>
            <w:proofErr w:type="spellEnd"/>
            <w:r w:rsidRPr="00FE6BB7">
              <w:rPr>
                <w:rFonts w:ascii="Calibri" w:hAnsi="Calibri"/>
                <w:b/>
                <w:bCs/>
                <w:color w:val="000000"/>
                <w:sz w:val="12"/>
                <w:szCs w:val="12"/>
                <w:lang w:eastAsia="en-AU"/>
              </w:rPr>
              <w:t>™</w:t>
            </w:r>
            <w:r w:rsidRPr="00FE6BB7">
              <w:rPr>
                <w:rFonts w:ascii="Calibri" w:hAnsi="Calibri"/>
                <w:b/>
                <w:bCs/>
                <w:color w:val="000000"/>
                <w:sz w:val="12"/>
                <w:szCs w:val="12"/>
                <w:lang w:eastAsia="en-AU"/>
              </w:rPr>
              <w:br/>
              <w:t xml:space="preserve">** TBB </w:t>
            </w:r>
            <w:proofErr w:type="spellStart"/>
            <w:r w:rsidR="00385F77">
              <w:rPr>
                <w:rFonts w:ascii="Calibri" w:hAnsi="Calibri"/>
                <w:b/>
                <w:bCs/>
                <w:color w:val="000000"/>
                <w:sz w:val="12"/>
                <w:szCs w:val="12"/>
                <w:lang w:eastAsia="en-AU"/>
              </w:rPr>
              <w:t>nbn</w:t>
            </w:r>
            <w:proofErr w:type="spellEnd"/>
            <w:r w:rsidR="00385F77">
              <w:rPr>
                <w:rFonts w:ascii="Calibri" w:hAnsi="Calibri"/>
                <w:b/>
                <w:bCs/>
                <w:color w:val="000000"/>
                <w:sz w:val="12"/>
                <w:szCs w:val="12"/>
                <w:lang w:eastAsia="en-AU"/>
              </w:rPr>
              <w:t>™</w:t>
            </w:r>
            <w:r w:rsidRPr="00FE6BB7">
              <w:rPr>
                <w:rFonts w:ascii="Calibri" w:hAnsi="Calibri"/>
                <w:b/>
                <w:bCs/>
                <w:color w:val="000000"/>
                <w:sz w:val="12"/>
                <w:szCs w:val="12"/>
                <w:lang w:eastAsia="en-AU"/>
              </w:rPr>
              <w:t xml:space="preserve"> </w:t>
            </w:r>
            <w:r w:rsidR="00415266">
              <w:rPr>
                <w:rFonts w:ascii="Calibri" w:hAnsi="Calibri"/>
                <w:b/>
                <w:bCs/>
                <w:color w:val="000000"/>
                <w:sz w:val="12"/>
                <w:szCs w:val="12"/>
                <w:lang w:eastAsia="en-AU"/>
              </w:rPr>
              <w:t>Premium Connectivity Packages</w:t>
            </w:r>
            <w:r w:rsidRPr="00FE6BB7">
              <w:rPr>
                <w:rFonts w:ascii="Calibri" w:hAnsi="Calibri"/>
                <w:b/>
                <w:bCs/>
                <w:color w:val="000000"/>
                <w:sz w:val="12"/>
                <w:szCs w:val="12"/>
                <w:lang w:eastAsia="en-AU"/>
              </w:rPr>
              <w:t xml:space="preserve"> - </w:t>
            </w:r>
            <w:r w:rsidRPr="00FE6BB7">
              <w:rPr>
                <w:rFonts w:ascii="Calibri" w:hAnsi="Calibri"/>
                <w:color w:val="000000"/>
                <w:sz w:val="12"/>
                <w:szCs w:val="12"/>
                <w:lang w:eastAsia="en-AU"/>
              </w:rPr>
              <w:t>SLA Premium Service Levels are only available to Telstra Enterprise customers</w:t>
            </w:r>
            <w:r w:rsidR="00101B41">
              <w:rPr>
                <w:rFonts w:ascii="Calibri" w:hAnsi="Calibri"/>
                <w:color w:val="000000"/>
                <w:sz w:val="12"/>
                <w:szCs w:val="12"/>
                <w:lang w:eastAsia="en-AU"/>
              </w:rPr>
              <w:t xml:space="preserve">. </w:t>
            </w:r>
            <w:r w:rsidRPr="00FE6BB7">
              <w:rPr>
                <w:rFonts w:ascii="Calibri" w:hAnsi="Calibri"/>
                <w:color w:val="000000"/>
                <w:sz w:val="12"/>
                <w:szCs w:val="12"/>
                <w:lang w:eastAsia="en-AU"/>
              </w:rPr>
              <w:br/>
            </w:r>
            <w:r w:rsidRPr="00FE6BB7">
              <w:rPr>
                <w:rFonts w:ascii="Calibri" w:hAnsi="Calibri"/>
                <w:b/>
                <w:bCs/>
                <w:color w:val="000000"/>
                <w:sz w:val="12"/>
                <w:szCs w:val="12"/>
                <w:lang w:eastAsia="en-AU"/>
              </w:rPr>
              <w:t>*** HFC and Fixed Wireless</w:t>
            </w:r>
            <w:r w:rsidRPr="00FE6BB7">
              <w:rPr>
                <w:rFonts w:ascii="Calibri" w:hAnsi="Calibri"/>
                <w:color w:val="000000"/>
                <w:sz w:val="12"/>
                <w:szCs w:val="12"/>
                <w:lang w:eastAsia="en-AU"/>
              </w:rPr>
              <w:t xml:space="preserve"> - SLA Premium Service Levels are not available to </w:t>
            </w:r>
            <w:r w:rsidR="00D50B16">
              <w:rPr>
                <w:rFonts w:ascii="Calibri" w:hAnsi="Calibri"/>
                <w:color w:val="000000"/>
                <w:sz w:val="12"/>
                <w:szCs w:val="12"/>
                <w:lang w:eastAsia="en-AU"/>
              </w:rPr>
              <w:t xml:space="preserve">Business </w:t>
            </w:r>
            <w:r w:rsidRPr="00FE6BB7">
              <w:rPr>
                <w:rFonts w:ascii="Calibri" w:hAnsi="Calibri"/>
                <w:color w:val="000000"/>
                <w:sz w:val="12"/>
                <w:szCs w:val="12"/>
                <w:lang w:eastAsia="en-AU"/>
              </w:rPr>
              <w:t xml:space="preserve">Broadband </w:t>
            </w:r>
            <w:proofErr w:type="spellStart"/>
            <w:r w:rsidRPr="00FE6BB7">
              <w:rPr>
                <w:rFonts w:ascii="Calibri" w:hAnsi="Calibri"/>
                <w:b/>
                <w:bCs/>
                <w:color w:val="000000"/>
                <w:sz w:val="12"/>
                <w:szCs w:val="12"/>
                <w:lang w:eastAsia="en-AU"/>
              </w:rPr>
              <w:t>nbn</w:t>
            </w:r>
            <w:proofErr w:type="spellEnd"/>
            <w:r w:rsidRPr="00FE6BB7">
              <w:rPr>
                <w:rFonts w:ascii="Calibri" w:hAnsi="Calibri"/>
                <w:b/>
                <w:bCs/>
                <w:color w:val="000000"/>
                <w:sz w:val="12"/>
                <w:szCs w:val="12"/>
                <w:lang w:eastAsia="en-AU"/>
              </w:rPr>
              <w:t xml:space="preserve">™ </w:t>
            </w:r>
            <w:r w:rsidRPr="00FE6BB7">
              <w:rPr>
                <w:rFonts w:ascii="Calibri" w:hAnsi="Calibri"/>
                <w:color w:val="000000"/>
                <w:sz w:val="12"/>
                <w:szCs w:val="12"/>
                <w:lang w:eastAsia="en-AU"/>
              </w:rPr>
              <w:t>on HFC or Fixed Wireless technology types</w:t>
            </w:r>
          </w:p>
        </w:tc>
      </w:tr>
    </w:tbl>
    <w:p w14:paraId="5A19F819" w14:textId="7CF0ECDD" w:rsidR="004402B2" w:rsidRDefault="004402B2">
      <w:pPr>
        <w:pStyle w:val="Heading2"/>
        <w:numPr>
          <w:ilvl w:val="0"/>
          <w:numId w:val="0"/>
        </w:numPr>
        <w:rPr>
          <w:bCs w:val="0"/>
        </w:rPr>
      </w:pPr>
    </w:p>
    <w:p w14:paraId="0E75C391" w14:textId="77777777" w:rsidR="00FE6BB7" w:rsidRPr="00EE4ECB" w:rsidRDefault="00FE6BB7">
      <w:pPr>
        <w:pStyle w:val="Heading2"/>
        <w:numPr>
          <w:ilvl w:val="0"/>
          <w:numId w:val="0"/>
        </w:numPr>
        <w:rPr>
          <w:bCs w:val="0"/>
        </w:rPr>
      </w:pPr>
    </w:p>
    <w:p w14:paraId="5EE649F8" w14:textId="77777777" w:rsidR="00EE4ECB" w:rsidRPr="00B6622D" w:rsidRDefault="00EE4ECB" w:rsidP="008F7F42">
      <w:pPr>
        <w:pStyle w:val="Heading2"/>
        <w:numPr>
          <w:ilvl w:val="0"/>
          <w:numId w:val="0"/>
        </w:numPr>
        <w:rPr>
          <w:bCs w:val="0"/>
        </w:rPr>
      </w:pPr>
    </w:p>
    <w:p w14:paraId="09E49262" w14:textId="410597DC" w:rsidR="00601043" w:rsidRPr="008C6C8C" w:rsidRDefault="00601043" w:rsidP="00D01CB5">
      <w:pPr>
        <w:pStyle w:val="Heading2"/>
        <w:numPr>
          <w:ilvl w:val="0"/>
          <w:numId w:val="0"/>
        </w:numPr>
        <w:sectPr w:rsidR="00601043" w:rsidRPr="008C6C8C" w:rsidSect="00051267">
          <w:headerReference w:type="default" r:id="rId22"/>
          <w:pgSz w:w="16840" w:h="11907" w:orient="landscape" w:code="9"/>
          <w:pgMar w:top="313" w:right="1134" w:bottom="313" w:left="1418" w:header="425" w:footer="567" w:gutter="0"/>
          <w:cols w:space="720"/>
        </w:sectPr>
      </w:pPr>
    </w:p>
    <w:p w14:paraId="15EC3352" w14:textId="235A41D2" w:rsidR="00DF1AE0" w:rsidRPr="00D82AF7" w:rsidRDefault="00F17979" w:rsidP="000B65BD">
      <w:pPr>
        <w:pStyle w:val="Heading1"/>
        <w:pBdr>
          <w:top w:val="none" w:sz="0" w:space="0" w:color="auto"/>
        </w:pBdr>
      </w:pPr>
      <w:bookmarkStart w:id="25" w:name="_Toc208576780"/>
      <w:r w:rsidRPr="00D82AF7">
        <w:lastRenderedPageBreak/>
        <w:t>Special meanings</w:t>
      </w:r>
      <w:bookmarkEnd w:id="25"/>
    </w:p>
    <w:p w14:paraId="2179804C" w14:textId="77777777" w:rsidR="00DF1AE0" w:rsidRPr="00D82AF7" w:rsidRDefault="00F17979" w:rsidP="00F17979">
      <w:pPr>
        <w:pStyle w:val="Heading2"/>
      </w:pPr>
      <w:r w:rsidRPr="00D82AF7">
        <w:t>The following words have the following special meaning:</w:t>
      </w:r>
    </w:p>
    <w:p w14:paraId="4D3B9D3B" w14:textId="77777777" w:rsidR="00F17979" w:rsidRPr="00D82AF7" w:rsidRDefault="00F17979" w:rsidP="00F17979">
      <w:pPr>
        <w:pStyle w:val="Heading2"/>
        <w:numPr>
          <w:ilvl w:val="0"/>
          <w:numId w:val="0"/>
        </w:numPr>
        <w:ind w:left="737"/>
      </w:pPr>
      <w:r w:rsidRPr="00D82AF7">
        <w:rPr>
          <w:b/>
        </w:rPr>
        <w:t>business day</w:t>
      </w:r>
      <w:r w:rsidRPr="00D82AF7">
        <w:t xml:space="preserve"> </w:t>
      </w:r>
      <w:r w:rsidR="00C6733D" w:rsidRPr="00D82AF7">
        <w:t>means a day other than a Saturday, Sunday or a public holiday.</w:t>
      </w:r>
    </w:p>
    <w:p w14:paraId="030BAE10" w14:textId="77777777" w:rsidR="009904B8" w:rsidRPr="00D82AF7" w:rsidRDefault="009904B8" w:rsidP="009904B8">
      <w:pPr>
        <w:pStyle w:val="Heading2"/>
        <w:numPr>
          <w:ilvl w:val="0"/>
          <w:numId w:val="0"/>
        </w:numPr>
        <w:ind w:left="737"/>
        <w:rPr>
          <w:szCs w:val="23"/>
        </w:rPr>
      </w:pPr>
      <w:r w:rsidRPr="00D82AF7">
        <w:rPr>
          <w:b/>
          <w:bCs w:val="0"/>
          <w:szCs w:val="23"/>
        </w:rPr>
        <w:t xml:space="preserve">coverage period </w:t>
      </w:r>
      <w:r w:rsidRPr="00D82AF7">
        <w:rPr>
          <w:szCs w:val="23"/>
        </w:rPr>
        <w:t xml:space="preserve">means the coverage period for the service. The </w:t>
      </w:r>
      <w:r w:rsidR="001A4A6F" w:rsidRPr="00D82AF7">
        <w:rPr>
          <w:szCs w:val="23"/>
        </w:rPr>
        <w:t>coverage period depends</w:t>
      </w:r>
      <w:r w:rsidRPr="00D82AF7">
        <w:rPr>
          <w:szCs w:val="23"/>
        </w:rPr>
        <w:t xml:space="preserve"> upon the service assurance level </w:t>
      </w:r>
      <w:r w:rsidR="00D01CB5">
        <w:rPr>
          <w:szCs w:val="23"/>
        </w:rPr>
        <w:t xml:space="preserve">and method of access </w:t>
      </w:r>
      <w:r w:rsidRPr="00D82AF7">
        <w:rPr>
          <w:szCs w:val="23"/>
        </w:rPr>
        <w:t xml:space="preserve">that applies to that service. </w:t>
      </w:r>
    </w:p>
    <w:p w14:paraId="7221562E" w14:textId="03F5C19A" w:rsidR="006E1521" w:rsidRDefault="0020345F" w:rsidP="003242EC">
      <w:pPr>
        <w:pStyle w:val="Heading2"/>
        <w:numPr>
          <w:ilvl w:val="0"/>
          <w:numId w:val="0"/>
        </w:numPr>
        <w:ind w:left="737"/>
        <w:rPr>
          <w:bCs w:val="0"/>
        </w:rPr>
      </w:pPr>
      <w:r w:rsidRPr="00D82AF7">
        <w:rPr>
          <w:b/>
          <w:bCs w:val="0"/>
        </w:rPr>
        <w:t xml:space="preserve">end of </w:t>
      </w:r>
      <w:r w:rsidR="009D5526">
        <w:rPr>
          <w:b/>
          <w:bCs w:val="0"/>
        </w:rPr>
        <w:t xml:space="preserve">next </w:t>
      </w:r>
      <w:r w:rsidRPr="00D82AF7">
        <w:rPr>
          <w:b/>
          <w:bCs w:val="0"/>
        </w:rPr>
        <w:t xml:space="preserve">business day </w:t>
      </w:r>
      <w:r w:rsidR="006E1521">
        <w:rPr>
          <w:bCs w:val="0"/>
        </w:rPr>
        <w:t xml:space="preserve">means </w:t>
      </w:r>
      <w:r w:rsidR="00420526">
        <w:rPr>
          <w:bCs w:val="0"/>
        </w:rPr>
        <w:t xml:space="preserve">restoration time of </w:t>
      </w:r>
      <w:r w:rsidR="006E1521">
        <w:rPr>
          <w:bCs w:val="0"/>
        </w:rPr>
        <w:t>any one of:</w:t>
      </w:r>
    </w:p>
    <w:p w14:paraId="03F40FAA" w14:textId="452E7D59" w:rsidR="009D5526" w:rsidRDefault="006E1521" w:rsidP="006E1521">
      <w:pPr>
        <w:pStyle w:val="Heading2"/>
        <w:numPr>
          <w:ilvl w:val="0"/>
          <w:numId w:val="5"/>
        </w:numPr>
        <w:tabs>
          <w:tab w:val="clear" w:pos="737"/>
          <w:tab w:val="num" w:pos="1474"/>
        </w:tabs>
        <w:ind w:left="1474"/>
      </w:pPr>
      <w:r>
        <w:rPr>
          <w:bCs w:val="0"/>
        </w:rPr>
        <w:t xml:space="preserve">for </w:t>
      </w:r>
      <w:r w:rsidR="009D5526" w:rsidRPr="006E1521">
        <w:rPr>
          <w:bCs w:val="0"/>
        </w:rPr>
        <w:t>non</w:t>
      </w:r>
      <w:r w:rsidR="009D5526">
        <w:rPr>
          <w:b/>
          <w:bCs w:val="0"/>
        </w:rPr>
        <w:t xml:space="preserve"> </w:t>
      </w:r>
      <w:proofErr w:type="spellStart"/>
      <w:r w:rsidR="009D5526">
        <w:rPr>
          <w:b/>
          <w:bCs w:val="0"/>
        </w:rPr>
        <w:t>nbn</w:t>
      </w:r>
      <w:r w:rsidR="009D5526" w:rsidRPr="006E1521">
        <w:rPr>
          <w:b/>
          <w:bCs w:val="0"/>
          <w:vertAlign w:val="superscript"/>
        </w:rPr>
        <w:t>TM</w:t>
      </w:r>
      <w:proofErr w:type="spellEnd"/>
      <w:r w:rsidR="009D5526">
        <w:rPr>
          <w:b/>
          <w:bCs w:val="0"/>
        </w:rPr>
        <w:t xml:space="preserve"> </w:t>
      </w:r>
      <w:r w:rsidRPr="006E1521">
        <w:rPr>
          <w:bCs w:val="0"/>
        </w:rPr>
        <w:t>products</w:t>
      </w:r>
      <w:r>
        <w:rPr>
          <w:b/>
          <w:bCs w:val="0"/>
        </w:rPr>
        <w:t xml:space="preserve"> </w:t>
      </w:r>
      <w:proofErr w:type="gramStart"/>
      <w:r w:rsidR="009D5526">
        <w:rPr>
          <w:b/>
          <w:bCs w:val="0"/>
        </w:rPr>
        <w:t xml:space="preserve">- </w:t>
      </w:r>
      <w:r w:rsidR="0020345F" w:rsidRPr="00D82AF7">
        <w:t xml:space="preserve"> </w:t>
      </w:r>
      <w:r>
        <w:t>once</w:t>
      </w:r>
      <w:proofErr w:type="gramEnd"/>
      <w:r>
        <w:t xml:space="preserve"> the fault is registered in our systems </w:t>
      </w:r>
      <w:r w:rsidR="0020345F" w:rsidRPr="00D82AF7">
        <w:t xml:space="preserve">then restoration </w:t>
      </w:r>
      <w:r w:rsidR="009D5526">
        <w:t xml:space="preserve">will be </w:t>
      </w:r>
      <w:r w:rsidR="0020345F" w:rsidRPr="00D82AF7">
        <w:t>completed prior to 5pm on the next business day</w:t>
      </w:r>
      <w:r>
        <w:t>; OR</w:t>
      </w:r>
    </w:p>
    <w:p w14:paraId="1BA5C2DF" w14:textId="5EEEA78D" w:rsidR="0020345F" w:rsidRPr="006E1521" w:rsidRDefault="006E1521" w:rsidP="006E1521">
      <w:pPr>
        <w:pStyle w:val="Heading2"/>
        <w:numPr>
          <w:ilvl w:val="0"/>
          <w:numId w:val="5"/>
        </w:numPr>
        <w:tabs>
          <w:tab w:val="clear" w:pos="737"/>
          <w:tab w:val="num" w:pos="1474"/>
        </w:tabs>
        <w:ind w:left="1474"/>
        <w:rPr>
          <w:bCs w:val="0"/>
        </w:rPr>
      </w:pPr>
      <w:r>
        <w:rPr>
          <w:bCs w:val="0"/>
        </w:rPr>
        <w:t xml:space="preserve">for </w:t>
      </w:r>
      <w:proofErr w:type="spellStart"/>
      <w:r w:rsidRPr="006E1521">
        <w:rPr>
          <w:b/>
          <w:bCs w:val="0"/>
        </w:rPr>
        <w:t>nbn</w:t>
      </w:r>
      <w:r w:rsidRPr="006E1521">
        <w:rPr>
          <w:bCs w:val="0"/>
          <w:vertAlign w:val="superscript"/>
        </w:rPr>
        <w:t>TM</w:t>
      </w:r>
      <w:proofErr w:type="spellEnd"/>
      <w:r>
        <w:rPr>
          <w:bCs w:val="0"/>
        </w:rPr>
        <w:t xml:space="preserve"> products </w:t>
      </w:r>
      <w:r w:rsidR="00953955">
        <w:rPr>
          <w:bCs w:val="0"/>
        </w:rPr>
        <w:t>-</w:t>
      </w:r>
      <w:r>
        <w:rPr>
          <w:bCs w:val="0"/>
        </w:rPr>
        <w:t xml:space="preserve"> </w:t>
      </w:r>
      <w:r w:rsidRPr="006E1521">
        <w:rPr>
          <w:bCs w:val="0"/>
        </w:rPr>
        <w:t xml:space="preserve">where the fault is reported to us before 1pm on a </w:t>
      </w:r>
      <w:r>
        <w:rPr>
          <w:bCs w:val="0"/>
        </w:rPr>
        <w:t>b</w:t>
      </w:r>
      <w:r w:rsidRPr="006E1521">
        <w:rPr>
          <w:bCs w:val="0"/>
        </w:rPr>
        <w:t xml:space="preserve">usiness </w:t>
      </w:r>
      <w:r>
        <w:rPr>
          <w:bCs w:val="0"/>
        </w:rPr>
        <w:t>d</w:t>
      </w:r>
      <w:r w:rsidRPr="006E1521">
        <w:rPr>
          <w:bCs w:val="0"/>
        </w:rPr>
        <w:t>ay, then restoration will be completed prior to 5pm on the next business day</w:t>
      </w:r>
      <w:r>
        <w:rPr>
          <w:bCs w:val="0"/>
        </w:rPr>
        <w:t xml:space="preserve">.  </w:t>
      </w:r>
      <w:r w:rsidRPr="006E1521">
        <w:rPr>
          <w:bCs w:val="0"/>
        </w:rPr>
        <w:t xml:space="preserve">Where the fault is reported to us between 1pm and midnight on a </w:t>
      </w:r>
      <w:r>
        <w:rPr>
          <w:bCs w:val="0"/>
        </w:rPr>
        <w:t>b</w:t>
      </w:r>
      <w:r w:rsidRPr="006E1521">
        <w:rPr>
          <w:bCs w:val="0"/>
        </w:rPr>
        <w:t xml:space="preserve">usiness </w:t>
      </w:r>
      <w:r>
        <w:rPr>
          <w:bCs w:val="0"/>
        </w:rPr>
        <w:t>d</w:t>
      </w:r>
      <w:r w:rsidRPr="006E1521">
        <w:rPr>
          <w:bCs w:val="0"/>
        </w:rPr>
        <w:t xml:space="preserve">ay, one (1) </w:t>
      </w:r>
      <w:r>
        <w:rPr>
          <w:bCs w:val="0"/>
        </w:rPr>
        <w:t>b</w:t>
      </w:r>
      <w:r w:rsidRPr="006E1521">
        <w:rPr>
          <w:bCs w:val="0"/>
        </w:rPr>
        <w:t xml:space="preserve">usiness </w:t>
      </w:r>
      <w:r>
        <w:rPr>
          <w:bCs w:val="0"/>
        </w:rPr>
        <w:t>d</w:t>
      </w:r>
      <w:r w:rsidRPr="006E1521">
        <w:rPr>
          <w:bCs w:val="0"/>
        </w:rPr>
        <w:t>ay must be added to the restoration targets</w:t>
      </w:r>
      <w:r>
        <w:rPr>
          <w:bCs w:val="0"/>
        </w:rPr>
        <w:t>.</w:t>
      </w:r>
    </w:p>
    <w:p w14:paraId="44A8287F" w14:textId="77777777" w:rsidR="00491BC5" w:rsidRDefault="003242EC" w:rsidP="003242EC">
      <w:pPr>
        <w:pStyle w:val="Heading2"/>
        <w:numPr>
          <w:ilvl w:val="0"/>
          <w:numId w:val="0"/>
        </w:numPr>
        <w:ind w:left="737"/>
      </w:pPr>
      <w:r w:rsidRPr="00D82AF7">
        <w:rPr>
          <w:b/>
        </w:rPr>
        <w:t>network boundary point</w:t>
      </w:r>
      <w:r w:rsidRPr="00D82AF7">
        <w:t xml:space="preserve"> or </w:t>
      </w:r>
      <w:r w:rsidRPr="00D82AF7">
        <w:rPr>
          <w:b/>
        </w:rPr>
        <w:t>NBP</w:t>
      </w:r>
      <w:r w:rsidRPr="00D82AF7">
        <w:t xml:space="preserve"> has</w:t>
      </w:r>
      <w:r w:rsidR="00597DBF" w:rsidRPr="00D82AF7">
        <w:t xml:space="preserve"> the sa</w:t>
      </w:r>
      <w:r w:rsidRPr="00D82AF7">
        <w:t>me meaning as in</w:t>
      </w:r>
      <w:r w:rsidR="00491BC5">
        <w:t>:</w:t>
      </w:r>
    </w:p>
    <w:p w14:paraId="2B4DDE73" w14:textId="1697E7A1" w:rsidR="00491BC5" w:rsidRDefault="003242EC" w:rsidP="00470902">
      <w:pPr>
        <w:pStyle w:val="Heading3"/>
      </w:pPr>
      <w:r w:rsidRPr="00D82AF7">
        <w:t>Part A – General Terms of the Basic Telephone Section of our Customer Terms</w:t>
      </w:r>
      <w:r w:rsidR="00491BC5">
        <w:t xml:space="preserve"> for Telstra services (excluding Telstra services on </w:t>
      </w:r>
      <w:proofErr w:type="spellStart"/>
      <w:r w:rsidR="00491BC5" w:rsidRPr="00491BC5">
        <w:rPr>
          <w:b/>
        </w:rPr>
        <w:t>nbn</w:t>
      </w:r>
      <w:r w:rsidR="00491BC5" w:rsidRPr="00491BC5">
        <w:rPr>
          <w:vertAlign w:val="superscript"/>
        </w:rPr>
        <w:t>TM</w:t>
      </w:r>
      <w:proofErr w:type="spellEnd"/>
      <w:r w:rsidR="00491BC5">
        <w:t>); and</w:t>
      </w:r>
    </w:p>
    <w:p w14:paraId="41319C62" w14:textId="32E6E652" w:rsidR="003242EC" w:rsidRPr="00D82AF7" w:rsidRDefault="00491BC5" w:rsidP="00470902">
      <w:pPr>
        <w:pStyle w:val="Heading3"/>
      </w:pPr>
      <w:r>
        <w:t xml:space="preserve">the Services on the </w:t>
      </w:r>
      <w:proofErr w:type="spellStart"/>
      <w:r w:rsidRPr="00491BC5">
        <w:rPr>
          <w:b/>
        </w:rPr>
        <w:t>nbn</w:t>
      </w:r>
      <w:r w:rsidRPr="00491BC5">
        <w:rPr>
          <w:vertAlign w:val="superscript"/>
        </w:rPr>
        <w:t>TM</w:t>
      </w:r>
      <w:proofErr w:type="spellEnd"/>
      <w:r>
        <w:rPr>
          <w:vertAlign w:val="superscript"/>
        </w:rPr>
        <w:t xml:space="preserve"> </w:t>
      </w:r>
      <w:r>
        <w:t xml:space="preserve">section of Our Customer Terms </w:t>
      </w:r>
      <w:r w:rsidRPr="006E0197">
        <w:t xml:space="preserve">for </w:t>
      </w:r>
      <w:r>
        <w:t xml:space="preserve">Telstra services on </w:t>
      </w:r>
      <w:proofErr w:type="spellStart"/>
      <w:r w:rsidRPr="008767BC">
        <w:rPr>
          <w:b/>
        </w:rPr>
        <w:t>nbn</w:t>
      </w:r>
      <w:r w:rsidRPr="008767BC">
        <w:rPr>
          <w:vertAlign w:val="superscript"/>
        </w:rPr>
        <w:t>TM</w:t>
      </w:r>
      <w:proofErr w:type="spellEnd"/>
      <w:r w:rsidR="003242EC" w:rsidRPr="00D82AF7">
        <w:t>.</w:t>
      </w:r>
    </w:p>
    <w:p w14:paraId="27493E5C" w14:textId="77777777" w:rsidR="00D01CB5" w:rsidRDefault="00E43C1A" w:rsidP="00D01CB5">
      <w:pPr>
        <w:pStyle w:val="Heading2"/>
        <w:numPr>
          <w:ilvl w:val="0"/>
          <w:numId w:val="0"/>
        </w:numPr>
        <w:ind w:left="737"/>
      </w:pPr>
      <w:r w:rsidRPr="00D82AF7">
        <w:rPr>
          <w:b/>
        </w:rPr>
        <w:t>offsite</w:t>
      </w:r>
      <w:r w:rsidRPr="00D82AF7">
        <w:t xml:space="preserve"> means</w:t>
      </w:r>
      <w:r w:rsidR="00D01CB5">
        <w:t>:</w:t>
      </w:r>
    </w:p>
    <w:p w14:paraId="3FEA1255" w14:textId="0FB8C6E7" w:rsidR="00367CDB" w:rsidRDefault="00367CDB" w:rsidP="00470902">
      <w:pPr>
        <w:pStyle w:val="Heading3"/>
        <w:numPr>
          <w:ilvl w:val="2"/>
          <w:numId w:val="80"/>
        </w:numPr>
      </w:pPr>
      <w:r>
        <w:t xml:space="preserve">for Telstra services (excluding Telstra services on </w:t>
      </w:r>
      <w:proofErr w:type="spellStart"/>
      <w:r w:rsidR="008767BC" w:rsidRPr="00491BC5">
        <w:rPr>
          <w:b/>
        </w:rPr>
        <w:t>nbn</w:t>
      </w:r>
      <w:r w:rsidR="008767BC" w:rsidRPr="00491BC5">
        <w:rPr>
          <w:vertAlign w:val="superscript"/>
        </w:rPr>
        <w:t>TM</w:t>
      </w:r>
      <w:proofErr w:type="spellEnd"/>
      <w:r>
        <w:t>)</w:t>
      </w:r>
      <w:r w:rsidRPr="00D82AF7">
        <w:t xml:space="preserve"> that we can correct the fault without the requirement for a physical site visit</w:t>
      </w:r>
      <w:r>
        <w:t>; and</w:t>
      </w:r>
    </w:p>
    <w:p w14:paraId="11CE2897" w14:textId="11FDE0E8" w:rsidR="00367CDB" w:rsidRDefault="00367CDB" w:rsidP="00367CDB">
      <w:pPr>
        <w:pStyle w:val="Heading3"/>
      </w:pPr>
      <w:r w:rsidRPr="006E0197">
        <w:t xml:space="preserve">for </w:t>
      </w:r>
      <w:r>
        <w:t xml:space="preserve">Telstra services on </w:t>
      </w:r>
      <w:proofErr w:type="spellStart"/>
      <w:r w:rsidR="008767BC" w:rsidRPr="008767BC">
        <w:rPr>
          <w:b/>
        </w:rPr>
        <w:t>nbn</w:t>
      </w:r>
      <w:r w:rsidR="008767BC" w:rsidRPr="008767BC">
        <w:rPr>
          <w:vertAlign w:val="superscript"/>
        </w:rPr>
        <w:t>TM</w:t>
      </w:r>
      <w:proofErr w:type="spellEnd"/>
      <w:r w:rsidR="008767BC" w:rsidRPr="006E0197">
        <w:t xml:space="preserve"> </w:t>
      </w:r>
      <w:r w:rsidRPr="006E0197">
        <w:t>that we can correct the fault without</w:t>
      </w:r>
      <w:r>
        <w:t>:</w:t>
      </w:r>
    </w:p>
    <w:p w14:paraId="2CF7D6F0" w14:textId="77777777" w:rsidR="00367CDB" w:rsidRDefault="00367CDB" w:rsidP="00367CDB">
      <w:pPr>
        <w:pStyle w:val="Heading4"/>
      </w:pPr>
      <w:r w:rsidRPr="006E0197">
        <w:t xml:space="preserve">the requirement </w:t>
      </w:r>
      <w:r w:rsidRPr="00D82AF7">
        <w:t>for a physical site visit</w:t>
      </w:r>
      <w:r>
        <w:t>;</w:t>
      </w:r>
      <w:r w:rsidRPr="006E0197" w:rsidDel="006E0197">
        <w:t xml:space="preserve"> </w:t>
      </w:r>
      <w:r w:rsidRPr="006E0197">
        <w:t xml:space="preserve">or </w:t>
      </w:r>
    </w:p>
    <w:p w14:paraId="3AFD83DD" w14:textId="605BA6FF" w:rsidR="00367CDB" w:rsidRDefault="00367CDB" w:rsidP="00367CDB">
      <w:pPr>
        <w:pStyle w:val="Heading4"/>
      </w:pPr>
      <w:r w:rsidRPr="006E0197">
        <w:t>referr</w:t>
      </w:r>
      <w:r>
        <w:t>ing the fault</w:t>
      </w:r>
      <w:r w:rsidRPr="006E0197">
        <w:t xml:space="preserve"> to </w:t>
      </w:r>
      <w:proofErr w:type="spellStart"/>
      <w:r w:rsidR="008767BC" w:rsidRPr="008767BC">
        <w:rPr>
          <w:b/>
        </w:rPr>
        <w:t>nbn</w:t>
      </w:r>
      <w:r w:rsidR="008767BC" w:rsidRPr="008767BC">
        <w:rPr>
          <w:vertAlign w:val="superscript"/>
        </w:rPr>
        <w:t>TM</w:t>
      </w:r>
      <w:proofErr w:type="spellEnd"/>
      <w:r w:rsidR="008767BC">
        <w:t xml:space="preserve"> </w:t>
      </w:r>
      <w:r>
        <w:t>for resolution.</w:t>
      </w:r>
    </w:p>
    <w:p w14:paraId="7EA48A6E" w14:textId="77777777" w:rsidR="00367CDB" w:rsidRDefault="00367CDB" w:rsidP="00367CDB">
      <w:pPr>
        <w:pStyle w:val="Heading2"/>
        <w:numPr>
          <w:ilvl w:val="0"/>
          <w:numId w:val="0"/>
        </w:numPr>
        <w:ind w:left="737"/>
      </w:pPr>
      <w:r>
        <w:rPr>
          <w:b/>
        </w:rPr>
        <w:t>onsite</w:t>
      </w:r>
      <w:r w:rsidRPr="00D82AF7">
        <w:t xml:space="preserve"> means</w:t>
      </w:r>
      <w:r>
        <w:t>:</w:t>
      </w:r>
    </w:p>
    <w:p w14:paraId="095F916E" w14:textId="2C83E512" w:rsidR="00367CDB" w:rsidRDefault="00367CDB" w:rsidP="00367CDB">
      <w:pPr>
        <w:pStyle w:val="Heading3"/>
        <w:numPr>
          <w:ilvl w:val="2"/>
          <w:numId w:val="20"/>
        </w:numPr>
      </w:pPr>
      <w:r>
        <w:t xml:space="preserve">for Telstra services (excluding Telstra services on </w:t>
      </w:r>
      <w:proofErr w:type="spellStart"/>
      <w:r w:rsidR="008767BC" w:rsidRPr="008767BC">
        <w:rPr>
          <w:b/>
        </w:rPr>
        <w:t>nbn</w:t>
      </w:r>
      <w:r w:rsidR="008767BC" w:rsidRPr="008767BC">
        <w:rPr>
          <w:vertAlign w:val="superscript"/>
        </w:rPr>
        <w:t>TM</w:t>
      </w:r>
      <w:proofErr w:type="spellEnd"/>
      <w:r>
        <w:t xml:space="preserve">) that </w:t>
      </w:r>
      <w:r w:rsidRPr="00D82AF7">
        <w:t>a physical site visit will be required in order to address the fault</w:t>
      </w:r>
      <w:r>
        <w:t>; and</w:t>
      </w:r>
    </w:p>
    <w:p w14:paraId="325AD8FE" w14:textId="1DE54281" w:rsidR="00367CDB" w:rsidRDefault="00367CDB" w:rsidP="00367CDB">
      <w:pPr>
        <w:pStyle w:val="Heading3"/>
        <w:numPr>
          <w:ilvl w:val="2"/>
          <w:numId w:val="20"/>
        </w:numPr>
      </w:pPr>
      <w:r w:rsidRPr="006E0197">
        <w:t xml:space="preserve">for </w:t>
      </w:r>
      <w:r>
        <w:t xml:space="preserve">Telstra services on </w:t>
      </w:r>
      <w:proofErr w:type="spellStart"/>
      <w:r w:rsidR="008767BC" w:rsidRPr="008767BC">
        <w:rPr>
          <w:b/>
        </w:rPr>
        <w:t>nbn</w:t>
      </w:r>
      <w:r w:rsidR="008767BC" w:rsidRPr="008767BC">
        <w:rPr>
          <w:vertAlign w:val="superscript"/>
        </w:rPr>
        <w:t>TM</w:t>
      </w:r>
      <w:proofErr w:type="spellEnd"/>
      <w:r w:rsidR="008767BC">
        <w:t xml:space="preserve"> </w:t>
      </w:r>
      <w:r>
        <w:t>that to address the fault:</w:t>
      </w:r>
    </w:p>
    <w:p w14:paraId="62434C4E" w14:textId="77777777" w:rsidR="00367CDB" w:rsidRDefault="00367CDB" w:rsidP="00367CDB">
      <w:pPr>
        <w:pStyle w:val="Heading4"/>
        <w:numPr>
          <w:ilvl w:val="3"/>
          <w:numId w:val="20"/>
        </w:numPr>
      </w:pPr>
      <w:r>
        <w:t>a physical site visit by Telstra is required; or</w:t>
      </w:r>
    </w:p>
    <w:p w14:paraId="4AD349D7" w14:textId="776A566D" w:rsidR="00367CDB" w:rsidRDefault="00367CDB" w:rsidP="00367CDB">
      <w:pPr>
        <w:pStyle w:val="Heading4"/>
        <w:numPr>
          <w:ilvl w:val="3"/>
          <w:numId w:val="20"/>
        </w:numPr>
      </w:pPr>
      <w:r>
        <w:t xml:space="preserve">a referral to </w:t>
      </w:r>
      <w:proofErr w:type="spellStart"/>
      <w:r w:rsidR="008767BC" w:rsidRPr="008767BC">
        <w:rPr>
          <w:b/>
        </w:rPr>
        <w:t>nbn</w:t>
      </w:r>
      <w:r w:rsidR="008767BC" w:rsidRPr="008767BC">
        <w:rPr>
          <w:vertAlign w:val="superscript"/>
        </w:rPr>
        <w:t>TM</w:t>
      </w:r>
      <w:proofErr w:type="spellEnd"/>
      <w:r w:rsidR="008767BC">
        <w:t xml:space="preserve"> </w:t>
      </w:r>
      <w:r>
        <w:t>is required</w:t>
      </w:r>
      <w:r w:rsidRPr="00D82AF7">
        <w:t>.</w:t>
      </w:r>
    </w:p>
    <w:p w14:paraId="26C4A076" w14:textId="77777777" w:rsidR="003B7D66" w:rsidRPr="00D82AF7" w:rsidRDefault="003B7D66" w:rsidP="00F17979">
      <w:pPr>
        <w:pStyle w:val="Heading2"/>
        <w:numPr>
          <w:ilvl w:val="0"/>
          <w:numId w:val="0"/>
        </w:numPr>
        <w:ind w:left="737"/>
      </w:pPr>
      <w:r w:rsidRPr="00D82AF7">
        <w:rPr>
          <w:b/>
        </w:rPr>
        <w:t>public holiday</w:t>
      </w:r>
      <w:r w:rsidRPr="00D82AF7">
        <w:t xml:space="preserve"> </w:t>
      </w:r>
      <w:r w:rsidR="002063A5" w:rsidRPr="00D82AF7">
        <w:t>means the applicable public holidays in Australia</w:t>
      </w:r>
      <w:r w:rsidR="00266167" w:rsidRPr="00D82AF7">
        <w:t xml:space="preserve"> in locations where the work will be performed</w:t>
      </w:r>
      <w:r w:rsidR="002063A5" w:rsidRPr="00D82AF7">
        <w:t>.</w:t>
      </w:r>
    </w:p>
    <w:p w14:paraId="604CA329" w14:textId="77777777" w:rsidR="000C7782" w:rsidRPr="00545E9B" w:rsidRDefault="003242EC" w:rsidP="00545E9B">
      <w:pPr>
        <w:pStyle w:val="Indent2"/>
        <w:rPr>
          <w:bCs/>
        </w:rPr>
      </w:pPr>
      <w:r w:rsidRPr="00D82AF7">
        <w:rPr>
          <w:bCs/>
        </w:rPr>
        <w:lastRenderedPageBreak/>
        <w:t xml:space="preserve">a </w:t>
      </w:r>
      <w:r w:rsidRPr="00545E9B">
        <w:rPr>
          <w:b/>
          <w:bCs/>
        </w:rPr>
        <w:t>remote area</w:t>
      </w:r>
      <w:r w:rsidR="00665492">
        <w:rPr>
          <w:bCs/>
        </w:rPr>
        <w:t xml:space="preserve"> is a </w:t>
      </w:r>
      <w:r w:rsidR="00545E9B">
        <w:rPr>
          <w:bCs/>
        </w:rPr>
        <w:t xml:space="preserve">township or community </w:t>
      </w:r>
      <w:r w:rsidR="000C7782">
        <w:rPr>
          <w:bCs/>
        </w:rPr>
        <w:t>with a population of less than 200</w:t>
      </w:r>
      <w:r w:rsidR="00545E9B">
        <w:rPr>
          <w:bCs/>
        </w:rPr>
        <w:t xml:space="preserve"> people</w:t>
      </w:r>
      <w:r w:rsidR="000C7782">
        <w:rPr>
          <w:bCs/>
        </w:rPr>
        <w:t>.</w:t>
      </w:r>
    </w:p>
    <w:p w14:paraId="771C42FE" w14:textId="77777777" w:rsidR="003242EC" w:rsidRPr="00D82AF7" w:rsidRDefault="003242EC" w:rsidP="003242EC">
      <w:pPr>
        <w:pStyle w:val="Indent2"/>
        <w:rPr>
          <w:bCs/>
        </w:rPr>
      </w:pPr>
      <w:r w:rsidRPr="00D82AF7">
        <w:rPr>
          <w:bCs/>
        </w:rPr>
        <w:t xml:space="preserve">a </w:t>
      </w:r>
      <w:r w:rsidRPr="00D82AF7">
        <w:rPr>
          <w:b/>
          <w:bCs/>
        </w:rPr>
        <w:t>rural area</w:t>
      </w:r>
      <w:r w:rsidRPr="00D82AF7">
        <w:rPr>
          <w:bCs/>
        </w:rPr>
        <w:t xml:space="preserve"> is </w:t>
      </w:r>
      <w:r w:rsidR="00545E9B">
        <w:rPr>
          <w:bCs/>
        </w:rPr>
        <w:t>a township or community with a population of 200 people or more but less than 10,000 people.</w:t>
      </w:r>
    </w:p>
    <w:p w14:paraId="12430815" w14:textId="77777777" w:rsidR="00F17979" w:rsidRPr="00D82AF7" w:rsidRDefault="003242EC" w:rsidP="002C292C">
      <w:pPr>
        <w:pStyle w:val="Indent2"/>
      </w:pPr>
      <w:r w:rsidRPr="00D82AF7">
        <w:rPr>
          <w:bCs/>
        </w:rPr>
        <w:t xml:space="preserve">an </w:t>
      </w:r>
      <w:r w:rsidRPr="00D82AF7">
        <w:rPr>
          <w:b/>
        </w:rPr>
        <w:t>urban area</w:t>
      </w:r>
      <w:r w:rsidRPr="00D82AF7">
        <w:rPr>
          <w:bCs/>
        </w:rPr>
        <w:t xml:space="preserve"> is </w:t>
      </w:r>
      <w:r w:rsidR="00545E9B">
        <w:rPr>
          <w:bCs/>
        </w:rPr>
        <w:t>a township or community with a population of 10,000 people or more.</w:t>
      </w:r>
    </w:p>
    <w:p w14:paraId="3099C035" w14:textId="0E1EA9C3" w:rsidR="00367CDB" w:rsidRDefault="00367CDB" w:rsidP="00367CDB">
      <w:pPr>
        <w:pStyle w:val="Heading1"/>
      </w:pPr>
      <w:bookmarkStart w:id="26" w:name="_Ref388702917"/>
      <w:bookmarkStart w:id="27" w:name="_Toc388703993"/>
      <w:bookmarkStart w:id="28" w:name="_Toc208576781"/>
      <w:r>
        <w:t>Non-current plans</w:t>
      </w:r>
      <w:bookmarkEnd w:id="26"/>
      <w:bookmarkEnd w:id="27"/>
      <w:bookmarkEnd w:id="28"/>
    </w:p>
    <w:p w14:paraId="156F7C09" w14:textId="64BEF87C" w:rsidR="00367CDB" w:rsidRPr="00D82AF7" w:rsidRDefault="00367CDB" w:rsidP="00367CDB">
      <w:pPr>
        <w:pStyle w:val="Heading2"/>
      </w:pPr>
      <w:r>
        <w:t>If you acquired your SLA Premium service before 30 May 2014, t</w:t>
      </w:r>
      <w:r w:rsidRPr="00D82AF7">
        <w:t xml:space="preserve">he table below sets out the </w:t>
      </w:r>
      <w:r>
        <w:t>Standard Restoration and SLA Premium</w:t>
      </w:r>
      <w:r w:rsidRPr="00D82AF7">
        <w:t xml:space="preserve"> service levels</w:t>
      </w:r>
      <w:r>
        <w:t xml:space="preserve"> for Telstra services excluding Telstra services on </w:t>
      </w:r>
      <w:proofErr w:type="spellStart"/>
      <w:r w:rsidR="008767BC" w:rsidRPr="008767BC">
        <w:rPr>
          <w:b/>
        </w:rPr>
        <w:t>nbn</w:t>
      </w:r>
      <w:r w:rsidR="008767BC" w:rsidRPr="008767BC">
        <w:rPr>
          <w:vertAlign w:val="superscript"/>
        </w:rPr>
        <w:t>TM</w:t>
      </w:r>
      <w:proofErr w:type="spellEnd"/>
      <w:r>
        <w:rPr>
          <w:b/>
        </w:rPr>
        <w:t>.</w:t>
      </w:r>
    </w:p>
    <w:p w14:paraId="70F62362" w14:textId="182A861D" w:rsidR="00367CDB" w:rsidRPr="00D82AF7" w:rsidRDefault="00367CDB" w:rsidP="00367CDB">
      <w:pPr>
        <w:pStyle w:val="Heading2"/>
      </w:pPr>
      <w:r>
        <w:t xml:space="preserve">For the purposes of this clause </w:t>
      </w:r>
      <w:r>
        <w:fldChar w:fldCharType="begin"/>
      </w:r>
      <w:r>
        <w:instrText xml:space="preserve"> REF _Ref388702917 \r \h </w:instrText>
      </w:r>
      <w:r>
        <w:fldChar w:fldCharType="separate"/>
      </w:r>
      <w:r w:rsidR="00CA259E">
        <w:t>6</w:t>
      </w:r>
      <w:r>
        <w:fldChar w:fldCharType="end"/>
      </w:r>
      <w:r>
        <w:t>, a</w:t>
      </w:r>
      <w:r w:rsidRPr="00D82AF7">
        <w:t xml:space="preserve"> </w:t>
      </w:r>
      <w:r w:rsidRPr="00D82AF7">
        <w:rPr>
          <w:b/>
          <w:bCs w:val="0"/>
        </w:rPr>
        <w:t>status report</w:t>
      </w:r>
      <w:r w:rsidRPr="00D82AF7">
        <w:t xml:space="preserve"> is:</w:t>
      </w:r>
    </w:p>
    <w:p w14:paraId="2DB856B2" w14:textId="77777777" w:rsidR="00367CDB" w:rsidRPr="00D82AF7" w:rsidRDefault="00367CDB" w:rsidP="00367CDB">
      <w:pPr>
        <w:pStyle w:val="Heading3"/>
        <w:numPr>
          <w:ilvl w:val="2"/>
          <w:numId w:val="20"/>
        </w:numPr>
      </w:pPr>
      <w:r w:rsidRPr="00D82AF7">
        <w:t xml:space="preserve">advice that the relevant service difficulty has been identified as our responsibility by remote diagnostics and action is commenced to resolve </w:t>
      </w:r>
      <w:proofErr w:type="gramStart"/>
      <w:r w:rsidRPr="00D82AF7">
        <w:t>it;</w:t>
      </w:r>
      <w:proofErr w:type="gramEnd"/>
    </w:p>
    <w:p w14:paraId="13E2BA51" w14:textId="77777777" w:rsidR="00367CDB" w:rsidRPr="00D82AF7" w:rsidRDefault="00367CDB" w:rsidP="00367CDB">
      <w:pPr>
        <w:pStyle w:val="Heading3"/>
      </w:pPr>
      <w:r w:rsidRPr="00D82AF7">
        <w:t>advice that a site visit is required; or</w:t>
      </w:r>
    </w:p>
    <w:p w14:paraId="7C126C1F" w14:textId="77777777" w:rsidR="00367CDB" w:rsidRPr="00D82AF7" w:rsidRDefault="00367CDB" w:rsidP="00367CDB">
      <w:pPr>
        <w:pStyle w:val="Heading3"/>
      </w:pPr>
      <w:r w:rsidRPr="00D82AF7">
        <w:t>advice regarding the progress on correcting the relevant service difficulty and the likely time at which the difficulty will be resolved.</w:t>
      </w:r>
    </w:p>
    <w:p w14:paraId="69CAD207" w14:textId="77777777" w:rsidR="00367CDB" w:rsidRPr="00D82AF7" w:rsidRDefault="00367CDB" w:rsidP="00367CDB">
      <w:pPr>
        <w:pStyle w:val="Heading2"/>
        <w:numPr>
          <w:ilvl w:val="0"/>
          <w:numId w:val="0"/>
        </w:numPr>
      </w:pPr>
    </w:p>
    <w:p w14:paraId="24E83E9F" w14:textId="77777777" w:rsidR="00A11D10" w:rsidRDefault="00A11D10" w:rsidP="00367CDB">
      <w:pPr>
        <w:pStyle w:val="Heading2"/>
        <w:numPr>
          <w:ilvl w:val="0"/>
          <w:numId w:val="0"/>
        </w:numPr>
        <w:sectPr w:rsidR="00A11D10" w:rsidSect="00051267">
          <w:headerReference w:type="default" r:id="rId23"/>
          <w:pgSz w:w="11907" w:h="16840" w:code="9"/>
          <w:pgMar w:top="1134" w:right="1559" w:bottom="1418" w:left="1843" w:header="425" w:footer="567" w:gutter="0"/>
          <w:cols w:space="720"/>
        </w:sectPr>
      </w:pPr>
    </w:p>
    <w:tbl>
      <w:tblPr>
        <w:tblW w:w="16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
        <w:gridCol w:w="142"/>
        <w:gridCol w:w="3118"/>
        <w:gridCol w:w="1418"/>
        <w:gridCol w:w="1134"/>
        <w:gridCol w:w="992"/>
        <w:gridCol w:w="851"/>
        <w:gridCol w:w="850"/>
        <w:gridCol w:w="992"/>
        <w:gridCol w:w="1134"/>
        <w:gridCol w:w="993"/>
        <w:gridCol w:w="850"/>
        <w:gridCol w:w="992"/>
        <w:gridCol w:w="890"/>
      </w:tblGrid>
      <w:tr w:rsidR="00367CDB" w:rsidRPr="00D14611" w14:paraId="0EEFAAD4" w14:textId="77777777" w:rsidTr="00367CDB">
        <w:trPr>
          <w:trHeight w:val="344"/>
        </w:trPr>
        <w:tc>
          <w:tcPr>
            <w:tcW w:w="1560" w:type="dxa"/>
            <w:tcBorders>
              <w:top w:val="single" w:sz="4" w:space="0" w:color="auto"/>
              <w:left w:val="single" w:sz="4" w:space="0" w:color="auto"/>
              <w:bottom w:val="single" w:sz="4" w:space="0" w:color="auto"/>
              <w:right w:val="nil"/>
            </w:tcBorders>
            <w:vAlign w:val="center"/>
          </w:tcPr>
          <w:p w14:paraId="7CB718B3"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tcBorders>
              <w:top w:val="single" w:sz="4" w:space="0" w:color="auto"/>
              <w:left w:val="nil"/>
              <w:bottom w:val="single" w:sz="4" w:space="0" w:color="auto"/>
              <w:right w:val="nil"/>
            </w:tcBorders>
          </w:tcPr>
          <w:p w14:paraId="173B7B0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single" w:sz="4" w:space="0" w:color="auto"/>
              <w:left w:val="nil"/>
              <w:bottom w:val="single" w:sz="4" w:space="0" w:color="auto"/>
              <w:right w:val="single" w:sz="4" w:space="0" w:color="auto"/>
            </w:tcBorders>
            <w:vAlign w:val="center"/>
          </w:tcPr>
          <w:p w14:paraId="5FEC441D"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tcPr>
          <w:p w14:paraId="05FDF4B0"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End of next Business Day</w:t>
            </w:r>
          </w:p>
        </w:tc>
        <w:tc>
          <w:tcPr>
            <w:tcW w:w="1134" w:type="dxa"/>
            <w:tcBorders>
              <w:top w:val="single" w:sz="4" w:space="0" w:color="auto"/>
              <w:left w:val="single" w:sz="4" w:space="0" w:color="auto"/>
              <w:bottom w:val="single" w:sz="4" w:space="0" w:color="auto"/>
              <w:right w:val="single" w:sz="4" w:space="0" w:color="auto"/>
            </w:tcBorders>
            <w:vAlign w:val="center"/>
          </w:tcPr>
          <w:p w14:paraId="7AA0C9D8"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Extended Business Hours</w:t>
            </w:r>
          </w:p>
        </w:tc>
        <w:tc>
          <w:tcPr>
            <w:tcW w:w="992" w:type="dxa"/>
            <w:tcBorders>
              <w:top w:val="single" w:sz="4" w:space="0" w:color="auto"/>
              <w:left w:val="single" w:sz="4" w:space="0" w:color="auto"/>
              <w:bottom w:val="single" w:sz="4" w:space="0" w:color="auto"/>
              <w:right w:val="single" w:sz="4" w:space="0" w:color="auto"/>
            </w:tcBorders>
            <w:vAlign w:val="center"/>
          </w:tcPr>
          <w:p w14:paraId="056C4F5F"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Business Plus</w:t>
            </w:r>
          </w:p>
        </w:tc>
        <w:tc>
          <w:tcPr>
            <w:tcW w:w="851" w:type="dxa"/>
            <w:tcBorders>
              <w:top w:val="single" w:sz="4" w:space="0" w:color="auto"/>
              <w:left w:val="single" w:sz="4" w:space="0" w:color="auto"/>
              <w:bottom w:val="single" w:sz="4" w:space="0" w:color="auto"/>
              <w:right w:val="single" w:sz="4" w:space="0" w:color="auto"/>
            </w:tcBorders>
            <w:vAlign w:val="center"/>
          </w:tcPr>
          <w:p w14:paraId="272D9235"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8</w:t>
            </w:r>
          </w:p>
        </w:tc>
        <w:tc>
          <w:tcPr>
            <w:tcW w:w="850" w:type="dxa"/>
            <w:tcBorders>
              <w:top w:val="single" w:sz="4" w:space="0" w:color="auto"/>
              <w:left w:val="single" w:sz="4" w:space="0" w:color="auto"/>
              <w:bottom w:val="single" w:sz="4" w:space="0" w:color="auto"/>
              <w:right w:val="single" w:sz="4" w:space="0" w:color="auto"/>
            </w:tcBorders>
            <w:vAlign w:val="center"/>
          </w:tcPr>
          <w:p w14:paraId="1A4EB28E"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8 Plus</w:t>
            </w:r>
          </w:p>
        </w:tc>
        <w:tc>
          <w:tcPr>
            <w:tcW w:w="992" w:type="dxa"/>
            <w:tcBorders>
              <w:top w:val="single" w:sz="4" w:space="0" w:color="auto"/>
              <w:left w:val="single" w:sz="4" w:space="0" w:color="auto"/>
              <w:bottom w:val="single" w:sz="4" w:space="0" w:color="auto"/>
              <w:right w:val="single" w:sz="4" w:space="0" w:color="auto"/>
            </w:tcBorders>
            <w:vAlign w:val="center"/>
          </w:tcPr>
          <w:p w14:paraId="5824A702"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6</w:t>
            </w:r>
          </w:p>
        </w:tc>
        <w:tc>
          <w:tcPr>
            <w:tcW w:w="1134" w:type="dxa"/>
            <w:tcBorders>
              <w:top w:val="single" w:sz="4" w:space="0" w:color="auto"/>
              <w:left w:val="single" w:sz="4" w:space="0" w:color="auto"/>
              <w:bottom w:val="single" w:sz="4" w:space="0" w:color="auto"/>
              <w:right w:val="single" w:sz="4" w:space="0" w:color="auto"/>
            </w:tcBorders>
            <w:vAlign w:val="center"/>
          </w:tcPr>
          <w:p w14:paraId="1127E520"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6 Plus</w:t>
            </w:r>
          </w:p>
        </w:tc>
        <w:tc>
          <w:tcPr>
            <w:tcW w:w="993" w:type="dxa"/>
            <w:tcBorders>
              <w:top w:val="single" w:sz="4" w:space="0" w:color="auto"/>
              <w:left w:val="single" w:sz="4" w:space="0" w:color="auto"/>
              <w:bottom w:val="single" w:sz="4" w:space="0" w:color="auto"/>
              <w:right w:val="single" w:sz="4" w:space="0" w:color="auto"/>
            </w:tcBorders>
            <w:vAlign w:val="center"/>
          </w:tcPr>
          <w:p w14:paraId="428DB798"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4</w:t>
            </w:r>
          </w:p>
        </w:tc>
        <w:tc>
          <w:tcPr>
            <w:tcW w:w="850" w:type="dxa"/>
            <w:tcBorders>
              <w:top w:val="single" w:sz="4" w:space="0" w:color="auto"/>
              <w:left w:val="single" w:sz="4" w:space="0" w:color="auto"/>
              <w:bottom w:val="single" w:sz="4" w:space="0" w:color="auto"/>
              <w:right w:val="single" w:sz="4" w:space="0" w:color="auto"/>
            </w:tcBorders>
            <w:vAlign w:val="center"/>
          </w:tcPr>
          <w:p w14:paraId="51C91A2F"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4 Plus</w:t>
            </w:r>
          </w:p>
        </w:tc>
        <w:tc>
          <w:tcPr>
            <w:tcW w:w="992" w:type="dxa"/>
            <w:tcBorders>
              <w:top w:val="single" w:sz="4" w:space="0" w:color="auto"/>
              <w:left w:val="single" w:sz="4" w:space="0" w:color="auto"/>
              <w:bottom w:val="single" w:sz="4" w:space="0" w:color="auto"/>
              <w:right w:val="single" w:sz="4" w:space="0" w:color="auto"/>
            </w:tcBorders>
            <w:vAlign w:val="center"/>
          </w:tcPr>
          <w:p w14:paraId="2AFE605B"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2</w:t>
            </w:r>
          </w:p>
        </w:tc>
        <w:tc>
          <w:tcPr>
            <w:tcW w:w="890" w:type="dxa"/>
            <w:tcBorders>
              <w:top w:val="single" w:sz="4" w:space="0" w:color="auto"/>
              <w:left w:val="single" w:sz="4" w:space="0" w:color="auto"/>
              <w:bottom w:val="single" w:sz="4" w:space="0" w:color="auto"/>
              <w:right w:val="single" w:sz="4" w:space="0" w:color="auto"/>
            </w:tcBorders>
            <w:vAlign w:val="center"/>
          </w:tcPr>
          <w:p w14:paraId="7BC35062"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Express 2 Plus</w:t>
            </w:r>
          </w:p>
        </w:tc>
      </w:tr>
      <w:tr w:rsidR="00367CDB" w:rsidRPr="00D14611" w14:paraId="0A3FBF80" w14:textId="77777777" w:rsidTr="00367CDB">
        <w:tc>
          <w:tcPr>
            <w:tcW w:w="1843" w:type="dxa"/>
            <w:gridSpan w:val="2"/>
            <w:tcBorders>
              <w:top w:val="single" w:sz="4" w:space="0" w:color="auto"/>
              <w:bottom w:val="single" w:sz="4" w:space="0" w:color="auto"/>
            </w:tcBorders>
          </w:tcPr>
          <w:p w14:paraId="1B7937CC"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tcBorders>
              <w:top w:val="single" w:sz="4" w:space="0" w:color="auto"/>
              <w:bottom w:val="single" w:sz="4" w:space="0" w:color="auto"/>
            </w:tcBorders>
            <w:vAlign w:val="center"/>
          </w:tcPr>
          <w:p w14:paraId="145E4A1B"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Coverage period</w:t>
            </w:r>
          </w:p>
        </w:tc>
        <w:tc>
          <w:tcPr>
            <w:tcW w:w="1418" w:type="dxa"/>
            <w:vAlign w:val="center"/>
          </w:tcPr>
          <w:p w14:paraId="004D9BBE"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8am -5pm</w:t>
            </w:r>
            <w:r w:rsidRPr="00D14611">
              <w:rPr>
                <w:rFonts w:ascii="Arial" w:hAnsi="Arial" w:cs="Arial"/>
                <w:sz w:val="12"/>
                <w:szCs w:val="12"/>
              </w:rPr>
              <w:br/>
              <w:t>Mon-Fri</w:t>
            </w:r>
          </w:p>
        </w:tc>
        <w:tc>
          <w:tcPr>
            <w:tcW w:w="1134" w:type="dxa"/>
            <w:vAlign w:val="center"/>
          </w:tcPr>
          <w:p w14:paraId="3C5C88C3" w14:textId="77777777" w:rsidR="00367CDB" w:rsidRDefault="00367CDB" w:rsidP="0062631D">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7am - 9pm</w:t>
            </w:r>
            <w:r w:rsidRPr="00D14611">
              <w:rPr>
                <w:rFonts w:ascii="Arial" w:hAnsi="Arial" w:cs="Arial"/>
                <w:sz w:val="12"/>
                <w:szCs w:val="12"/>
              </w:rPr>
              <w:br/>
              <w:t>Mon-</w:t>
            </w:r>
            <w:r w:rsidR="0062631D">
              <w:rPr>
                <w:rFonts w:ascii="Arial" w:hAnsi="Arial" w:cs="Arial"/>
                <w:sz w:val="12"/>
                <w:szCs w:val="12"/>
              </w:rPr>
              <w:t>Sat</w:t>
            </w:r>
          </w:p>
        </w:tc>
        <w:tc>
          <w:tcPr>
            <w:tcW w:w="992" w:type="dxa"/>
            <w:vAlign w:val="center"/>
          </w:tcPr>
          <w:p w14:paraId="44F77848"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24x 7</w:t>
            </w:r>
          </w:p>
        </w:tc>
        <w:tc>
          <w:tcPr>
            <w:tcW w:w="851" w:type="dxa"/>
            <w:vAlign w:val="center"/>
          </w:tcPr>
          <w:p w14:paraId="64CE4968" w14:textId="77777777" w:rsidR="00367CDB"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7am - 9pm</w:t>
            </w:r>
            <w:r w:rsidRPr="00D14611">
              <w:rPr>
                <w:rFonts w:ascii="Arial" w:hAnsi="Arial" w:cs="Arial"/>
                <w:sz w:val="12"/>
                <w:szCs w:val="12"/>
              </w:rPr>
              <w:br/>
              <w:t>Mon-S</w:t>
            </w:r>
            <w:r>
              <w:rPr>
                <w:rFonts w:ascii="Arial" w:hAnsi="Arial" w:cs="Arial"/>
                <w:sz w:val="12"/>
                <w:szCs w:val="12"/>
              </w:rPr>
              <w:t>un</w:t>
            </w:r>
          </w:p>
        </w:tc>
        <w:tc>
          <w:tcPr>
            <w:tcW w:w="850" w:type="dxa"/>
            <w:vAlign w:val="center"/>
          </w:tcPr>
          <w:p w14:paraId="58E30028"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24x 7</w:t>
            </w:r>
          </w:p>
        </w:tc>
        <w:tc>
          <w:tcPr>
            <w:tcW w:w="992" w:type="dxa"/>
            <w:vAlign w:val="center"/>
          </w:tcPr>
          <w:p w14:paraId="1789F585" w14:textId="77777777" w:rsidR="00367CDB"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7am - 9pm</w:t>
            </w:r>
            <w:r w:rsidRPr="00D14611">
              <w:rPr>
                <w:rFonts w:ascii="Arial" w:hAnsi="Arial" w:cs="Arial"/>
                <w:sz w:val="12"/>
                <w:szCs w:val="12"/>
              </w:rPr>
              <w:br/>
              <w:t>Mon-S</w:t>
            </w:r>
            <w:r>
              <w:rPr>
                <w:rFonts w:ascii="Arial" w:hAnsi="Arial" w:cs="Arial"/>
                <w:sz w:val="12"/>
                <w:szCs w:val="12"/>
              </w:rPr>
              <w:t>un</w:t>
            </w:r>
          </w:p>
        </w:tc>
        <w:tc>
          <w:tcPr>
            <w:tcW w:w="1134" w:type="dxa"/>
            <w:vAlign w:val="center"/>
          </w:tcPr>
          <w:p w14:paraId="229CB3E1"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24x 7</w:t>
            </w:r>
          </w:p>
        </w:tc>
        <w:tc>
          <w:tcPr>
            <w:tcW w:w="993" w:type="dxa"/>
            <w:vAlign w:val="center"/>
          </w:tcPr>
          <w:p w14:paraId="70AD79EE" w14:textId="77777777" w:rsidR="00367CDB"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7am - 9pm</w:t>
            </w:r>
            <w:r w:rsidRPr="00D14611">
              <w:rPr>
                <w:rFonts w:ascii="Arial" w:hAnsi="Arial" w:cs="Arial"/>
                <w:sz w:val="12"/>
                <w:szCs w:val="12"/>
              </w:rPr>
              <w:br/>
              <w:t>Mon-S</w:t>
            </w:r>
            <w:r>
              <w:rPr>
                <w:rFonts w:ascii="Arial" w:hAnsi="Arial" w:cs="Arial"/>
                <w:sz w:val="12"/>
                <w:szCs w:val="12"/>
              </w:rPr>
              <w:t>un</w:t>
            </w:r>
          </w:p>
        </w:tc>
        <w:tc>
          <w:tcPr>
            <w:tcW w:w="850" w:type="dxa"/>
            <w:vAlign w:val="center"/>
          </w:tcPr>
          <w:p w14:paraId="4A2B8C55"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24x 7</w:t>
            </w:r>
          </w:p>
        </w:tc>
        <w:tc>
          <w:tcPr>
            <w:tcW w:w="992" w:type="dxa"/>
            <w:vAlign w:val="center"/>
          </w:tcPr>
          <w:p w14:paraId="03B36FE0" w14:textId="77777777" w:rsidR="00367CDB"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7am - 9pm</w:t>
            </w:r>
            <w:r w:rsidRPr="00D14611">
              <w:rPr>
                <w:rFonts w:ascii="Arial" w:hAnsi="Arial" w:cs="Arial"/>
                <w:sz w:val="12"/>
                <w:szCs w:val="12"/>
              </w:rPr>
              <w:br/>
              <w:t>Mon-S</w:t>
            </w:r>
            <w:r>
              <w:rPr>
                <w:rFonts w:ascii="Arial" w:hAnsi="Arial" w:cs="Arial"/>
                <w:sz w:val="12"/>
                <w:szCs w:val="12"/>
              </w:rPr>
              <w:t>un</w:t>
            </w:r>
          </w:p>
        </w:tc>
        <w:tc>
          <w:tcPr>
            <w:tcW w:w="890" w:type="dxa"/>
            <w:vAlign w:val="center"/>
          </w:tcPr>
          <w:p w14:paraId="15D7936F"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24x 7</w:t>
            </w:r>
          </w:p>
        </w:tc>
      </w:tr>
      <w:tr w:rsidR="00367CDB" w:rsidRPr="00D14611" w14:paraId="38EED624" w14:textId="77777777" w:rsidTr="00367CDB">
        <w:tc>
          <w:tcPr>
            <w:tcW w:w="1843" w:type="dxa"/>
            <w:gridSpan w:val="2"/>
            <w:tcBorders>
              <w:bottom w:val="single" w:sz="4" w:space="0" w:color="auto"/>
            </w:tcBorders>
          </w:tcPr>
          <w:p w14:paraId="4AA2517D"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tcBorders>
              <w:bottom w:val="single" w:sz="4" w:space="0" w:color="auto"/>
            </w:tcBorders>
            <w:vAlign w:val="center"/>
          </w:tcPr>
          <w:p w14:paraId="501D06E5"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Response time within</w:t>
            </w:r>
          </w:p>
        </w:tc>
        <w:tc>
          <w:tcPr>
            <w:tcW w:w="1418" w:type="dxa"/>
            <w:vAlign w:val="center"/>
          </w:tcPr>
          <w:p w14:paraId="049E5AE8"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8 hours</w:t>
            </w:r>
          </w:p>
        </w:tc>
        <w:tc>
          <w:tcPr>
            <w:tcW w:w="1134" w:type="dxa"/>
            <w:vAlign w:val="center"/>
          </w:tcPr>
          <w:p w14:paraId="4A123658"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120 mins</w:t>
            </w:r>
          </w:p>
        </w:tc>
        <w:tc>
          <w:tcPr>
            <w:tcW w:w="992" w:type="dxa"/>
            <w:vAlign w:val="center"/>
          </w:tcPr>
          <w:p w14:paraId="37BBB36C"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60 mins</w:t>
            </w:r>
          </w:p>
        </w:tc>
        <w:tc>
          <w:tcPr>
            <w:tcW w:w="1701" w:type="dxa"/>
            <w:gridSpan w:val="2"/>
            <w:vAlign w:val="center"/>
          </w:tcPr>
          <w:p w14:paraId="36DF0DD4"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60 mins</w:t>
            </w:r>
          </w:p>
        </w:tc>
        <w:tc>
          <w:tcPr>
            <w:tcW w:w="2126" w:type="dxa"/>
            <w:gridSpan w:val="2"/>
            <w:vAlign w:val="center"/>
          </w:tcPr>
          <w:p w14:paraId="26223E75"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30 mins</w:t>
            </w:r>
          </w:p>
        </w:tc>
        <w:tc>
          <w:tcPr>
            <w:tcW w:w="1843" w:type="dxa"/>
            <w:gridSpan w:val="2"/>
            <w:vAlign w:val="center"/>
          </w:tcPr>
          <w:p w14:paraId="0AC2CA13"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15 mins</w:t>
            </w:r>
          </w:p>
        </w:tc>
        <w:tc>
          <w:tcPr>
            <w:tcW w:w="1882" w:type="dxa"/>
            <w:gridSpan w:val="2"/>
            <w:vAlign w:val="center"/>
          </w:tcPr>
          <w:p w14:paraId="6DCEFDE3"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15 mins</w:t>
            </w:r>
          </w:p>
        </w:tc>
      </w:tr>
      <w:tr w:rsidR="00367CDB" w:rsidRPr="00D14611" w14:paraId="59EB2169" w14:textId="77777777" w:rsidTr="00367CDB">
        <w:tc>
          <w:tcPr>
            <w:tcW w:w="1843" w:type="dxa"/>
            <w:gridSpan w:val="2"/>
            <w:tcBorders>
              <w:bottom w:val="single" w:sz="4" w:space="0" w:color="auto"/>
            </w:tcBorders>
          </w:tcPr>
          <w:p w14:paraId="3D99F37A"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tcBorders>
              <w:bottom w:val="single" w:sz="4" w:space="0" w:color="auto"/>
            </w:tcBorders>
            <w:vAlign w:val="center"/>
          </w:tcPr>
          <w:p w14:paraId="561E6556"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Status report within</w:t>
            </w:r>
          </w:p>
        </w:tc>
        <w:tc>
          <w:tcPr>
            <w:tcW w:w="1418" w:type="dxa"/>
            <w:vAlign w:val="center"/>
          </w:tcPr>
          <w:p w14:paraId="67228229"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n/a</w:t>
            </w:r>
          </w:p>
        </w:tc>
        <w:tc>
          <w:tcPr>
            <w:tcW w:w="1134" w:type="dxa"/>
            <w:vAlign w:val="center"/>
          </w:tcPr>
          <w:p w14:paraId="31E84AA5"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120 mins</w:t>
            </w:r>
          </w:p>
        </w:tc>
        <w:tc>
          <w:tcPr>
            <w:tcW w:w="992" w:type="dxa"/>
            <w:vAlign w:val="center"/>
          </w:tcPr>
          <w:p w14:paraId="37845710"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120 mins</w:t>
            </w:r>
          </w:p>
        </w:tc>
        <w:tc>
          <w:tcPr>
            <w:tcW w:w="1701" w:type="dxa"/>
            <w:gridSpan w:val="2"/>
            <w:vAlign w:val="center"/>
          </w:tcPr>
          <w:p w14:paraId="6B0CC059"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120 mins</w:t>
            </w:r>
          </w:p>
        </w:tc>
        <w:tc>
          <w:tcPr>
            <w:tcW w:w="2126" w:type="dxa"/>
            <w:gridSpan w:val="2"/>
            <w:vAlign w:val="center"/>
          </w:tcPr>
          <w:p w14:paraId="633C17BB"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90 mins</w:t>
            </w:r>
          </w:p>
        </w:tc>
        <w:tc>
          <w:tcPr>
            <w:tcW w:w="1843" w:type="dxa"/>
            <w:gridSpan w:val="2"/>
            <w:vAlign w:val="center"/>
          </w:tcPr>
          <w:p w14:paraId="13675573"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60 mins</w:t>
            </w:r>
          </w:p>
        </w:tc>
        <w:tc>
          <w:tcPr>
            <w:tcW w:w="1882" w:type="dxa"/>
            <w:gridSpan w:val="2"/>
            <w:vAlign w:val="center"/>
          </w:tcPr>
          <w:p w14:paraId="7E45E18F"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60 mins</w:t>
            </w:r>
          </w:p>
        </w:tc>
      </w:tr>
      <w:tr w:rsidR="00367CDB" w:rsidRPr="00D14611" w14:paraId="11CB9DA8" w14:textId="77777777" w:rsidTr="00367CDB">
        <w:tc>
          <w:tcPr>
            <w:tcW w:w="1843" w:type="dxa"/>
            <w:gridSpan w:val="2"/>
          </w:tcPr>
          <w:p w14:paraId="2C6D99BB"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vAlign w:val="center"/>
          </w:tcPr>
          <w:p w14:paraId="03AF5395"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Urban, Rural or Remote Offsite restoration time</w:t>
            </w:r>
          </w:p>
        </w:tc>
        <w:tc>
          <w:tcPr>
            <w:tcW w:w="1418" w:type="dxa"/>
            <w:tcBorders>
              <w:bottom w:val="single" w:sz="4" w:space="0" w:color="auto"/>
            </w:tcBorders>
            <w:vAlign w:val="center"/>
          </w:tcPr>
          <w:p w14:paraId="78263AE4"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EOBD Restoration Time</w:t>
            </w:r>
          </w:p>
        </w:tc>
        <w:tc>
          <w:tcPr>
            <w:tcW w:w="2126" w:type="dxa"/>
            <w:gridSpan w:val="2"/>
            <w:vAlign w:val="center"/>
          </w:tcPr>
          <w:p w14:paraId="6DAE2CC5"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12 hours</w:t>
            </w:r>
          </w:p>
        </w:tc>
        <w:tc>
          <w:tcPr>
            <w:tcW w:w="1701" w:type="dxa"/>
            <w:gridSpan w:val="2"/>
            <w:vAlign w:val="center"/>
          </w:tcPr>
          <w:p w14:paraId="4DF869CB"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8 hours</w:t>
            </w:r>
          </w:p>
        </w:tc>
        <w:tc>
          <w:tcPr>
            <w:tcW w:w="2126" w:type="dxa"/>
            <w:gridSpan w:val="2"/>
            <w:vAlign w:val="center"/>
          </w:tcPr>
          <w:p w14:paraId="4DFF5DB2"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6 hours</w:t>
            </w:r>
          </w:p>
        </w:tc>
        <w:tc>
          <w:tcPr>
            <w:tcW w:w="1843" w:type="dxa"/>
            <w:gridSpan w:val="2"/>
            <w:vAlign w:val="center"/>
          </w:tcPr>
          <w:p w14:paraId="58BA6468"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4 hours</w:t>
            </w:r>
          </w:p>
        </w:tc>
        <w:tc>
          <w:tcPr>
            <w:tcW w:w="1882" w:type="dxa"/>
            <w:gridSpan w:val="2"/>
            <w:vAlign w:val="center"/>
          </w:tcPr>
          <w:p w14:paraId="01AAD575"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2 hours</w:t>
            </w:r>
          </w:p>
        </w:tc>
      </w:tr>
      <w:tr w:rsidR="00367CDB" w:rsidRPr="00D14611" w14:paraId="684E92E7" w14:textId="77777777" w:rsidTr="00367CDB">
        <w:tc>
          <w:tcPr>
            <w:tcW w:w="1843" w:type="dxa"/>
            <w:gridSpan w:val="2"/>
          </w:tcPr>
          <w:p w14:paraId="4B6BF9B2"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vAlign w:val="center"/>
          </w:tcPr>
          <w:p w14:paraId="0856ECF9"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Urban Onsite restoration time</w:t>
            </w:r>
          </w:p>
        </w:tc>
        <w:tc>
          <w:tcPr>
            <w:tcW w:w="1418" w:type="dxa"/>
            <w:tcBorders>
              <w:bottom w:val="single" w:sz="4" w:space="0" w:color="auto"/>
            </w:tcBorders>
            <w:vAlign w:val="center"/>
          </w:tcPr>
          <w:p w14:paraId="09CDAEA1"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EOBD Restoration Time</w:t>
            </w:r>
          </w:p>
        </w:tc>
        <w:tc>
          <w:tcPr>
            <w:tcW w:w="2126" w:type="dxa"/>
            <w:gridSpan w:val="2"/>
            <w:vAlign w:val="center"/>
          </w:tcPr>
          <w:p w14:paraId="32B1035F"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12 hours</w:t>
            </w:r>
          </w:p>
        </w:tc>
        <w:tc>
          <w:tcPr>
            <w:tcW w:w="1701" w:type="dxa"/>
            <w:gridSpan w:val="2"/>
            <w:vAlign w:val="center"/>
          </w:tcPr>
          <w:p w14:paraId="4BDB25C8"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8 hours</w:t>
            </w:r>
          </w:p>
        </w:tc>
        <w:tc>
          <w:tcPr>
            <w:tcW w:w="2126" w:type="dxa"/>
            <w:gridSpan w:val="2"/>
            <w:vAlign w:val="center"/>
          </w:tcPr>
          <w:p w14:paraId="3145546E"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6 hours</w:t>
            </w:r>
          </w:p>
        </w:tc>
        <w:tc>
          <w:tcPr>
            <w:tcW w:w="1843" w:type="dxa"/>
            <w:gridSpan w:val="2"/>
            <w:vAlign w:val="center"/>
          </w:tcPr>
          <w:p w14:paraId="4BC4D395"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4 hours</w:t>
            </w:r>
          </w:p>
        </w:tc>
        <w:tc>
          <w:tcPr>
            <w:tcW w:w="1882" w:type="dxa"/>
            <w:gridSpan w:val="2"/>
            <w:vAlign w:val="center"/>
          </w:tcPr>
          <w:p w14:paraId="58F5C9E1"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4 hours</w:t>
            </w:r>
          </w:p>
        </w:tc>
      </w:tr>
      <w:tr w:rsidR="00367CDB" w:rsidRPr="00D14611" w14:paraId="1EC99073" w14:textId="77777777" w:rsidTr="00367CDB">
        <w:tc>
          <w:tcPr>
            <w:tcW w:w="1843" w:type="dxa"/>
            <w:gridSpan w:val="2"/>
          </w:tcPr>
          <w:p w14:paraId="2966A3C7"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vAlign w:val="center"/>
          </w:tcPr>
          <w:p w14:paraId="61A5C66F"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Rural Onsite restoration time</w:t>
            </w:r>
          </w:p>
        </w:tc>
        <w:tc>
          <w:tcPr>
            <w:tcW w:w="11096" w:type="dxa"/>
            <w:gridSpan w:val="11"/>
            <w:tcBorders>
              <w:bottom w:val="single" w:sz="4" w:space="0" w:color="auto"/>
            </w:tcBorders>
            <w:vAlign w:val="center"/>
          </w:tcPr>
          <w:p w14:paraId="2FBA728E"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 xml:space="preserve">Urban onsite restoration time </w:t>
            </w:r>
            <w:r w:rsidRPr="00D14611">
              <w:rPr>
                <w:rFonts w:ascii="Arial" w:hAnsi="Arial" w:cs="Arial"/>
                <w:i/>
                <w:sz w:val="12"/>
                <w:szCs w:val="12"/>
              </w:rPr>
              <w:t xml:space="preserve">plus </w:t>
            </w:r>
            <w:r w:rsidRPr="00D14611">
              <w:rPr>
                <w:rFonts w:ascii="Arial" w:hAnsi="Arial" w:cs="Arial"/>
                <w:sz w:val="12"/>
                <w:szCs w:val="12"/>
              </w:rPr>
              <w:t>one business day</w:t>
            </w:r>
          </w:p>
        </w:tc>
      </w:tr>
      <w:tr w:rsidR="00367CDB" w:rsidRPr="00D14611" w14:paraId="72305B68" w14:textId="77777777" w:rsidTr="00367CDB">
        <w:tc>
          <w:tcPr>
            <w:tcW w:w="1843" w:type="dxa"/>
            <w:gridSpan w:val="2"/>
            <w:tcBorders>
              <w:bottom w:val="single" w:sz="4" w:space="0" w:color="auto"/>
            </w:tcBorders>
          </w:tcPr>
          <w:p w14:paraId="35B73D9B" w14:textId="77777777" w:rsidR="00367CDB" w:rsidRPr="00D14611" w:rsidRDefault="00367CDB" w:rsidP="00367CDB">
            <w:pPr>
              <w:pStyle w:val="Heading2"/>
              <w:numPr>
                <w:ilvl w:val="0"/>
                <w:numId w:val="0"/>
              </w:numPr>
              <w:spacing w:before="20" w:after="20"/>
              <w:rPr>
                <w:rFonts w:ascii="Arial" w:hAnsi="Arial" w:cs="Arial"/>
                <w:b/>
                <w:sz w:val="12"/>
                <w:szCs w:val="12"/>
              </w:rPr>
            </w:pPr>
          </w:p>
        </w:tc>
        <w:tc>
          <w:tcPr>
            <w:tcW w:w="3260" w:type="dxa"/>
            <w:gridSpan w:val="2"/>
            <w:tcBorders>
              <w:bottom w:val="single" w:sz="4" w:space="0" w:color="auto"/>
            </w:tcBorders>
            <w:vAlign w:val="center"/>
          </w:tcPr>
          <w:p w14:paraId="51C33521" w14:textId="77777777" w:rsidR="00367CDB" w:rsidRPr="00D14611" w:rsidRDefault="00367CDB" w:rsidP="00367CDB">
            <w:pPr>
              <w:pStyle w:val="Heading2"/>
              <w:numPr>
                <w:ilvl w:val="0"/>
                <w:numId w:val="0"/>
              </w:numPr>
              <w:spacing w:before="20" w:after="20"/>
              <w:rPr>
                <w:rFonts w:ascii="Arial" w:hAnsi="Arial" w:cs="Arial"/>
                <w:b/>
                <w:sz w:val="12"/>
                <w:szCs w:val="12"/>
              </w:rPr>
            </w:pPr>
            <w:r w:rsidRPr="00D14611">
              <w:rPr>
                <w:rFonts w:ascii="Arial" w:hAnsi="Arial" w:cs="Arial"/>
                <w:b/>
                <w:sz w:val="12"/>
                <w:szCs w:val="12"/>
              </w:rPr>
              <w:t>Remote Onsite restoration time</w:t>
            </w:r>
          </w:p>
        </w:tc>
        <w:tc>
          <w:tcPr>
            <w:tcW w:w="11096" w:type="dxa"/>
            <w:gridSpan w:val="11"/>
            <w:tcBorders>
              <w:bottom w:val="single" w:sz="4" w:space="0" w:color="auto"/>
            </w:tcBorders>
            <w:vAlign w:val="center"/>
          </w:tcPr>
          <w:p w14:paraId="48DA1A50" w14:textId="77777777" w:rsidR="00367CDB" w:rsidRPr="00D14611" w:rsidRDefault="00367CDB" w:rsidP="00367CDB">
            <w:pPr>
              <w:pStyle w:val="Heading2"/>
              <w:numPr>
                <w:ilvl w:val="0"/>
                <w:numId w:val="0"/>
              </w:numPr>
              <w:spacing w:before="20" w:after="20"/>
              <w:jc w:val="center"/>
              <w:rPr>
                <w:rFonts w:ascii="Arial" w:hAnsi="Arial" w:cs="Arial"/>
                <w:sz w:val="12"/>
                <w:szCs w:val="12"/>
              </w:rPr>
            </w:pPr>
            <w:r w:rsidRPr="00D14611">
              <w:rPr>
                <w:rFonts w:ascii="Arial" w:hAnsi="Arial" w:cs="Arial"/>
                <w:sz w:val="12"/>
                <w:szCs w:val="12"/>
              </w:rPr>
              <w:t xml:space="preserve">Urban onsite restoration time </w:t>
            </w:r>
            <w:r w:rsidRPr="00D14611">
              <w:rPr>
                <w:rFonts w:ascii="Arial" w:hAnsi="Arial" w:cs="Arial"/>
                <w:i/>
                <w:sz w:val="12"/>
                <w:szCs w:val="12"/>
              </w:rPr>
              <w:t xml:space="preserve">plus </w:t>
            </w:r>
            <w:r w:rsidRPr="00D14611">
              <w:rPr>
                <w:rFonts w:ascii="Arial" w:hAnsi="Arial" w:cs="Arial"/>
                <w:sz w:val="12"/>
                <w:szCs w:val="12"/>
              </w:rPr>
              <w:t>two business days</w:t>
            </w:r>
          </w:p>
        </w:tc>
      </w:tr>
      <w:tr w:rsidR="00367CDB" w:rsidRPr="00D14611" w14:paraId="74CB027F" w14:textId="77777777" w:rsidTr="005C2C45">
        <w:tc>
          <w:tcPr>
            <w:tcW w:w="5103" w:type="dxa"/>
            <w:gridSpan w:val="4"/>
            <w:tcBorders>
              <w:bottom w:val="single" w:sz="4" w:space="0" w:color="auto"/>
              <w:right w:val="single" w:sz="4" w:space="0" w:color="auto"/>
            </w:tcBorders>
            <w:shd w:val="clear" w:color="auto" w:fill="808080" w:themeFill="background1" w:themeFillShade="80"/>
          </w:tcPr>
          <w:p w14:paraId="442F97A5" w14:textId="61ED9A12" w:rsidR="00367CDB" w:rsidRPr="00D14611" w:rsidRDefault="005C2C45" w:rsidP="0049337F">
            <w:pPr>
              <w:pStyle w:val="Heading2"/>
              <w:numPr>
                <w:ilvl w:val="0"/>
                <w:numId w:val="0"/>
              </w:numPr>
              <w:tabs>
                <w:tab w:val="left" w:pos="1152"/>
                <w:tab w:val="center" w:pos="2443"/>
                <w:tab w:val="left" w:pos="3549"/>
              </w:tabs>
              <w:spacing w:before="20" w:after="20"/>
              <w:rPr>
                <w:rFonts w:ascii="Arial" w:hAnsi="Arial" w:cs="Arial"/>
                <w:b/>
                <w:color w:val="FFFFFF"/>
                <w:sz w:val="12"/>
                <w:szCs w:val="12"/>
              </w:rPr>
            </w:pPr>
            <w:r>
              <w:rPr>
                <w:rFonts w:ascii="Arial" w:hAnsi="Arial" w:cs="Arial"/>
                <w:b/>
                <w:color w:val="FFFFFF"/>
                <w:sz w:val="12"/>
                <w:szCs w:val="12"/>
              </w:rPr>
              <w:tab/>
            </w:r>
            <w:r>
              <w:rPr>
                <w:rFonts w:ascii="Arial" w:hAnsi="Arial" w:cs="Arial"/>
                <w:b/>
                <w:color w:val="FFFFFF"/>
                <w:sz w:val="12"/>
                <w:szCs w:val="12"/>
              </w:rPr>
              <w:tab/>
            </w:r>
            <w:r w:rsidR="00367CDB" w:rsidRPr="0049337F">
              <w:rPr>
                <w:rFonts w:ascii="Arial" w:hAnsi="Arial" w:cs="Arial"/>
                <w:b/>
                <w:color w:val="FFFFFF" w:themeColor="background1"/>
                <w:sz w:val="12"/>
                <w:szCs w:val="12"/>
              </w:rPr>
              <w:t>Solution</w:t>
            </w:r>
            <w:r w:rsidR="0049337F">
              <w:rPr>
                <w:rFonts w:ascii="Arial" w:hAnsi="Arial" w:cs="Arial"/>
                <w:b/>
                <w:color w:val="FFFFFF" w:themeColor="background1"/>
                <w:sz w:val="12"/>
                <w:szCs w:val="12"/>
              </w:rPr>
              <w:tab/>
            </w:r>
          </w:p>
        </w:tc>
        <w:tc>
          <w:tcPr>
            <w:tcW w:w="1418" w:type="dxa"/>
            <w:tcBorders>
              <w:top w:val="single" w:sz="4" w:space="0" w:color="auto"/>
              <w:left w:val="single" w:sz="4" w:space="0" w:color="auto"/>
              <w:bottom w:val="single" w:sz="4" w:space="0" w:color="auto"/>
              <w:right w:val="nil"/>
            </w:tcBorders>
            <w:shd w:val="clear" w:color="auto" w:fill="808080" w:themeFill="background1" w:themeFillShade="80"/>
            <w:vAlign w:val="center"/>
          </w:tcPr>
          <w:p w14:paraId="70D98050"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1134" w:type="dxa"/>
            <w:tcBorders>
              <w:left w:val="nil"/>
              <w:bottom w:val="single" w:sz="4" w:space="0" w:color="auto"/>
              <w:right w:val="nil"/>
            </w:tcBorders>
            <w:shd w:val="clear" w:color="auto" w:fill="808080" w:themeFill="background1" w:themeFillShade="80"/>
            <w:vAlign w:val="center"/>
          </w:tcPr>
          <w:p w14:paraId="631C6210"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992" w:type="dxa"/>
            <w:tcBorders>
              <w:left w:val="nil"/>
              <w:bottom w:val="single" w:sz="4" w:space="0" w:color="auto"/>
              <w:right w:val="nil"/>
            </w:tcBorders>
            <w:shd w:val="clear" w:color="auto" w:fill="808080" w:themeFill="background1" w:themeFillShade="80"/>
            <w:vAlign w:val="center"/>
          </w:tcPr>
          <w:p w14:paraId="52EAFA52"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851" w:type="dxa"/>
            <w:tcBorders>
              <w:left w:val="nil"/>
              <w:bottom w:val="single" w:sz="4" w:space="0" w:color="auto"/>
              <w:right w:val="nil"/>
            </w:tcBorders>
            <w:shd w:val="clear" w:color="auto" w:fill="808080" w:themeFill="background1" w:themeFillShade="80"/>
            <w:vAlign w:val="center"/>
          </w:tcPr>
          <w:p w14:paraId="1B91F4F5"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850" w:type="dxa"/>
            <w:tcBorders>
              <w:left w:val="nil"/>
              <w:bottom w:val="single" w:sz="4" w:space="0" w:color="auto"/>
              <w:right w:val="nil"/>
            </w:tcBorders>
            <w:shd w:val="clear" w:color="auto" w:fill="808080" w:themeFill="background1" w:themeFillShade="80"/>
            <w:vAlign w:val="center"/>
          </w:tcPr>
          <w:p w14:paraId="496F1453"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992" w:type="dxa"/>
            <w:tcBorders>
              <w:left w:val="nil"/>
              <w:bottom w:val="single" w:sz="4" w:space="0" w:color="auto"/>
              <w:right w:val="nil"/>
            </w:tcBorders>
            <w:shd w:val="clear" w:color="auto" w:fill="808080" w:themeFill="background1" w:themeFillShade="80"/>
            <w:vAlign w:val="center"/>
          </w:tcPr>
          <w:p w14:paraId="456B8C45"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1134" w:type="dxa"/>
            <w:tcBorders>
              <w:left w:val="nil"/>
              <w:bottom w:val="single" w:sz="4" w:space="0" w:color="auto"/>
              <w:right w:val="nil"/>
            </w:tcBorders>
            <w:shd w:val="clear" w:color="auto" w:fill="808080" w:themeFill="background1" w:themeFillShade="80"/>
            <w:vAlign w:val="center"/>
          </w:tcPr>
          <w:p w14:paraId="49F0FDEB"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993" w:type="dxa"/>
            <w:tcBorders>
              <w:left w:val="nil"/>
              <w:bottom w:val="single" w:sz="4" w:space="0" w:color="auto"/>
              <w:right w:val="nil"/>
            </w:tcBorders>
            <w:shd w:val="clear" w:color="auto" w:fill="808080" w:themeFill="background1" w:themeFillShade="80"/>
            <w:vAlign w:val="center"/>
          </w:tcPr>
          <w:p w14:paraId="3D4A0BD2"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850" w:type="dxa"/>
            <w:tcBorders>
              <w:left w:val="nil"/>
              <w:bottom w:val="single" w:sz="4" w:space="0" w:color="auto"/>
              <w:right w:val="nil"/>
            </w:tcBorders>
            <w:shd w:val="clear" w:color="auto" w:fill="808080" w:themeFill="background1" w:themeFillShade="80"/>
            <w:vAlign w:val="center"/>
          </w:tcPr>
          <w:p w14:paraId="5CB43CE5"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992" w:type="dxa"/>
            <w:tcBorders>
              <w:left w:val="nil"/>
              <w:bottom w:val="single" w:sz="4" w:space="0" w:color="auto"/>
              <w:right w:val="nil"/>
            </w:tcBorders>
            <w:shd w:val="clear" w:color="auto" w:fill="808080" w:themeFill="background1" w:themeFillShade="80"/>
            <w:vAlign w:val="center"/>
          </w:tcPr>
          <w:p w14:paraId="09911395"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c>
          <w:tcPr>
            <w:tcW w:w="890" w:type="dxa"/>
            <w:tcBorders>
              <w:left w:val="nil"/>
              <w:bottom w:val="single" w:sz="4" w:space="0" w:color="auto"/>
            </w:tcBorders>
            <w:shd w:val="clear" w:color="auto" w:fill="808080" w:themeFill="background1" w:themeFillShade="80"/>
            <w:vAlign w:val="center"/>
          </w:tcPr>
          <w:p w14:paraId="1DA8EE4F" w14:textId="77777777" w:rsidR="00367CDB" w:rsidRPr="00D14611" w:rsidRDefault="00367CDB" w:rsidP="00367CDB">
            <w:pPr>
              <w:pStyle w:val="Heading2"/>
              <w:numPr>
                <w:ilvl w:val="0"/>
                <w:numId w:val="0"/>
              </w:numPr>
              <w:spacing w:before="20" w:after="20"/>
              <w:jc w:val="center"/>
              <w:rPr>
                <w:rFonts w:ascii="Arial" w:hAnsi="Arial" w:cs="Arial"/>
                <w:color w:val="FFFFFF"/>
                <w:sz w:val="12"/>
                <w:szCs w:val="12"/>
              </w:rPr>
            </w:pPr>
          </w:p>
        </w:tc>
      </w:tr>
      <w:tr w:rsidR="00367CDB" w:rsidRPr="00D14611" w14:paraId="7ADE8457" w14:textId="77777777" w:rsidTr="005C2C45">
        <w:tc>
          <w:tcPr>
            <w:tcW w:w="1560" w:type="dxa"/>
            <w:tcBorders>
              <w:bottom w:val="single" w:sz="4" w:space="0" w:color="auto"/>
            </w:tcBorders>
            <w:shd w:val="clear" w:color="auto" w:fill="808080" w:themeFill="background1" w:themeFillShade="80"/>
            <w:vAlign w:val="center"/>
          </w:tcPr>
          <w:p w14:paraId="2B2BAC03" w14:textId="77777777" w:rsidR="00367CDB" w:rsidRPr="00D14611" w:rsidRDefault="00367CDB" w:rsidP="00367CDB">
            <w:pPr>
              <w:pStyle w:val="Heading2"/>
              <w:numPr>
                <w:ilvl w:val="0"/>
                <w:numId w:val="0"/>
              </w:numPr>
              <w:spacing w:before="20" w:after="20"/>
              <w:rPr>
                <w:rFonts w:ascii="Arial" w:hAnsi="Arial" w:cs="Arial"/>
                <w:b/>
                <w:color w:val="FFFFFF"/>
                <w:sz w:val="12"/>
                <w:szCs w:val="12"/>
              </w:rPr>
            </w:pPr>
            <w:r w:rsidRPr="0049337F">
              <w:rPr>
                <w:rFonts w:ascii="Arial" w:hAnsi="Arial" w:cs="Arial"/>
                <w:b/>
                <w:color w:val="FFFFFF" w:themeColor="background1"/>
                <w:sz w:val="12"/>
                <w:szCs w:val="12"/>
              </w:rPr>
              <w:t>Eligible Product</w:t>
            </w:r>
          </w:p>
        </w:tc>
        <w:tc>
          <w:tcPr>
            <w:tcW w:w="425" w:type="dxa"/>
            <w:gridSpan w:val="2"/>
            <w:tcBorders>
              <w:bottom w:val="single" w:sz="4" w:space="0" w:color="auto"/>
            </w:tcBorders>
            <w:shd w:val="clear" w:color="auto" w:fill="808080" w:themeFill="background1" w:themeFillShade="80"/>
          </w:tcPr>
          <w:p w14:paraId="4572BBE4" w14:textId="77777777" w:rsidR="00367CDB" w:rsidRPr="00D14611" w:rsidRDefault="00367CDB" w:rsidP="00367CDB">
            <w:pPr>
              <w:pStyle w:val="Heading2"/>
              <w:numPr>
                <w:ilvl w:val="0"/>
                <w:numId w:val="0"/>
              </w:numPr>
              <w:spacing w:before="20" w:after="20"/>
              <w:rPr>
                <w:rFonts w:ascii="Arial" w:hAnsi="Arial" w:cs="Arial"/>
                <w:b/>
                <w:color w:val="FFFFFF"/>
                <w:sz w:val="12"/>
                <w:szCs w:val="12"/>
              </w:rPr>
            </w:pPr>
          </w:p>
        </w:tc>
        <w:tc>
          <w:tcPr>
            <w:tcW w:w="3118" w:type="dxa"/>
            <w:tcBorders>
              <w:bottom w:val="single" w:sz="4" w:space="0" w:color="auto"/>
              <w:right w:val="single" w:sz="4" w:space="0" w:color="auto"/>
            </w:tcBorders>
            <w:shd w:val="clear" w:color="auto" w:fill="808080" w:themeFill="background1" w:themeFillShade="80"/>
            <w:vAlign w:val="center"/>
          </w:tcPr>
          <w:p w14:paraId="5D9EFAA2" w14:textId="77777777" w:rsidR="00367CDB" w:rsidRPr="00D14611" w:rsidRDefault="00367CDB" w:rsidP="00367CDB">
            <w:pPr>
              <w:pStyle w:val="Heading2"/>
              <w:numPr>
                <w:ilvl w:val="0"/>
                <w:numId w:val="0"/>
              </w:numPr>
              <w:spacing w:before="20" w:after="20"/>
              <w:rPr>
                <w:rFonts w:ascii="Arial" w:hAnsi="Arial" w:cs="Arial"/>
                <w:b/>
                <w:color w:val="FFFFFF"/>
                <w:sz w:val="12"/>
                <w:szCs w:val="12"/>
              </w:rPr>
            </w:pPr>
            <w:r w:rsidRPr="0049337F">
              <w:rPr>
                <w:rFonts w:ascii="Arial" w:hAnsi="Arial" w:cs="Arial"/>
                <w:b/>
                <w:color w:val="FFFFFF" w:themeColor="background1"/>
                <w:sz w:val="12"/>
                <w:szCs w:val="12"/>
              </w:rPr>
              <w:t>Access service</w:t>
            </w:r>
          </w:p>
        </w:tc>
        <w:tc>
          <w:tcPr>
            <w:tcW w:w="1418" w:type="dxa"/>
            <w:tcBorders>
              <w:top w:val="single" w:sz="4" w:space="0" w:color="auto"/>
              <w:left w:val="single" w:sz="4" w:space="0" w:color="auto"/>
              <w:bottom w:val="single" w:sz="4" w:space="0" w:color="auto"/>
              <w:right w:val="nil"/>
            </w:tcBorders>
            <w:shd w:val="clear" w:color="auto" w:fill="808080" w:themeFill="background1" w:themeFillShade="80"/>
            <w:vAlign w:val="center"/>
          </w:tcPr>
          <w:p w14:paraId="37020CC4"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1134" w:type="dxa"/>
            <w:tcBorders>
              <w:left w:val="nil"/>
              <w:bottom w:val="single" w:sz="4" w:space="0" w:color="auto"/>
              <w:right w:val="nil"/>
            </w:tcBorders>
            <w:shd w:val="clear" w:color="auto" w:fill="808080" w:themeFill="background1" w:themeFillShade="80"/>
            <w:vAlign w:val="center"/>
          </w:tcPr>
          <w:p w14:paraId="64B094F7"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992" w:type="dxa"/>
            <w:tcBorders>
              <w:left w:val="nil"/>
              <w:bottom w:val="single" w:sz="4" w:space="0" w:color="auto"/>
              <w:right w:val="nil"/>
            </w:tcBorders>
            <w:shd w:val="clear" w:color="auto" w:fill="808080" w:themeFill="background1" w:themeFillShade="80"/>
            <w:vAlign w:val="center"/>
          </w:tcPr>
          <w:p w14:paraId="654FB8CC"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851" w:type="dxa"/>
            <w:tcBorders>
              <w:left w:val="nil"/>
              <w:bottom w:val="single" w:sz="4" w:space="0" w:color="auto"/>
              <w:right w:val="nil"/>
            </w:tcBorders>
            <w:shd w:val="clear" w:color="auto" w:fill="808080" w:themeFill="background1" w:themeFillShade="80"/>
            <w:vAlign w:val="center"/>
          </w:tcPr>
          <w:p w14:paraId="3E71479F"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850" w:type="dxa"/>
            <w:tcBorders>
              <w:left w:val="nil"/>
              <w:bottom w:val="single" w:sz="4" w:space="0" w:color="auto"/>
              <w:right w:val="nil"/>
            </w:tcBorders>
            <w:shd w:val="clear" w:color="auto" w:fill="808080" w:themeFill="background1" w:themeFillShade="80"/>
            <w:vAlign w:val="center"/>
          </w:tcPr>
          <w:p w14:paraId="1AD56C9D"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992" w:type="dxa"/>
            <w:tcBorders>
              <w:left w:val="nil"/>
              <w:bottom w:val="single" w:sz="4" w:space="0" w:color="auto"/>
              <w:right w:val="nil"/>
            </w:tcBorders>
            <w:shd w:val="clear" w:color="auto" w:fill="808080" w:themeFill="background1" w:themeFillShade="80"/>
            <w:vAlign w:val="center"/>
          </w:tcPr>
          <w:p w14:paraId="08B49250"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1134" w:type="dxa"/>
            <w:tcBorders>
              <w:left w:val="nil"/>
              <w:bottom w:val="single" w:sz="4" w:space="0" w:color="auto"/>
              <w:right w:val="nil"/>
            </w:tcBorders>
            <w:shd w:val="clear" w:color="auto" w:fill="808080" w:themeFill="background1" w:themeFillShade="80"/>
            <w:vAlign w:val="center"/>
          </w:tcPr>
          <w:p w14:paraId="125DC149"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993" w:type="dxa"/>
            <w:tcBorders>
              <w:left w:val="nil"/>
              <w:bottom w:val="single" w:sz="4" w:space="0" w:color="auto"/>
              <w:right w:val="nil"/>
            </w:tcBorders>
            <w:shd w:val="clear" w:color="auto" w:fill="808080" w:themeFill="background1" w:themeFillShade="80"/>
            <w:vAlign w:val="center"/>
          </w:tcPr>
          <w:p w14:paraId="31CCC62B"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850" w:type="dxa"/>
            <w:tcBorders>
              <w:left w:val="nil"/>
              <w:bottom w:val="single" w:sz="4" w:space="0" w:color="auto"/>
              <w:right w:val="nil"/>
            </w:tcBorders>
            <w:shd w:val="clear" w:color="auto" w:fill="808080" w:themeFill="background1" w:themeFillShade="80"/>
            <w:vAlign w:val="center"/>
          </w:tcPr>
          <w:p w14:paraId="17DB1F63"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992" w:type="dxa"/>
            <w:tcBorders>
              <w:left w:val="nil"/>
              <w:bottom w:val="single" w:sz="4" w:space="0" w:color="auto"/>
              <w:right w:val="nil"/>
            </w:tcBorders>
            <w:shd w:val="clear" w:color="auto" w:fill="808080" w:themeFill="background1" w:themeFillShade="80"/>
            <w:vAlign w:val="center"/>
          </w:tcPr>
          <w:p w14:paraId="4C4FE28B"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c>
          <w:tcPr>
            <w:tcW w:w="890" w:type="dxa"/>
            <w:tcBorders>
              <w:left w:val="nil"/>
              <w:bottom w:val="single" w:sz="4" w:space="0" w:color="auto"/>
            </w:tcBorders>
            <w:shd w:val="clear" w:color="auto" w:fill="808080" w:themeFill="background1" w:themeFillShade="80"/>
            <w:vAlign w:val="center"/>
          </w:tcPr>
          <w:p w14:paraId="2FB2D693" w14:textId="77777777" w:rsidR="00367CDB" w:rsidRPr="00D14611" w:rsidRDefault="00367CDB" w:rsidP="00367CDB">
            <w:pPr>
              <w:pStyle w:val="Heading2"/>
              <w:numPr>
                <w:ilvl w:val="0"/>
                <w:numId w:val="0"/>
              </w:numPr>
              <w:spacing w:before="20" w:after="20"/>
              <w:rPr>
                <w:rFonts w:ascii="Arial" w:hAnsi="Arial" w:cs="Arial"/>
                <w:color w:val="FFFFFF"/>
                <w:sz w:val="12"/>
                <w:szCs w:val="12"/>
              </w:rPr>
            </w:pPr>
          </w:p>
        </w:tc>
      </w:tr>
      <w:tr w:rsidR="00367CDB" w:rsidRPr="00D14611" w14:paraId="2EE9A80B" w14:textId="77777777" w:rsidTr="00367CDB">
        <w:trPr>
          <w:trHeight w:val="70"/>
        </w:trPr>
        <w:tc>
          <w:tcPr>
            <w:tcW w:w="1560" w:type="dxa"/>
            <w:tcBorders>
              <w:top w:val="single" w:sz="4" w:space="0" w:color="auto"/>
              <w:left w:val="single" w:sz="4" w:space="0" w:color="auto"/>
              <w:bottom w:val="nil"/>
              <w:right w:val="single" w:sz="4" w:space="0" w:color="auto"/>
            </w:tcBorders>
            <w:vAlign w:val="center"/>
          </w:tcPr>
          <w:p w14:paraId="4587EDA0"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val="restart"/>
            <w:tcBorders>
              <w:top w:val="single" w:sz="4" w:space="0" w:color="auto"/>
              <w:left w:val="single" w:sz="4" w:space="0" w:color="auto"/>
              <w:right w:val="single" w:sz="4" w:space="0" w:color="auto"/>
            </w:tcBorders>
            <w:textDirection w:val="btLr"/>
          </w:tcPr>
          <w:p w14:paraId="0AB3DBE2" w14:textId="77777777" w:rsidR="00367CDB" w:rsidRPr="00D14611" w:rsidRDefault="00367CDB" w:rsidP="00367CDB">
            <w:pPr>
              <w:pStyle w:val="Heading2"/>
              <w:numPr>
                <w:ilvl w:val="0"/>
                <w:numId w:val="0"/>
              </w:numPr>
              <w:spacing w:before="20" w:after="20"/>
              <w:ind w:left="113" w:right="113"/>
              <w:jc w:val="center"/>
              <w:rPr>
                <w:rFonts w:ascii="Arial" w:hAnsi="Arial" w:cs="Arial"/>
                <w:sz w:val="12"/>
                <w:szCs w:val="12"/>
              </w:rPr>
            </w:pPr>
            <w:r w:rsidRPr="00D14611">
              <w:rPr>
                <w:rFonts w:ascii="Arial" w:hAnsi="Arial" w:cs="Arial"/>
                <w:b/>
                <w:sz w:val="12"/>
                <w:szCs w:val="12"/>
              </w:rPr>
              <w:t>Optimum</w:t>
            </w:r>
          </w:p>
        </w:tc>
        <w:tc>
          <w:tcPr>
            <w:tcW w:w="3118" w:type="dxa"/>
            <w:tcBorders>
              <w:top w:val="single" w:sz="4" w:space="0" w:color="auto"/>
              <w:left w:val="single" w:sz="4" w:space="0" w:color="auto"/>
              <w:bottom w:val="nil"/>
              <w:right w:val="single" w:sz="4" w:space="0" w:color="auto"/>
            </w:tcBorders>
            <w:vAlign w:val="center"/>
          </w:tcPr>
          <w:p w14:paraId="31072EE4" w14:textId="258DF809"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single" w:sz="4" w:space="0" w:color="auto"/>
              <w:left w:val="single" w:sz="4" w:space="0" w:color="auto"/>
              <w:bottom w:val="nil"/>
              <w:right w:val="single" w:sz="4" w:space="0" w:color="auto"/>
            </w:tcBorders>
            <w:vAlign w:val="center"/>
          </w:tcPr>
          <w:p w14:paraId="7B9EA6B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left w:val="single" w:sz="4" w:space="0" w:color="auto"/>
              <w:bottom w:val="nil"/>
              <w:right w:val="single" w:sz="4" w:space="0" w:color="auto"/>
            </w:tcBorders>
            <w:vAlign w:val="center"/>
          </w:tcPr>
          <w:p w14:paraId="106F663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left w:val="single" w:sz="4" w:space="0" w:color="auto"/>
              <w:bottom w:val="nil"/>
              <w:right w:val="single" w:sz="4" w:space="0" w:color="auto"/>
            </w:tcBorders>
            <w:vAlign w:val="center"/>
          </w:tcPr>
          <w:p w14:paraId="1CB0553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left w:val="single" w:sz="4" w:space="0" w:color="auto"/>
              <w:bottom w:val="nil"/>
              <w:right w:val="single" w:sz="4" w:space="0" w:color="auto"/>
            </w:tcBorders>
            <w:vAlign w:val="center"/>
          </w:tcPr>
          <w:p w14:paraId="33C2230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left w:val="single" w:sz="4" w:space="0" w:color="auto"/>
              <w:bottom w:val="nil"/>
              <w:right w:val="single" w:sz="4" w:space="0" w:color="auto"/>
            </w:tcBorders>
            <w:shd w:val="clear" w:color="auto" w:fill="00CCFF"/>
            <w:vAlign w:val="center"/>
          </w:tcPr>
          <w:p w14:paraId="39C5B92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left w:val="single" w:sz="4" w:space="0" w:color="auto"/>
              <w:bottom w:val="nil"/>
              <w:right w:val="single" w:sz="4" w:space="0" w:color="auto"/>
            </w:tcBorders>
            <w:shd w:val="clear" w:color="auto" w:fill="CCFFFF"/>
            <w:vAlign w:val="center"/>
          </w:tcPr>
          <w:p w14:paraId="715CD43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nil"/>
              <w:right w:val="single" w:sz="4" w:space="0" w:color="auto"/>
            </w:tcBorders>
            <w:shd w:val="clear" w:color="auto" w:fill="CCFFFF"/>
            <w:vAlign w:val="center"/>
          </w:tcPr>
          <w:p w14:paraId="114589D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left w:val="single" w:sz="4" w:space="0" w:color="auto"/>
              <w:bottom w:val="nil"/>
            </w:tcBorders>
            <w:shd w:val="clear" w:color="auto" w:fill="CCFFFF"/>
            <w:vAlign w:val="center"/>
          </w:tcPr>
          <w:p w14:paraId="33C694F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bottom w:val="nil"/>
            </w:tcBorders>
            <w:shd w:val="clear" w:color="auto" w:fill="CCFFFF"/>
            <w:vAlign w:val="center"/>
          </w:tcPr>
          <w:p w14:paraId="644D8B9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bottom w:val="nil"/>
            </w:tcBorders>
            <w:shd w:val="clear" w:color="auto" w:fill="CCFFFF"/>
            <w:vAlign w:val="center"/>
          </w:tcPr>
          <w:p w14:paraId="0DF1F59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bottom w:val="nil"/>
            </w:tcBorders>
            <w:shd w:val="clear" w:color="auto" w:fill="CCFFFF"/>
            <w:vAlign w:val="center"/>
          </w:tcPr>
          <w:p w14:paraId="1668008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20EE3CAD" w14:textId="77777777" w:rsidTr="00367CDB">
        <w:tc>
          <w:tcPr>
            <w:tcW w:w="1560" w:type="dxa"/>
            <w:tcBorders>
              <w:top w:val="nil"/>
              <w:left w:val="single" w:sz="4" w:space="0" w:color="auto"/>
              <w:bottom w:val="nil"/>
              <w:right w:val="single" w:sz="4" w:space="0" w:color="auto"/>
            </w:tcBorders>
            <w:vAlign w:val="center"/>
          </w:tcPr>
          <w:p w14:paraId="54E075C7"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extDirection w:val="btLr"/>
            <w:vAlign w:val="center"/>
          </w:tcPr>
          <w:p w14:paraId="42132D95" w14:textId="77777777" w:rsidR="00367CDB" w:rsidRPr="00D14611" w:rsidRDefault="00367CDB" w:rsidP="00367CDB">
            <w:pPr>
              <w:pStyle w:val="Heading2"/>
              <w:numPr>
                <w:ilvl w:val="0"/>
                <w:numId w:val="0"/>
              </w:numPr>
              <w:spacing w:before="20" w:after="20"/>
              <w:ind w:left="113" w:right="113"/>
              <w:jc w:val="center"/>
              <w:rPr>
                <w:rFonts w:ascii="Arial" w:hAnsi="Arial" w:cs="Arial"/>
                <w:b/>
                <w:sz w:val="12"/>
                <w:szCs w:val="12"/>
              </w:rPr>
            </w:pPr>
          </w:p>
        </w:tc>
        <w:tc>
          <w:tcPr>
            <w:tcW w:w="3118" w:type="dxa"/>
            <w:tcBorders>
              <w:top w:val="nil"/>
              <w:left w:val="single" w:sz="4" w:space="0" w:color="auto"/>
              <w:bottom w:val="nil"/>
              <w:right w:val="single" w:sz="4" w:space="0" w:color="auto"/>
            </w:tcBorders>
            <w:vAlign w:val="center"/>
          </w:tcPr>
          <w:p w14:paraId="74C8823F" w14:textId="52713BBF"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nil"/>
              <w:right w:val="single" w:sz="4" w:space="0" w:color="auto"/>
            </w:tcBorders>
            <w:vAlign w:val="center"/>
          </w:tcPr>
          <w:p w14:paraId="4B3991E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vAlign w:val="center"/>
          </w:tcPr>
          <w:p w14:paraId="7A9F8E8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vAlign w:val="center"/>
          </w:tcPr>
          <w:p w14:paraId="562CC18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vAlign w:val="center"/>
          </w:tcPr>
          <w:p w14:paraId="0E09B0F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00CCFF"/>
            <w:vAlign w:val="center"/>
          </w:tcPr>
          <w:p w14:paraId="24D6A17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STD</w:t>
            </w:r>
          </w:p>
        </w:tc>
        <w:tc>
          <w:tcPr>
            <w:tcW w:w="992" w:type="dxa"/>
            <w:tcBorders>
              <w:top w:val="nil"/>
              <w:left w:val="single" w:sz="4" w:space="0" w:color="auto"/>
              <w:bottom w:val="nil"/>
              <w:right w:val="single" w:sz="4" w:space="0" w:color="auto"/>
            </w:tcBorders>
            <w:shd w:val="clear" w:color="auto" w:fill="CCFFFF"/>
            <w:vAlign w:val="center"/>
          </w:tcPr>
          <w:p w14:paraId="58FC17E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5A2D1CE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0FBAC80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0B985C8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6F238D4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41EFA08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23C924A9" w14:textId="77777777" w:rsidTr="00367CDB">
        <w:tc>
          <w:tcPr>
            <w:tcW w:w="1560" w:type="dxa"/>
            <w:tcBorders>
              <w:top w:val="nil"/>
              <w:left w:val="single" w:sz="4" w:space="0" w:color="auto"/>
              <w:bottom w:val="nil"/>
              <w:right w:val="single" w:sz="4" w:space="0" w:color="auto"/>
            </w:tcBorders>
            <w:shd w:val="clear" w:color="auto" w:fill="F3F3F3"/>
            <w:vAlign w:val="center"/>
          </w:tcPr>
          <w:p w14:paraId="6E9A8652"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391FF0F3"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196B692E"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Telstra Wavelength Services</w:t>
            </w:r>
          </w:p>
        </w:tc>
        <w:tc>
          <w:tcPr>
            <w:tcW w:w="1418" w:type="dxa"/>
            <w:tcBorders>
              <w:top w:val="nil"/>
              <w:left w:val="single" w:sz="4" w:space="0" w:color="auto"/>
              <w:bottom w:val="nil"/>
              <w:right w:val="single" w:sz="4" w:space="0" w:color="auto"/>
            </w:tcBorders>
            <w:vAlign w:val="center"/>
          </w:tcPr>
          <w:p w14:paraId="48AEC77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tcBorders>
            <w:vAlign w:val="center"/>
          </w:tcPr>
          <w:p w14:paraId="74267A6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0332329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vAlign w:val="center"/>
          </w:tcPr>
          <w:p w14:paraId="37CB597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00CCFF"/>
            <w:vAlign w:val="center"/>
          </w:tcPr>
          <w:p w14:paraId="0F34142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5BF7136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30B06FC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7BBDB7F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3847EDF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3A8168E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11A28B5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004533B9" w14:textId="77777777" w:rsidTr="00367CDB">
        <w:tc>
          <w:tcPr>
            <w:tcW w:w="1560" w:type="dxa"/>
            <w:tcBorders>
              <w:top w:val="nil"/>
              <w:left w:val="single" w:sz="4" w:space="0" w:color="auto"/>
              <w:bottom w:val="nil"/>
              <w:right w:val="single" w:sz="4" w:space="0" w:color="auto"/>
            </w:tcBorders>
            <w:shd w:val="clear" w:color="auto" w:fill="F3F3F3"/>
            <w:vAlign w:val="center"/>
          </w:tcPr>
          <w:p w14:paraId="769031DF"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14D626F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single" w:sz="4" w:space="0" w:color="auto"/>
              <w:right w:val="single" w:sz="4" w:space="0" w:color="auto"/>
            </w:tcBorders>
            <w:shd w:val="clear" w:color="auto" w:fill="F3F3F3"/>
            <w:vAlign w:val="center"/>
          </w:tcPr>
          <w:p w14:paraId="76A24578" w14:textId="5D0DFD5B"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single" w:sz="4" w:space="0" w:color="auto"/>
              <w:right w:val="single" w:sz="4" w:space="0" w:color="auto"/>
            </w:tcBorders>
            <w:vAlign w:val="center"/>
          </w:tcPr>
          <w:p w14:paraId="4A50081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tcBorders>
            <w:vAlign w:val="center"/>
          </w:tcPr>
          <w:p w14:paraId="7B52A7E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single" w:sz="4" w:space="0" w:color="auto"/>
              <w:right w:val="single" w:sz="4" w:space="0" w:color="auto"/>
            </w:tcBorders>
            <w:vAlign w:val="center"/>
          </w:tcPr>
          <w:p w14:paraId="2D0125E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single" w:sz="4" w:space="0" w:color="auto"/>
              <w:right w:val="single" w:sz="4" w:space="0" w:color="auto"/>
            </w:tcBorders>
            <w:vAlign w:val="center"/>
          </w:tcPr>
          <w:p w14:paraId="20191EF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single" w:sz="4" w:space="0" w:color="auto"/>
              <w:right w:val="single" w:sz="4" w:space="0" w:color="auto"/>
            </w:tcBorders>
            <w:shd w:val="clear" w:color="auto" w:fill="00CCFF"/>
            <w:vAlign w:val="center"/>
          </w:tcPr>
          <w:p w14:paraId="7EC594B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CE7FA8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6A835EE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4CDD2EA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5C54330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25369CB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3B27C88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73A86E72" w14:textId="77777777" w:rsidTr="00367CDB">
        <w:tc>
          <w:tcPr>
            <w:tcW w:w="1560" w:type="dxa"/>
            <w:tcBorders>
              <w:top w:val="nil"/>
              <w:left w:val="single" w:sz="4" w:space="0" w:color="auto"/>
              <w:bottom w:val="nil"/>
              <w:right w:val="single" w:sz="4" w:space="0" w:color="auto"/>
            </w:tcBorders>
            <w:shd w:val="clear" w:color="auto" w:fill="F3F3F3"/>
            <w:vAlign w:val="center"/>
          </w:tcPr>
          <w:p w14:paraId="79DDEEA9"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5219BAE9"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left w:val="single" w:sz="4" w:space="0" w:color="auto"/>
              <w:bottom w:val="nil"/>
              <w:right w:val="single" w:sz="4" w:space="0" w:color="auto"/>
            </w:tcBorders>
            <w:shd w:val="clear" w:color="auto" w:fill="F3F3F3"/>
            <w:vAlign w:val="center"/>
          </w:tcPr>
          <w:p w14:paraId="40246C10" w14:textId="7CBD6645"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single" w:sz="4" w:space="0" w:color="auto"/>
              <w:left w:val="single" w:sz="4" w:space="0" w:color="auto"/>
              <w:bottom w:val="nil"/>
              <w:right w:val="single" w:sz="4" w:space="0" w:color="auto"/>
            </w:tcBorders>
            <w:vAlign w:val="center"/>
          </w:tcPr>
          <w:p w14:paraId="50527F7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nil"/>
              <w:right w:val="single" w:sz="4" w:space="0" w:color="auto"/>
            </w:tcBorders>
            <w:vAlign w:val="center"/>
          </w:tcPr>
          <w:p w14:paraId="07F120B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left w:val="single" w:sz="4" w:space="0" w:color="auto"/>
              <w:bottom w:val="nil"/>
              <w:right w:val="single" w:sz="4" w:space="0" w:color="auto"/>
            </w:tcBorders>
            <w:shd w:val="clear" w:color="auto" w:fill="00CCFF"/>
            <w:vAlign w:val="center"/>
          </w:tcPr>
          <w:p w14:paraId="4882066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single" w:sz="4" w:space="0" w:color="auto"/>
              <w:left w:val="single" w:sz="4" w:space="0" w:color="auto"/>
              <w:bottom w:val="nil"/>
              <w:right w:val="single" w:sz="4" w:space="0" w:color="auto"/>
            </w:tcBorders>
            <w:shd w:val="clear" w:color="auto" w:fill="CCFFFF"/>
            <w:vAlign w:val="center"/>
          </w:tcPr>
          <w:p w14:paraId="3F3D183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single" w:sz="4" w:space="0" w:color="auto"/>
              <w:left w:val="single" w:sz="4" w:space="0" w:color="auto"/>
              <w:bottom w:val="nil"/>
              <w:right w:val="single" w:sz="4" w:space="0" w:color="auto"/>
            </w:tcBorders>
            <w:shd w:val="clear" w:color="auto" w:fill="CCFFFF"/>
            <w:vAlign w:val="center"/>
          </w:tcPr>
          <w:p w14:paraId="25D65AD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2B6866D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5F3E136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6B7C4E2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1AD0382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4106999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3540026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63001FFA" w14:textId="77777777" w:rsidTr="00367CDB">
        <w:tc>
          <w:tcPr>
            <w:tcW w:w="1560" w:type="dxa"/>
            <w:tcBorders>
              <w:top w:val="nil"/>
              <w:left w:val="single" w:sz="4" w:space="0" w:color="auto"/>
              <w:bottom w:val="nil"/>
              <w:right w:val="single" w:sz="4" w:space="0" w:color="auto"/>
            </w:tcBorders>
            <w:shd w:val="clear" w:color="auto" w:fill="F3F3F3"/>
            <w:vAlign w:val="center"/>
          </w:tcPr>
          <w:p w14:paraId="1FA20D7E"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26EC5AD7"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5465A932" w14:textId="09095995"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nil"/>
              <w:right w:val="single" w:sz="4" w:space="0" w:color="auto"/>
            </w:tcBorders>
            <w:vAlign w:val="center"/>
          </w:tcPr>
          <w:p w14:paraId="5B18BAC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vAlign w:val="center"/>
          </w:tcPr>
          <w:p w14:paraId="5EC164E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00CCFF"/>
            <w:vAlign w:val="center"/>
          </w:tcPr>
          <w:p w14:paraId="3C4946F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62334E8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6558C67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19C1D3B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3BE4C8B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52F4B9C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11888C1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3E743FE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0CC4551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515105B5" w14:textId="77777777" w:rsidTr="00367CDB">
        <w:tc>
          <w:tcPr>
            <w:tcW w:w="1560" w:type="dxa"/>
            <w:tcBorders>
              <w:top w:val="nil"/>
              <w:left w:val="single" w:sz="4" w:space="0" w:color="auto"/>
              <w:bottom w:val="nil"/>
              <w:right w:val="single" w:sz="4" w:space="0" w:color="auto"/>
            </w:tcBorders>
            <w:shd w:val="clear" w:color="auto" w:fill="F3F3F3"/>
            <w:vAlign w:val="center"/>
          </w:tcPr>
          <w:p w14:paraId="16D79982"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6828C1FA"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7EA68509" w14:textId="46BE6DFD"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nil"/>
              <w:right w:val="single" w:sz="4" w:space="0" w:color="auto"/>
            </w:tcBorders>
            <w:vAlign w:val="center"/>
          </w:tcPr>
          <w:p w14:paraId="554A95B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vAlign w:val="center"/>
          </w:tcPr>
          <w:p w14:paraId="295E799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00CCFF"/>
            <w:vAlign w:val="center"/>
          </w:tcPr>
          <w:p w14:paraId="286BE6E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STD</w:t>
            </w:r>
          </w:p>
        </w:tc>
        <w:tc>
          <w:tcPr>
            <w:tcW w:w="851" w:type="dxa"/>
            <w:tcBorders>
              <w:top w:val="nil"/>
              <w:left w:val="single" w:sz="4" w:space="0" w:color="auto"/>
              <w:bottom w:val="nil"/>
              <w:right w:val="single" w:sz="4" w:space="0" w:color="auto"/>
            </w:tcBorders>
            <w:shd w:val="clear" w:color="auto" w:fill="CCFFFF"/>
            <w:vAlign w:val="center"/>
          </w:tcPr>
          <w:p w14:paraId="4E86239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0B0FC1A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685ECA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0AD5991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3F5EE51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3687861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0830C97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890" w:type="dxa"/>
            <w:tcBorders>
              <w:top w:val="nil"/>
              <w:bottom w:val="nil"/>
            </w:tcBorders>
            <w:shd w:val="clear" w:color="auto" w:fill="CCFFFF"/>
            <w:vAlign w:val="center"/>
          </w:tcPr>
          <w:p w14:paraId="52ACFC1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r>
      <w:tr w:rsidR="00367CDB" w:rsidRPr="00D14611" w14:paraId="68EE3DAF" w14:textId="77777777" w:rsidTr="00367CDB">
        <w:tc>
          <w:tcPr>
            <w:tcW w:w="1560" w:type="dxa"/>
            <w:tcBorders>
              <w:top w:val="nil"/>
              <w:left w:val="single" w:sz="4" w:space="0" w:color="auto"/>
              <w:bottom w:val="nil"/>
              <w:right w:val="single" w:sz="4" w:space="0" w:color="auto"/>
            </w:tcBorders>
            <w:shd w:val="clear" w:color="auto" w:fill="F3F3F3"/>
            <w:vAlign w:val="center"/>
          </w:tcPr>
          <w:p w14:paraId="2C54BF6E"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4A40AE29"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2E663483" w14:textId="128E59FB"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nil"/>
              <w:right w:val="single" w:sz="4" w:space="0" w:color="auto"/>
            </w:tcBorders>
            <w:vAlign w:val="center"/>
          </w:tcPr>
          <w:p w14:paraId="21F9425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vAlign w:val="center"/>
          </w:tcPr>
          <w:p w14:paraId="727382C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00CCFF"/>
            <w:vAlign w:val="center"/>
          </w:tcPr>
          <w:p w14:paraId="546E32A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229A7A2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1B4CEE3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15B180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4EB5CE4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2FB6B4C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0F4251B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7E44E8D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890" w:type="dxa"/>
            <w:tcBorders>
              <w:top w:val="nil"/>
              <w:bottom w:val="nil"/>
            </w:tcBorders>
            <w:shd w:val="clear" w:color="auto" w:fill="CCFFFF"/>
            <w:vAlign w:val="center"/>
          </w:tcPr>
          <w:p w14:paraId="34A63FE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r>
      <w:tr w:rsidR="00367CDB" w:rsidRPr="00D14611" w14:paraId="253CC05C" w14:textId="77777777" w:rsidTr="00367CDB">
        <w:tc>
          <w:tcPr>
            <w:tcW w:w="1560" w:type="dxa"/>
            <w:tcBorders>
              <w:top w:val="nil"/>
              <w:left w:val="single" w:sz="4" w:space="0" w:color="auto"/>
              <w:bottom w:val="nil"/>
              <w:right w:val="single" w:sz="4" w:space="0" w:color="auto"/>
            </w:tcBorders>
            <w:shd w:val="clear" w:color="auto" w:fill="F3F3F3"/>
            <w:vAlign w:val="center"/>
          </w:tcPr>
          <w:p w14:paraId="16C14854"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10008B9F"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7FF902B6"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IP MAN Fully Redundant</w:t>
            </w:r>
          </w:p>
          <w:p w14:paraId="0EEA09EA"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Ethernet MAN Fully Redundant</w:t>
            </w:r>
          </w:p>
        </w:tc>
        <w:tc>
          <w:tcPr>
            <w:tcW w:w="1418" w:type="dxa"/>
            <w:tcBorders>
              <w:top w:val="nil"/>
              <w:left w:val="single" w:sz="4" w:space="0" w:color="auto"/>
              <w:bottom w:val="nil"/>
              <w:right w:val="single" w:sz="4" w:space="0" w:color="auto"/>
            </w:tcBorders>
            <w:vAlign w:val="center"/>
          </w:tcPr>
          <w:p w14:paraId="438B0AF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vAlign w:val="center"/>
          </w:tcPr>
          <w:p w14:paraId="4831292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00CCFF"/>
            <w:vAlign w:val="center"/>
          </w:tcPr>
          <w:p w14:paraId="2103D10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2A778F1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47B8C45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165006E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1726B87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437EBB0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6FDA4F5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25238FB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890" w:type="dxa"/>
            <w:tcBorders>
              <w:top w:val="nil"/>
              <w:bottom w:val="nil"/>
            </w:tcBorders>
            <w:shd w:val="clear" w:color="auto" w:fill="CCFFFF"/>
            <w:vAlign w:val="center"/>
          </w:tcPr>
          <w:p w14:paraId="604DD6F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r>
      <w:tr w:rsidR="00367CDB" w:rsidRPr="00D14611" w14:paraId="441236A4" w14:textId="77777777" w:rsidTr="00367CDB">
        <w:tc>
          <w:tcPr>
            <w:tcW w:w="1560" w:type="dxa"/>
            <w:tcBorders>
              <w:top w:val="nil"/>
              <w:left w:val="single" w:sz="4" w:space="0" w:color="auto"/>
              <w:bottom w:val="nil"/>
              <w:right w:val="single" w:sz="4" w:space="0" w:color="auto"/>
            </w:tcBorders>
            <w:shd w:val="clear" w:color="auto" w:fill="F3F3F3"/>
            <w:vAlign w:val="center"/>
          </w:tcPr>
          <w:p w14:paraId="26AC6237"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shd w:val="clear" w:color="auto" w:fill="F3F3F3"/>
          </w:tcPr>
          <w:p w14:paraId="3E4094D3"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single" w:sz="4" w:space="0" w:color="auto"/>
              <w:right w:val="single" w:sz="4" w:space="0" w:color="auto"/>
            </w:tcBorders>
            <w:shd w:val="clear" w:color="auto" w:fill="F3F3F3"/>
            <w:vAlign w:val="center"/>
          </w:tcPr>
          <w:p w14:paraId="4E9A2902"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ISDN 10/20/30</w:t>
            </w:r>
          </w:p>
        </w:tc>
        <w:tc>
          <w:tcPr>
            <w:tcW w:w="1418" w:type="dxa"/>
            <w:tcBorders>
              <w:top w:val="nil"/>
              <w:left w:val="single" w:sz="4" w:space="0" w:color="auto"/>
              <w:bottom w:val="single" w:sz="4" w:space="0" w:color="auto"/>
              <w:right w:val="single" w:sz="4" w:space="0" w:color="auto"/>
            </w:tcBorders>
            <w:vAlign w:val="center"/>
          </w:tcPr>
          <w:p w14:paraId="0B24211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vAlign w:val="center"/>
          </w:tcPr>
          <w:p w14:paraId="0415863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single" w:sz="4" w:space="0" w:color="auto"/>
              <w:right w:val="single" w:sz="4" w:space="0" w:color="auto"/>
            </w:tcBorders>
            <w:shd w:val="clear" w:color="auto" w:fill="00CCFF"/>
            <w:vAlign w:val="center"/>
          </w:tcPr>
          <w:p w14:paraId="48CB655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3DFBA7A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7A5A89F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E6C286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165665D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0B8C9C2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2C504C5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1F8E090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890" w:type="dxa"/>
            <w:tcBorders>
              <w:top w:val="nil"/>
              <w:bottom w:val="nil"/>
            </w:tcBorders>
            <w:shd w:val="clear" w:color="auto" w:fill="CCFFFF"/>
            <w:vAlign w:val="center"/>
          </w:tcPr>
          <w:p w14:paraId="26FC9CA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r>
      <w:tr w:rsidR="00367CDB" w:rsidRPr="00D14611" w14:paraId="30BDCF61" w14:textId="77777777" w:rsidTr="00367CDB">
        <w:tc>
          <w:tcPr>
            <w:tcW w:w="1560" w:type="dxa"/>
            <w:tcBorders>
              <w:top w:val="nil"/>
              <w:left w:val="single" w:sz="4" w:space="0" w:color="auto"/>
              <w:bottom w:val="nil"/>
              <w:right w:val="single" w:sz="4" w:space="0" w:color="auto"/>
            </w:tcBorders>
            <w:shd w:val="clear" w:color="auto" w:fill="F3F3F3"/>
            <w:vAlign w:val="center"/>
          </w:tcPr>
          <w:p w14:paraId="09C6FD1C" w14:textId="77777777"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IP</w:t>
            </w:r>
            <w:r>
              <w:rPr>
                <w:rFonts w:ascii="Arial" w:hAnsi="Arial" w:cs="Arial"/>
                <w:color w:val="000000"/>
                <w:sz w:val="12"/>
                <w:szCs w:val="12"/>
                <w:lang w:eastAsia="en-AU"/>
              </w:rPr>
              <w:t xml:space="preserve"> </w:t>
            </w:r>
            <w:r w:rsidRPr="00492B6D">
              <w:rPr>
                <w:rFonts w:ascii="Arial" w:hAnsi="Arial" w:cs="Arial"/>
                <w:color w:val="000000"/>
                <w:sz w:val="12"/>
                <w:szCs w:val="12"/>
                <w:lang w:eastAsia="en-AU"/>
              </w:rPr>
              <w:t>W</w:t>
            </w:r>
            <w:r>
              <w:rPr>
                <w:rFonts w:ascii="Arial" w:hAnsi="Arial" w:cs="Arial"/>
                <w:color w:val="000000"/>
                <w:sz w:val="12"/>
                <w:szCs w:val="12"/>
                <w:lang w:eastAsia="en-AU"/>
              </w:rPr>
              <w:t>AN</w:t>
            </w:r>
          </w:p>
        </w:tc>
        <w:tc>
          <w:tcPr>
            <w:tcW w:w="425" w:type="dxa"/>
            <w:gridSpan w:val="2"/>
            <w:vMerge/>
            <w:tcBorders>
              <w:left w:val="single" w:sz="4" w:space="0" w:color="auto"/>
              <w:right w:val="single" w:sz="4" w:space="0" w:color="auto"/>
            </w:tcBorders>
            <w:shd w:val="clear" w:color="auto" w:fill="F3F3F3"/>
          </w:tcPr>
          <w:p w14:paraId="31E8D23F"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left w:val="single" w:sz="4" w:space="0" w:color="auto"/>
              <w:bottom w:val="nil"/>
              <w:right w:val="single" w:sz="4" w:space="0" w:color="auto"/>
            </w:tcBorders>
            <w:shd w:val="clear" w:color="auto" w:fill="F3F3F3"/>
            <w:vAlign w:val="center"/>
          </w:tcPr>
          <w:p w14:paraId="4BD681C5"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Priority One3 and Priority 1300</w:t>
            </w:r>
          </w:p>
        </w:tc>
        <w:tc>
          <w:tcPr>
            <w:tcW w:w="1418" w:type="dxa"/>
            <w:tcBorders>
              <w:top w:val="single" w:sz="4" w:space="0" w:color="auto"/>
              <w:left w:val="single" w:sz="4" w:space="0" w:color="auto"/>
              <w:bottom w:val="nil"/>
              <w:right w:val="single" w:sz="4" w:space="0" w:color="auto"/>
            </w:tcBorders>
            <w:vAlign w:val="center"/>
          </w:tcPr>
          <w:p w14:paraId="7F3D35F5"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1134" w:type="dxa"/>
            <w:tcBorders>
              <w:top w:val="single" w:sz="4" w:space="0" w:color="auto"/>
              <w:left w:val="single" w:sz="4" w:space="0" w:color="auto"/>
              <w:bottom w:val="nil"/>
              <w:right w:val="single" w:sz="4" w:space="0" w:color="auto"/>
            </w:tcBorders>
            <w:shd w:val="clear" w:color="auto" w:fill="00CCFF"/>
            <w:vAlign w:val="center"/>
          </w:tcPr>
          <w:p w14:paraId="6A4BFE93"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992" w:type="dxa"/>
            <w:tcBorders>
              <w:top w:val="single" w:sz="4" w:space="0" w:color="auto"/>
              <w:left w:val="single" w:sz="4" w:space="0" w:color="auto"/>
              <w:bottom w:val="nil"/>
              <w:right w:val="single" w:sz="4" w:space="0" w:color="auto"/>
            </w:tcBorders>
            <w:shd w:val="clear" w:color="auto" w:fill="CCFFFF"/>
            <w:vAlign w:val="center"/>
          </w:tcPr>
          <w:p w14:paraId="00722FF0"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37A5B832"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6B981DDF"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45BED2C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44A9AD68"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993" w:type="dxa"/>
            <w:tcBorders>
              <w:top w:val="nil"/>
              <w:left w:val="single" w:sz="4" w:space="0" w:color="auto"/>
              <w:bottom w:val="nil"/>
            </w:tcBorders>
            <w:shd w:val="clear" w:color="auto" w:fill="CCFFFF"/>
            <w:vAlign w:val="center"/>
          </w:tcPr>
          <w:p w14:paraId="3C6E4BB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850" w:type="dxa"/>
            <w:tcBorders>
              <w:top w:val="nil"/>
              <w:bottom w:val="nil"/>
            </w:tcBorders>
            <w:shd w:val="clear" w:color="auto" w:fill="CCFFFF"/>
            <w:vAlign w:val="center"/>
          </w:tcPr>
          <w:p w14:paraId="6E5AA82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992" w:type="dxa"/>
            <w:tcBorders>
              <w:top w:val="nil"/>
              <w:bottom w:val="nil"/>
            </w:tcBorders>
            <w:shd w:val="clear" w:color="auto" w:fill="CCFFFF"/>
            <w:vAlign w:val="center"/>
          </w:tcPr>
          <w:p w14:paraId="26F0EA3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890" w:type="dxa"/>
            <w:tcBorders>
              <w:top w:val="nil"/>
              <w:bottom w:val="nil"/>
            </w:tcBorders>
            <w:shd w:val="clear" w:color="auto" w:fill="CCFFFF"/>
            <w:vAlign w:val="center"/>
          </w:tcPr>
          <w:p w14:paraId="0356B72C" w14:textId="77777777" w:rsidR="00367CDB" w:rsidRPr="00D14611" w:rsidRDefault="00367CDB" w:rsidP="00367CDB">
            <w:pPr>
              <w:pStyle w:val="Heading2"/>
              <w:numPr>
                <w:ilvl w:val="0"/>
                <w:numId w:val="0"/>
              </w:numPr>
              <w:spacing w:before="20" w:after="20"/>
              <w:rPr>
                <w:rFonts w:ascii="Arial" w:hAnsi="Arial" w:cs="Arial"/>
                <w:sz w:val="12"/>
                <w:szCs w:val="12"/>
              </w:rPr>
            </w:pPr>
          </w:p>
        </w:tc>
      </w:tr>
      <w:tr w:rsidR="00367CDB" w:rsidRPr="00D14611" w14:paraId="59A4D5B2" w14:textId="77777777" w:rsidTr="00367CDB">
        <w:tc>
          <w:tcPr>
            <w:tcW w:w="1560" w:type="dxa"/>
            <w:tcBorders>
              <w:top w:val="nil"/>
              <w:left w:val="single" w:sz="4" w:space="0" w:color="auto"/>
              <w:bottom w:val="nil"/>
              <w:right w:val="single" w:sz="4" w:space="0" w:color="auto"/>
            </w:tcBorders>
            <w:shd w:val="clear" w:color="auto" w:fill="F3F3F3"/>
            <w:vAlign w:val="center"/>
          </w:tcPr>
          <w:p w14:paraId="7CC97F25" w14:textId="77777777" w:rsidR="00367CDB" w:rsidRPr="00D14611" w:rsidRDefault="00367CDB" w:rsidP="00367CDB">
            <w:pPr>
              <w:pStyle w:val="Heading2"/>
              <w:numPr>
                <w:ilvl w:val="0"/>
                <w:numId w:val="0"/>
              </w:numPr>
              <w:spacing w:before="20" w:after="20"/>
              <w:rPr>
                <w:rFonts w:ascii="Arial" w:hAnsi="Arial" w:cs="Arial"/>
                <w:sz w:val="12"/>
                <w:szCs w:val="12"/>
              </w:rPr>
            </w:pPr>
            <w:r>
              <w:rPr>
                <w:rFonts w:ascii="Arial" w:hAnsi="Arial" w:cs="Arial"/>
                <w:bCs w:val="0"/>
                <w:color w:val="000000"/>
                <w:sz w:val="12"/>
                <w:szCs w:val="12"/>
                <w:lang w:eastAsia="en-AU"/>
              </w:rPr>
              <w:t>IP MAN</w:t>
            </w:r>
          </w:p>
        </w:tc>
        <w:tc>
          <w:tcPr>
            <w:tcW w:w="425" w:type="dxa"/>
            <w:gridSpan w:val="2"/>
            <w:vMerge/>
            <w:tcBorders>
              <w:left w:val="single" w:sz="4" w:space="0" w:color="auto"/>
              <w:right w:val="single" w:sz="4" w:space="0" w:color="auto"/>
            </w:tcBorders>
            <w:shd w:val="clear" w:color="auto" w:fill="F3F3F3"/>
          </w:tcPr>
          <w:p w14:paraId="591FB683"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30A99409" w14:textId="77777777" w:rsidR="00367CDB" w:rsidRPr="00D14611" w:rsidRDefault="00367CDB" w:rsidP="00367CDB">
            <w:pPr>
              <w:pStyle w:val="Heading2"/>
              <w:numPr>
                <w:ilvl w:val="0"/>
                <w:numId w:val="0"/>
              </w:numPr>
              <w:spacing w:before="20" w:after="20"/>
              <w:rPr>
                <w:rFonts w:ascii="Arial" w:hAnsi="Arial" w:cs="Arial"/>
                <w:sz w:val="12"/>
                <w:szCs w:val="12"/>
              </w:rPr>
            </w:pPr>
            <w:proofErr w:type="spellStart"/>
            <w:r w:rsidRPr="00D14611">
              <w:rPr>
                <w:rFonts w:ascii="Arial" w:hAnsi="Arial" w:cs="Arial"/>
                <w:sz w:val="12"/>
                <w:szCs w:val="12"/>
              </w:rPr>
              <w:t>Freecall</w:t>
            </w:r>
            <w:proofErr w:type="spellEnd"/>
            <w:r w:rsidRPr="00D14611">
              <w:rPr>
                <w:rFonts w:ascii="Arial" w:hAnsi="Arial" w:cs="Arial"/>
                <w:sz w:val="12"/>
                <w:szCs w:val="12"/>
              </w:rPr>
              <w:t xml:space="preserve"> One8 and Freecall1800 </w:t>
            </w:r>
          </w:p>
        </w:tc>
        <w:tc>
          <w:tcPr>
            <w:tcW w:w="1418" w:type="dxa"/>
            <w:tcBorders>
              <w:top w:val="nil"/>
              <w:left w:val="single" w:sz="4" w:space="0" w:color="auto"/>
              <w:bottom w:val="nil"/>
              <w:right w:val="single" w:sz="4" w:space="0" w:color="auto"/>
            </w:tcBorders>
            <w:vAlign w:val="center"/>
          </w:tcPr>
          <w:p w14:paraId="74A0EBF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5C88721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98E9C3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851" w:type="dxa"/>
            <w:tcBorders>
              <w:top w:val="nil"/>
              <w:left w:val="single" w:sz="4" w:space="0" w:color="auto"/>
              <w:bottom w:val="nil"/>
              <w:right w:val="single" w:sz="4" w:space="0" w:color="auto"/>
            </w:tcBorders>
            <w:shd w:val="clear" w:color="auto" w:fill="CCFFFF"/>
            <w:vAlign w:val="center"/>
          </w:tcPr>
          <w:p w14:paraId="6F0C20C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3F53607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CA8A92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6D6DCA3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27F31E1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850" w:type="dxa"/>
            <w:tcBorders>
              <w:top w:val="nil"/>
              <w:bottom w:val="nil"/>
            </w:tcBorders>
            <w:shd w:val="clear" w:color="auto" w:fill="CCFFFF"/>
            <w:vAlign w:val="center"/>
          </w:tcPr>
          <w:p w14:paraId="34D6DD5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992" w:type="dxa"/>
            <w:tcBorders>
              <w:top w:val="nil"/>
              <w:bottom w:val="nil"/>
            </w:tcBorders>
            <w:shd w:val="clear" w:color="auto" w:fill="CCFFFF"/>
            <w:vAlign w:val="center"/>
          </w:tcPr>
          <w:p w14:paraId="31F5D27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3E979E6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60CD7E2B" w14:textId="77777777" w:rsidTr="00367CDB">
        <w:tc>
          <w:tcPr>
            <w:tcW w:w="1560" w:type="dxa"/>
            <w:tcBorders>
              <w:top w:val="nil"/>
              <w:left w:val="single" w:sz="4" w:space="0" w:color="auto"/>
              <w:bottom w:val="nil"/>
              <w:right w:val="single" w:sz="4" w:space="0" w:color="auto"/>
            </w:tcBorders>
            <w:shd w:val="clear" w:color="auto" w:fill="F3F3F3"/>
            <w:vAlign w:val="center"/>
          </w:tcPr>
          <w:p w14:paraId="23A6E64E" w14:textId="77777777" w:rsidR="00367CDB" w:rsidRPr="00D14611" w:rsidRDefault="00367CDB" w:rsidP="00367CDB">
            <w:pPr>
              <w:pStyle w:val="Heading2"/>
              <w:numPr>
                <w:ilvl w:val="0"/>
                <w:numId w:val="0"/>
              </w:numPr>
              <w:spacing w:before="20" w:after="20"/>
              <w:rPr>
                <w:rFonts w:ascii="Arial" w:hAnsi="Arial" w:cs="Arial"/>
                <w:sz w:val="12"/>
                <w:szCs w:val="12"/>
              </w:rPr>
            </w:pPr>
            <w:r>
              <w:rPr>
                <w:rFonts w:ascii="Arial" w:hAnsi="Arial" w:cs="Arial"/>
                <w:bCs w:val="0"/>
                <w:color w:val="000000"/>
                <w:sz w:val="12"/>
                <w:szCs w:val="12"/>
                <w:lang w:eastAsia="en-AU"/>
              </w:rPr>
              <w:t>Ethernet MAN</w:t>
            </w:r>
          </w:p>
        </w:tc>
        <w:tc>
          <w:tcPr>
            <w:tcW w:w="425" w:type="dxa"/>
            <w:gridSpan w:val="2"/>
            <w:vMerge/>
            <w:tcBorders>
              <w:left w:val="single" w:sz="4" w:space="0" w:color="auto"/>
              <w:right w:val="single" w:sz="4" w:space="0" w:color="auto"/>
            </w:tcBorders>
            <w:shd w:val="clear" w:color="auto" w:fill="F3F3F3"/>
          </w:tcPr>
          <w:p w14:paraId="54DE139A"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66A2EFE8"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 xml:space="preserve">1800 Advanced </w:t>
            </w:r>
          </w:p>
        </w:tc>
        <w:tc>
          <w:tcPr>
            <w:tcW w:w="1418" w:type="dxa"/>
            <w:tcBorders>
              <w:top w:val="nil"/>
              <w:left w:val="single" w:sz="4" w:space="0" w:color="auto"/>
              <w:bottom w:val="nil"/>
              <w:right w:val="single" w:sz="4" w:space="0" w:color="auto"/>
            </w:tcBorders>
            <w:vAlign w:val="center"/>
          </w:tcPr>
          <w:p w14:paraId="13DA85E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414EC01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STD</w:t>
            </w:r>
          </w:p>
        </w:tc>
        <w:tc>
          <w:tcPr>
            <w:tcW w:w="992" w:type="dxa"/>
            <w:tcBorders>
              <w:top w:val="nil"/>
              <w:left w:val="single" w:sz="4" w:space="0" w:color="auto"/>
              <w:bottom w:val="nil"/>
              <w:right w:val="single" w:sz="4" w:space="0" w:color="auto"/>
            </w:tcBorders>
            <w:shd w:val="clear" w:color="auto" w:fill="CCFFFF"/>
            <w:vAlign w:val="center"/>
          </w:tcPr>
          <w:p w14:paraId="052CD4E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851" w:type="dxa"/>
            <w:tcBorders>
              <w:top w:val="nil"/>
              <w:left w:val="single" w:sz="4" w:space="0" w:color="auto"/>
              <w:bottom w:val="nil"/>
              <w:right w:val="single" w:sz="4" w:space="0" w:color="auto"/>
            </w:tcBorders>
            <w:shd w:val="clear" w:color="auto" w:fill="CCFFFF"/>
            <w:vAlign w:val="center"/>
          </w:tcPr>
          <w:p w14:paraId="23F1716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00972B3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4261D7C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3EA02F0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223A2D1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850" w:type="dxa"/>
            <w:tcBorders>
              <w:top w:val="nil"/>
              <w:bottom w:val="nil"/>
            </w:tcBorders>
            <w:shd w:val="clear" w:color="auto" w:fill="CCFFFF"/>
            <w:vAlign w:val="center"/>
          </w:tcPr>
          <w:p w14:paraId="2CE1832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992" w:type="dxa"/>
            <w:tcBorders>
              <w:top w:val="nil"/>
              <w:bottom w:val="nil"/>
            </w:tcBorders>
            <w:shd w:val="clear" w:color="auto" w:fill="CCFFFF"/>
            <w:vAlign w:val="center"/>
          </w:tcPr>
          <w:p w14:paraId="627081C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112F5B4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390432A6" w14:textId="77777777" w:rsidTr="00367CDB">
        <w:tc>
          <w:tcPr>
            <w:tcW w:w="1560" w:type="dxa"/>
            <w:tcBorders>
              <w:top w:val="nil"/>
              <w:left w:val="single" w:sz="4" w:space="0" w:color="auto"/>
              <w:bottom w:val="nil"/>
              <w:right w:val="single" w:sz="4" w:space="0" w:color="auto"/>
            </w:tcBorders>
            <w:shd w:val="clear" w:color="auto" w:fill="F3F3F3"/>
            <w:vAlign w:val="center"/>
          </w:tcPr>
          <w:p w14:paraId="466E2D7C" w14:textId="77777777"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Business IP</w:t>
            </w:r>
          </w:p>
        </w:tc>
        <w:tc>
          <w:tcPr>
            <w:tcW w:w="425" w:type="dxa"/>
            <w:gridSpan w:val="2"/>
            <w:vMerge/>
            <w:tcBorders>
              <w:left w:val="single" w:sz="4" w:space="0" w:color="auto"/>
              <w:right w:val="single" w:sz="4" w:space="0" w:color="auto"/>
            </w:tcBorders>
            <w:shd w:val="clear" w:color="auto" w:fill="F3F3F3"/>
          </w:tcPr>
          <w:p w14:paraId="0BD3BD2D"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550D13A1"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 xml:space="preserve">Advance </w:t>
            </w:r>
            <w:proofErr w:type="spellStart"/>
            <w:r w:rsidRPr="00D14611">
              <w:rPr>
                <w:rFonts w:ascii="Arial" w:hAnsi="Arial" w:cs="Arial"/>
                <w:sz w:val="12"/>
                <w:szCs w:val="12"/>
              </w:rPr>
              <w:t>Infocall</w:t>
            </w:r>
            <w:proofErr w:type="spellEnd"/>
            <w:r w:rsidRPr="00D14611">
              <w:rPr>
                <w:rFonts w:ascii="Arial" w:hAnsi="Arial" w:cs="Arial"/>
                <w:sz w:val="12"/>
                <w:szCs w:val="12"/>
              </w:rPr>
              <w:t xml:space="preserve"> 1900</w:t>
            </w:r>
          </w:p>
        </w:tc>
        <w:tc>
          <w:tcPr>
            <w:tcW w:w="1418" w:type="dxa"/>
            <w:tcBorders>
              <w:top w:val="nil"/>
              <w:left w:val="single" w:sz="4" w:space="0" w:color="auto"/>
              <w:bottom w:val="nil"/>
              <w:right w:val="single" w:sz="4" w:space="0" w:color="auto"/>
            </w:tcBorders>
            <w:vAlign w:val="center"/>
          </w:tcPr>
          <w:p w14:paraId="71B6EEB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11F1AE0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FAE865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851" w:type="dxa"/>
            <w:tcBorders>
              <w:top w:val="nil"/>
              <w:left w:val="single" w:sz="4" w:space="0" w:color="auto"/>
              <w:bottom w:val="nil"/>
              <w:right w:val="single" w:sz="4" w:space="0" w:color="auto"/>
            </w:tcBorders>
            <w:shd w:val="clear" w:color="auto" w:fill="CCFFFF"/>
            <w:vAlign w:val="center"/>
          </w:tcPr>
          <w:p w14:paraId="6564366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5088113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0F09583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748A7C7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7FD5C16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850" w:type="dxa"/>
            <w:tcBorders>
              <w:top w:val="nil"/>
              <w:bottom w:val="nil"/>
            </w:tcBorders>
            <w:shd w:val="clear" w:color="auto" w:fill="CCFFFF"/>
            <w:vAlign w:val="center"/>
          </w:tcPr>
          <w:p w14:paraId="466AC83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992" w:type="dxa"/>
            <w:tcBorders>
              <w:top w:val="nil"/>
              <w:bottom w:val="nil"/>
            </w:tcBorders>
            <w:shd w:val="clear" w:color="auto" w:fill="CCFFFF"/>
            <w:vAlign w:val="center"/>
          </w:tcPr>
          <w:p w14:paraId="098FE0C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6FAF740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6ADE3D3B" w14:textId="77777777" w:rsidTr="00367CDB">
        <w:tc>
          <w:tcPr>
            <w:tcW w:w="1560" w:type="dxa"/>
            <w:tcBorders>
              <w:top w:val="nil"/>
              <w:left w:val="single" w:sz="4" w:space="0" w:color="auto"/>
              <w:bottom w:val="nil"/>
              <w:right w:val="single" w:sz="4" w:space="0" w:color="auto"/>
            </w:tcBorders>
            <w:shd w:val="clear" w:color="auto" w:fill="F3F3F3"/>
            <w:vAlign w:val="center"/>
          </w:tcPr>
          <w:p w14:paraId="7117E3FE" w14:textId="77777777"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Connect IP</w:t>
            </w:r>
          </w:p>
        </w:tc>
        <w:tc>
          <w:tcPr>
            <w:tcW w:w="425" w:type="dxa"/>
            <w:gridSpan w:val="2"/>
            <w:vMerge/>
            <w:tcBorders>
              <w:left w:val="single" w:sz="4" w:space="0" w:color="auto"/>
              <w:right w:val="single" w:sz="4" w:space="0" w:color="auto"/>
            </w:tcBorders>
            <w:shd w:val="clear" w:color="auto" w:fill="F3F3F3"/>
          </w:tcPr>
          <w:p w14:paraId="3C92715F"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59142B24" w14:textId="77777777" w:rsidR="00367CDB" w:rsidRPr="00D14611" w:rsidRDefault="00367CDB" w:rsidP="00367CDB">
            <w:pPr>
              <w:pStyle w:val="Heading2"/>
              <w:numPr>
                <w:ilvl w:val="0"/>
                <w:numId w:val="0"/>
              </w:numPr>
              <w:spacing w:before="20" w:after="20"/>
              <w:rPr>
                <w:rFonts w:ascii="Arial" w:hAnsi="Arial" w:cs="Arial"/>
                <w:sz w:val="12"/>
                <w:szCs w:val="12"/>
              </w:rPr>
            </w:pPr>
            <w:proofErr w:type="spellStart"/>
            <w:r w:rsidRPr="00D14611">
              <w:rPr>
                <w:rFonts w:ascii="Arial" w:hAnsi="Arial" w:cs="Arial"/>
                <w:sz w:val="12"/>
                <w:szCs w:val="12"/>
              </w:rPr>
              <w:t>CustomNet</w:t>
            </w:r>
            <w:proofErr w:type="spellEnd"/>
            <w:r w:rsidRPr="00D14611">
              <w:rPr>
                <w:rFonts w:ascii="Arial" w:hAnsi="Arial" w:cs="Arial"/>
                <w:sz w:val="12"/>
                <w:szCs w:val="12"/>
              </w:rPr>
              <w:t xml:space="preserve"> (Ph &amp; Analogue)</w:t>
            </w:r>
          </w:p>
        </w:tc>
        <w:tc>
          <w:tcPr>
            <w:tcW w:w="1418" w:type="dxa"/>
            <w:tcBorders>
              <w:top w:val="nil"/>
              <w:left w:val="single" w:sz="4" w:space="0" w:color="auto"/>
              <w:bottom w:val="nil"/>
              <w:right w:val="single" w:sz="4" w:space="0" w:color="auto"/>
            </w:tcBorders>
            <w:vAlign w:val="center"/>
          </w:tcPr>
          <w:p w14:paraId="75C7F7E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137EC52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015ED18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851" w:type="dxa"/>
            <w:tcBorders>
              <w:top w:val="nil"/>
              <w:left w:val="single" w:sz="4" w:space="0" w:color="auto"/>
              <w:bottom w:val="nil"/>
              <w:right w:val="single" w:sz="4" w:space="0" w:color="auto"/>
            </w:tcBorders>
            <w:shd w:val="clear" w:color="auto" w:fill="CCFFFF"/>
            <w:vAlign w:val="center"/>
          </w:tcPr>
          <w:p w14:paraId="2D98BF6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850" w:type="dxa"/>
            <w:tcBorders>
              <w:top w:val="nil"/>
              <w:left w:val="single" w:sz="4" w:space="0" w:color="auto"/>
              <w:bottom w:val="nil"/>
              <w:right w:val="single" w:sz="4" w:space="0" w:color="auto"/>
            </w:tcBorders>
            <w:shd w:val="clear" w:color="auto" w:fill="CCFFFF"/>
            <w:vAlign w:val="center"/>
          </w:tcPr>
          <w:p w14:paraId="57F45F7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992" w:type="dxa"/>
            <w:tcBorders>
              <w:top w:val="nil"/>
              <w:left w:val="single" w:sz="4" w:space="0" w:color="auto"/>
              <w:bottom w:val="nil"/>
              <w:right w:val="single" w:sz="4" w:space="0" w:color="auto"/>
            </w:tcBorders>
            <w:shd w:val="clear" w:color="auto" w:fill="CCFFFF"/>
            <w:vAlign w:val="center"/>
          </w:tcPr>
          <w:p w14:paraId="550007C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1134" w:type="dxa"/>
            <w:tcBorders>
              <w:top w:val="nil"/>
              <w:left w:val="single" w:sz="4" w:space="0" w:color="auto"/>
              <w:bottom w:val="nil"/>
              <w:right w:val="single" w:sz="4" w:space="0" w:color="auto"/>
            </w:tcBorders>
            <w:shd w:val="clear" w:color="auto" w:fill="CCFFFF"/>
            <w:vAlign w:val="center"/>
          </w:tcPr>
          <w:p w14:paraId="7D382D4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993" w:type="dxa"/>
            <w:tcBorders>
              <w:top w:val="nil"/>
              <w:left w:val="single" w:sz="4" w:space="0" w:color="auto"/>
              <w:bottom w:val="nil"/>
            </w:tcBorders>
            <w:shd w:val="clear" w:color="auto" w:fill="CCFFFF"/>
            <w:vAlign w:val="center"/>
          </w:tcPr>
          <w:p w14:paraId="6F2D9C2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43CDBB7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shd w:val="clear" w:color="auto" w:fill="CCFFFF"/>
            <w:vAlign w:val="center"/>
          </w:tcPr>
          <w:p w14:paraId="469DE94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shd w:val="clear" w:color="auto" w:fill="CCFFFF"/>
            <w:vAlign w:val="center"/>
          </w:tcPr>
          <w:p w14:paraId="330BE85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4B24AEF2" w14:textId="77777777" w:rsidTr="00367CDB">
        <w:tc>
          <w:tcPr>
            <w:tcW w:w="1560" w:type="dxa"/>
            <w:tcBorders>
              <w:top w:val="nil"/>
              <w:left w:val="single" w:sz="4" w:space="0" w:color="auto"/>
              <w:bottom w:val="nil"/>
              <w:right w:val="single" w:sz="4" w:space="0" w:color="auto"/>
            </w:tcBorders>
            <w:shd w:val="clear" w:color="auto" w:fill="F3F3F3"/>
            <w:vAlign w:val="center"/>
          </w:tcPr>
          <w:p w14:paraId="6ADFED87" w14:textId="2C8B49AC"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Business Broadband</w:t>
            </w:r>
          </w:p>
        </w:tc>
        <w:tc>
          <w:tcPr>
            <w:tcW w:w="425" w:type="dxa"/>
            <w:gridSpan w:val="2"/>
            <w:vMerge/>
            <w:tcBorders>
              <w:left w:val="single" w:sz="4" w:space="0" w:color="auto"/>
              <w:bottom w:val="single" w:sz="4" w:space="0" w:color="auto"/>
              <w:right w:val="single" w:sz="4" w:space="0" w:color="auto"/>
            </w:tcBorders>
            <w:shd w:val="clear" w:color="auto" w:fill="F3F3F3"/>
          </w:tcPr>
          <w:p w14:paraId="2BA83FDE"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single" w:sz="4" w:space="0" w:color="auto"/>
              <w:right w:val="single" w:sz="4" w:space="0" w:color="auto"/>
            </w:tcBorders>
            <w:shd w:val="clear" w:color="auto" w:fill="F3F3F3"/>
            <w:vAlign w:val="center"/>
          </w:tcPr>
          <w:p w14:paraId="70A6E9CF" w14:textId="77777777" w:rsidR="00367CDB" w:rsidRPr="00D14611" w:rsidRDefault="00367CDB" w:rsidP="00367CDB">
            <w:pPr>
              <w:pStyle w:val="Heading2"/>
              <w:numPr>
                <w:ilvl w:val="0"/>
                <w:numId w:val="0"/>
              </w:numPr>
              <w:spacing w:before="20" w:after="20"/>
              <w:rPr>
                <w:rFonts w:ascii="Arial" w:hAnsi="Arial" w:cs="Arial"/>
                <w:sz w:val="12"/>
                <w:szCs w:val="12"/>
              </w:rPr>
            </w:pPr>
            <w:proofErr w:type="spellStart"/>
            <w:r w:rsidRPr="00D14611">
              <w:rPr>
                <w:rFonts w:ascii="Arial" w:hAnsi="Arial" w:cs="Arial"/>
                <w:sz w:val="12"/>
                <w:szCs w:val="12"/>
              </w:rPr>
              <w:t>Megalink</w:t>
            </w:r>
            <w:proofErr w:type="spellEnd"/>
          </w:p>
        </w:tc>
        <w:tc>
          <w:tcPr>
            <w:tcW w:w="1418" w:type="dxa"/>
            <w:tcBorders>
              <w:top w:val="nil"/>
              <w:left w:val="single" w:sz="4" w:space="0" w:color="auto"/>
              <w:bottom w:val="single" w:sz="4" w:space="0" w:color="auto"/>
              <w:right w:val="single" w:sz="4" w:space="0" w:color="auto"/>
            </w:tcBorders>
            <w:vAlign w:val="center"/>
          </w:tcPr>
          <w:p w14:paraId="4E6492F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shd w:val="clear" w:color="auto" w:fill="00CCFF"/>
            <w:vAlign w:val="center"/>
          </w:tcPr>
          <w:p w14:paraId="03664BB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single" w:sz="4" w:space="0" w:color="auto"/>
              <w:right w:val="single" w:sz="4" w:space="0" w:color="auto"/>
            </w:tcBorders>
            <w:shd w:val="clear" w:color="auto" w:fill="CCFFFF"/>
            <w:vAlign w:val="center"/>
          </w:tcPr>
          <w:p w14:paraId="0673AAB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1E68CBE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850" w:type="dxa"/>
            <w:tcBorders>
              <w:top w:val="nil"/>
              <w:left w:val="single" w:sz="4" w:space="0" w:color="auto"/>
              <w:bottom w:val="nil"/>
              <w:right w:val="single" w:sz="4" w:space="0" w:color="auto"/>
            </w:tcBorders>
            <w:shd w:val="clear" w:color="auto" w:fill="CCFFFF"/>
            <w:vAlign w:val="center"/>
          </w:tcPr>
          <w:p w14:paraId="35642BB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992" w:type="dxa"/>
            <w:tcBorders>
              <w:top w:val="nil"/>
              <w:left w:val="single" w:sz="4" w:space="0" w:color="auto"/>
              <w:bottom w:val="nil"/>
              <w:right w:val="single" w:sz="4" w:space="0" w:color="auto"/>
            </w:tcBorders>
            <w:shd w:val="clear" w:color="auto" w:fill="CCFFFF"/>
            <w:vAlign w:val="center"/>
          </w:tcPr>
          <w:p w14:paraId="5EED3B6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1134" w:type="dxa"/>
            <w:tcBorders>
              <w:top w:val="nil"/>
              <w:left w:val="single" w:sz="4" w:space="0" w:color="auto"/>
              <w:bottom w:val="nil"/>
              <w:right w:val="single" w:sz="4" w:space="0" w:color="auto"/>
            </w:tcBorders>
            <w:shd w:val="clear" w:color="auto" w:fill="CCFFFF"/>
            <w:vAlign w:val="center"/>
          </w:tcPr>
          <w:p w14:paraId="4E0BF1C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993" w:type="dxa"/>
            <w:tcBorders>
              <w:top w:val="nil"/>
              <w:left w:val="single" w:sz="4" w:space="0" w:color="auto"/>
              <w:bottom w:val="nil"/>
            </w:tcBorders>
            <w:shd w:val="clear" w:color="auto" w:fill="CCFFFF"/>
            <w:vAlign w:val="center"/>
          </w:tcPr>
          <w:p w14:paraId="3B47043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2E7A3A5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single" w:sz="4" w:space="0" w:color="auto"/>
            </w:tcBorders>
            <w:shd w:val="clear" w:color="auto" w:fill="CCFFFF"/>
            <w:vAlign w:val="center"/>
          </w:tcPr>
          <w:p w14:paraId="221C7BC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single" w:sz="4" w:space="0" w:color="auto"/>
            </w:tcBorders>
            <w:shd w:val="clear" w:color="auto" w:fill="CCFFFF"/>
            <w:vAlign w:val="center"/>
          </w:tcPr>
          <w:p w14:paraId="39C4BA1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5639FA10" w14:textId="77777777" w:rsidTr="00367CDB">
        <w:tc>
          <w:tcPr>
            <w:tcW w:w="1560" w:type="dxa"/>
            <w:tcBorders>
              <w:top w:val="nil"/>
              <w:left w:val="single" w:sz="4" w:space="0" w:color="auto"/>
              <w:bottom w:val="nil"/>
              <w:right w:val="single" w:sz="4" w:space="0" w:color="auto"/>
            </w:tcBorders>
            <w:shd w:val="clear" w:color="auto" w:fill="F3F3F3"/>
            <w:vAlign w:val="center"/>
          </w:tcPr>
          <w:p w14:paraId="59584D88" w14:textId="77777777"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Telstra Internet</w:t>
            </w:r>
            <w:r w:rsidRPr="00492B6D">
              <w:rPr>
                <w:rFonts w:ascii="Arial" w:hAnsi="Arial" w:cs="Arial"/>
                <w:bCs w:val="0"/>
                <w:color w:val="000000"/>
                <w:sz w:val="12"/>
                <w:szCs w:val="12"/>
                <w:lang w:eastAsia="en-AU"/>
              </w:rPr>
              <w:t xml:space="preserve"> </w:t>
            </w:r>
            <w:r w:rsidRPr="00492B6D">
              <w:rPr>
                <w:rFonts w:ascii="Arial" w:hAnsi="Arial" w:cs="Arial"/>
                <w:color w:val="000000"/>
                <w:sz w:val="12"/>
                <w:szCs w:val="12"/>
                <w:lang w:eastAsia="en-AU"/>
              </w:rPr>
              <w:t>Direct</w:t>
            </w:r>
          </w:p>
        </w:tc>
        <w:tc>
          <w:tcPr>
            <w:tcW w:w="425" w:type="dxa"/>
            <w:gridSpan w:val="2"/>
            <w:vMerge w:val="restart"/>
            <w:tcBorders>
              <w:top w:val="single" w:sz="4" w:space="0" w:color="auto"/>
              <w:left w:val="single" w:sz="4" w:space="0" w:color="auto"/>
              <w:right w:val="single" w:sz="4" w:space="0" w:color="auto"/>
            </w:tcBorders>
            <w:textDirection w:val="btLr"/>
          </w:tcPr>
          <w:p w14:paraId="2BA34F85" w14:textId="77777777" w:rsidR="00367CDB" w:rsidRPr="00D14611" w:rsidRDefault="00367CDB" w:rsidP="00367CDB">
            <w:pPr>
              <w:pStyle w:val="Heading2"/>
              <w:numPr>
                <w:ilvl w:val="0"/>
                <w:numId w:val="0"/>
              </w:numPr>
              <w:spacing w:before="20" w:after="20"/>
              <w:ind w:left="113" w:right="113"/>
              <w:jc w:val="center"/>
              <w:rPr>
                <w:rFonts w:ascii="Arial" w:hAnsi="Arial" w:cs="Arial"/>
                <w:b/>
                <w:sz w:val="12"/>
                <w:szCs w:val="12"/>
              </w:rPr>
            </w:pPr>
            <w:r w:rsidRPr="00D14611">
              <w:rPr>
                <w:rFonts w:ascii="Arial" w:hAnsi="Arial" w:cs="Arial"/>
                <w:b/>
                <w:sz w:val="12"/>
                <w:szCs w:val="12"/>
              </w:rPr>
              <w:t>Advantage</w:t>
            </w:r>
          </w:p>
        </w:tc>
        <w:tc>
          <w:tcPr>
            <w:tcW w:w="3118" w:type="dxa"/>
            <w:tcBorders>
              <w:left w:val="single" w:sz="4" w:space="0" w:color="auto"/>
              <w:bottom w:val="nil"/>
              <w:right w:val="single" w:sz="4" w:space="0" w:color="auto"/>
            </w:tcBorders>
            <w:shd w:val="clear" w:color="auto" w:fill="F3F3F3"/>
            <w:vAlign w:val="center"/>
          </w:tcPr>
          <w:p w14:paraId="332E777C"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IP MAN Single Uplink/Dual Access</w:t>
            </w:r>
          </w:p>
        </w:tc>
        <w:tc>
          <w:tcPr>
            <w:tcW w:w="1418" w:type="dxa"/>
            <w:tcBorders>
              <w:top w:val="single" w:sz="4" w:space="0" w:color="auto"/>
              <w:left w:val="single" w:sz="4" w:space="0" w:color="auto"/>
              <w:bottom w:val="nil"/>
              <w:right w:val="single" w:sz="4" w:space="0" w:color="auto"/>
            </w:tcBorders>
            <w:vAlign w:val="center"/>
          </w:tcPr>
          <w:p w14:paraId="18AAA58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nil"/>
              <w:right w:val="single" w:sz="4" w:space="0" w:color="auto"/>
            </w:tcBorders>
            <w:vAlign w:val="center"/>
          </w:tcPr>
          <w:p w14:paraId="659D82A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left w:val="single" w:sz="4" w:space="0" w:color="auto"/>
              <w:bottom w:val="nil"/>
              <w:right w:val="single" w:sz="4" w:space="0" w:color="auto"/>
            </w:tcBorders>
            <w:shd w:val="clear" w:color="auto" w:fill="00CCFF"/>
            <w:vAlign w:val="center"/>
          </w:tcPr>
          <w:p w14:paraId="66A9897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STD</w:t>
            </w:r>
          </w:p>
        </w:tc>
        <w:tc>
          <w:tcPr>
            <w:tcW w:w="851" w:type="dxa"/>
            <w:tcBorders>
              <w:top w:val="nil"/>
              <w:left w:val="single" w:sz="4" w:space="0" w:color="auto"/>
              <w:bottom w:val="nil"/>
              <w:right w:val="single" w:sz="4" w:space="0" w:color="auto"/>
            </w:tcBorders>
            <w:shd w:val="clear" w:color="auto" w:fill="CCFFFF"/>
            <w:vAlign w:val="center"/>
          </w:tcPr>
          <w:p w14:paraId="110AB94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850" w:type="dxa"/>
            <w:tcBorders>
              <w:top w:val="nil"/>
              <w:left w:val="single" w:sz="4" w:space="0" w:color="auto"/>
              <w:bottom w:val="nil"/>
              <w:right w:val="single" w:sz="4" w:space="0" w:color="auto"/>
            </w:tcBorders>
            <w:shd w:val="clear" w:color="auto" w:fill="CCFFFF"/>
            <w:vAlign w:val="center"/>
          </w:tcPr>
          <w:p w14:paraId="63728A9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992" w:type="dxa"/>
            <w:tcBorders>
              <w:top w:val="nil"/>
              <w:left w:val="single" w:sz="4" w:space="0" w:color="auto"/>
              <w:bottom w:val="nil"/>
              <w:right w:val="single" w:sz="4" w:space="0" w:color="auto"/>
            </w:tcBorders>
            <w:shd w:val="clear" w:color="auto" w:fill="CCFFFF"/>
            <w:vAlign w:val="center"/>
          </w:tcPr>
          <w:p w14:paraId="3C3CC79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1134" w:type="dxa"/>
            <w:tcBorders>
              <w:top w:val="nil"/>
              <w:left w:val="single" w:sz="4" w:space="0" w:color="auto"/>
              <w:bottom w:val="nil"/>
              <w:right w:val="single" w:sz="4" w:space="0" w:color="auto"/>
            </w:tcBorders>
            <w:shd w:val="clear" w:color="auto" w:fill="CCFFFF"/>
            <w:vAlign w:val="center"/>
          </w:tcPr>
          <w:p w14:paraId="02C1867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993" w:type="dxa"/>
            <w:tcBorders>
              <w:top w:val="nil"/>
              <w:left w:val="single" w:sz="4" w:space="0" w:color="auto"/>
              <w:bottom w:val="nil"/>
            </w:tcBorders>
            <w:shd w:val="clear" w:color="auto" w:fill="CCFFFF"/>
            <w:vAlign w:val="center"/>
          </w:tcPr>
          <w:p w14:paraId="554FFC7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789613E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bottom w:val="nil"/>
            </w:tcBorders>
            <w:vAlign w:val="center"/>
          </w:tcPr>
          <w:p w14:paraId="3086D3F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single" w:sz="4" w:space="0" w:color="auto"/>
              <w:bottom w:val="nil"/>
            </w:tcBorders>
            <w:vAlign w:val="center"/>
          </w:tcPr>
          <w:p w14:paraId="3F7DBFF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3C4423EF" w14:textId="77777777" w:rsidTr="00367CDB">
        <w:trPr>
          <w:trHeight w:val="80"/>
        </w:trPr>
        <w:tc>
          <w:tcPr>
            <w:tcW w:w="1560" w:type="dxa"/>
            <w:tcBorders>
              <w:top w:val="nil"/>
              <w:left w:val="single" w:sz="4" w:space="0" w:color="auto"/>
              <w:bottom w:val="nil"/>
              <w:right w:val="single" w:sz="4" w:space="0" w:color="auto"/>
            </w:tcBorders>
            <w:vAlign w:val="center"/>
          </w:tcPr>
          <w:p w14:paraId="093B0C69" w14:textId="77777777"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Managed Data</w:t>
            </w:r>
            <w:r w:rsidRPr="00492B6D">
              <w:rPr>
                <w:rFonts w:ascii="Arial" w:hAnsi="Arial" w:cs="Arial"/>
                <w:bCs w:val="0"/>
                <w:color w:val="000000"/>
                <w:sz w:val="12"/>
                <w:szCs w:val="12"/>
                <w:lang w:eastAsia="en-AU"/>
              </w:rPr>
              <w:t xml:space="preserve"> </w:t>
            </w:r>
            <w:r w:rsidRPr="00492B6D">
              <w:rPr>
                <w:rFonts w:ascii="Arial" w:hAnsi="Arial" w:cs="Arial"/>
                <w:color w:val="000000"/>
                <w:sz w:val="12"/>
                <w:szCs w:val="12"/>
                <w:lang w:eastAsia="en-AU"/>
              </w:rPr>
              <w:t>Networks (MDN)</w:t>
            </w:r>
          </w:p>
        </w:tc>
        <w:tc>
          <w:tcPr>
            <w:tcW w:w="425" w:type="dxa"/>
            <w:gridSpan w:val="2"/>
            <w:vMerge/>
            <w:tcBorders>
              <w:left w:val="single" w:sz="4" w:space="0" w:color="auto"/>
              <w:right w:val="single" w:sz="4" w:space="0" w:color="auto"/>
            </w:tcBorders>
          </w:tcPr>
          <w:p w14:paraId="3957CE65" w14:textId="77777777" w:rsidR="00367CDB" w:rsidRPr="00D14611" w:rsidRDefault="00367CDB" w:rsidP="00367CDB">
            <w:pPr>
              <w:pStyle w:val="Heading2"/>
              <w:spacing w:before="20" w:after="20"/>
              <w:ind w:left="113" w:right="113"/>
              <w:rPr>
                <w:rFonts w:ascii="Arial" w:hAnsi="Arial" w:cs="Arial"/>
                <w:sz w:val="12"/>
                <w:szCs w:val="12"/>
              </w:rPr>
            </w:pPr>
          </w:p>
        </w:tc>
        <w:tc>
          <w:tcPr>
            <w:tcW w:w="3118" w:type="dxa"/>
            <w:tcBorders>
              <w:top w:val="nil"/>
              <w:left w:val="single" w:sz="4" w:space="0" w:color="auto"/>
              <w:bottom w:val="single" w:sz="4" w:space="0" w:color="auto"/>
              <w:right w:val="single" w:sz="4" w:space="0" w:color="auto"/>
            </w:tcBorders>
            <w:shd w:val="clear" w:color="auto" w:fill="F3F3F3"/>
            <w:vAlign w:val="center"/>
          </w:tcPr>
          <w:p w14:paraId="7895BFA5"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Ethernet MAN Single Uplink/Dual Uplink</w:t>
            </w:r>
          </w:p>
        </w:tc>
        <w:tc>
          <w:tcPr>
            <w:tcW w:w="1418" w:type="dxa"/>
            <w:tcBorders>
              <w:top w:val="nil"/>
              <w:left w:val="single" w:sz="4" w:space="0" w:color="auto"/>
              <w:bottom w:val="single" w:sz="4" w:space="0" w:color="auto"/>
              <w:right w:val="single" w:sz="4" w:space="0" w:color="auto"/>
            </w:tcBorders>
            <w:vAlign w:val="center"/>
          </w:tcPr>
          <w:p w14:paraId="23E61DA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vAlign w:val="center"/>
          </w:tcPr>
          <w:p w14:paraId="4E0D055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single" w:sz="4" w:space="0" w:color="auto"/>
              <w:right w:val="single" w:sz="4" w:space="0" w:color="auto"/>
            </w:tcBorders>
            <w:shd w:val="clear" w:color="auto" w:fill="00CCFF"/>
            <w:vAlign w:val="center"/>
          </w:tcPr>
          <w:p w14:paraId="649364E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0592BA8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850" w:type="dxa"/>
            <w:tcBorders>
              <w:top w:val="nil"/>
              <w:left w:val="single" w:sz="4" w:space="0" w:color="auto"/>
              <w:bottom w:val="nil"/>
              <w:right w:val="single" w:sz="4" w:space="0" w:color="auto"/>
            </w:tcBorders>
            <w:shd w:val="clear" w:color="auto" w:fill="CCFFFF"/>
            <w:vAlign w:val="center"/>
          </w:tcPr>
          <w:p w14:paraId="690A80E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992" w:type="dxa"/>
            <w:tcBorders>
              <w:top w:val="nil"/>
              <w:left w:val="single" w:sz="4" w:space="0" w:color="auto"/>
              <w:bottom w:val="nil"/>
              <w:right w:val="single" w:sz="4" w:space="0" w:color="auto"/>
            </w:tcBorders>
            <w:shd w:val="clear" w:color="auto" w:fill="CCFFFF"/>
            <w:vAlign w:val="center"/>
          </w:tcPr>
          <w:p w14:paraId="52FF9F5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1134" w:type="dxa"/>
            <w:tcBorders>
              <w:top w:val="nil"/>
              <w:left w:val="single" w:sz="4" w:space="0" w:color="auto"/>
              <w:bottom w:val="nil"/>
              <w:right w:val="single" w:sz="4" w:space="0" w:color="auto"/>
            </w:tcBorders>
            <w:shd w:val="clear" w:color="auto" w:fill="CCFFFF"/>
            <w:vAlign w:val="center"/>
          </w:tcPr>
          <w:p w14:paraId="3390B7C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993" w:type="dxa"/>
            <w:tcBorders>
              <w:top w:val="nil"/>
              <w:left w:val="single" w:sz="4" w:space="0" w:color="auto"/>
              <w:bottom w:val="nil"/>
            </w:tcBorders>
            <w:shd w:val="clear" w:color="auto" w:fill="CCFFFF"/>
            <w:vAlign w:val="center"/>
          </w:tcPr>
          <w:p w14:paraId="51E6373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07E0F32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tcBorders>
            <w:vAlign w:val="center"/>
          </w:tcPr>
          <w:p w14:paraId="5BDBEAA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bottom w:val="nil"/>
            </w:tcBorders>
            <w:vAlign w:val="center"/>
          </w:tcPr>
          <w:p w14:paraId="1EC6660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63940059" w14:textId="77777777" w:rsidTr="00367CDB">
        <w:tc>
          <w:tcPr>
            <w:tcW w:w="1560" w:type="dxa"/>
            <w:tcBorders>
              <w:top w:val="nil"/>
              <w:left w:val="single" w:sz="4" w:space="0" w:color="auto"/>
              <w:bottom w:val="nil"/>
              <w:right w:val="single" w:sz="4" w:space="0" w:color="auto"/>
            </w:tcBorders>
            <w:shd w:val="clear" w:color="auto" w:fill="F3F3F3"/>
            <w:vAlign w:val="center"/>
          </w:tcPr>
          <w:p w14:paraId="1D234D0F" w14:textId="77777777" w:rsidR="00367CDB" w:rsidRPr="00D14611" w:rsidRDefault="00367CDB" w:rsidP="00367CDB">
            <w:pPr>
              <w:pStyle w:val="Heading2"/>
              <w:numPr>
                <w:ilvl w:val="0"/>
                <w:numId w:val="0"/>
              </w:numPr>
              <w:spacing w:before="20" w:after="20"/>
              <w:rPr>
                <w:rFonts w:ascii="Arial" w:hAnsi="Arial" w:cs="Arial"/>
                <w:sz w:val="12"/>
                <w:szCs w:val="12"/>
              </w:rPr>
            </w:pPr>
            <w:r w:rsidRPr="00492B6D">
              <w:rPr>
                <w:rFonts w:ascii="Arial" w:hAnsi="Arial" w:cs="Arial"/>
                <w:color w:val="000000"/>
                <w:sz w:val="12"/>
                <w:szCs w:val="12"/>
                <w:lang w:eastAsia="en-AU"/>
              </w:rPr>
              <w:t>SIP Connect</w:t>
            </w:r>
          </w:p>
        </w:tc>
        <w:tc>
          <w:tcPr>
            <w:tcW w:w="425" w:type="dxa"/>
            <w:gridSpan w:val="2"/>
            <w:vMerge/>
            <w:tcBorders>
              <w:left w:val="single" w:sz="4" w:space="0" w:color="auto"/>
              <w:right w:val="single" w:sz="4" w:space="0" w:color="auto"/>
            </w:tcBorders>
            <w:textDirection w:val="btLr"/>
          </w:tcPr>
          <w:p w14:paraId="6E500BFE" w14:textId="77777777" w:rsidR="00367CDB" w:rsidRPr="00D14611" w:rsidRDefault="00367CDB" w:rsidP="00367CDB">
            <w:pPr>
              <w:pStyle w:val="Heading2"/>
              <w:numPr>
                <w:ilvl w:val="0"/>
                <w:numId w:val="0"/>
              </w:numPr>
              <w:spacing w:before="20" w:after="20"/>
              <w:ind w:left="113" w:right="113"/>
              <w:rPr>
                <w:rFonts w:ascii="Arial" w:hAnsi="Arial" w:cs="Arial"/>
                <w:b/>
                <w:sz w:val="12"/>
                <w:szCs w:val="12"/>
              </w:rPr>
            </w:pPr>
          </w:p>
        </w:tc>
        <w:tc>
          <w:tcPr>
            <w:tcW w:w="3118" w:type="dxa"/>
            <w:tcBorders>
              <w:top w:val="single" w:sz="4" w:space="0" w:color="auto"/>
              <w:left w:val="single" w:sz="4" w:space="0" w:color="auto"/>
              <w:bottom w:val="nil"/>
              <w:right w:val="single" w:sz="4" w:space="0" w:color="auto"/>
            </w:tcBorders>
            <w:shd w:val="clear" w:color="auto" w:fill="F3F3F3"/>
            <w:vAlign w:val="center"/>
          </w:tcPr>
          <w:p w14:paraId="0FE8FD6C"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ISDN 2</w:t>
            </w:r>
          </w:p>
        </w:tc>
        <w:tc>
          <w:tcPr>
            <w:tcW w:w="1418" w:type="dxa"/>
            <w:tcBorders>
              <w:top w:val="single" w:sz="4" w:space="0" w:color="auto"/>
              <w:left w:val="single" w:sz="4" w:space="0" w:color="auto"/>
              <w:bottom w:val="nil"/>
              <w:right w:val="single" w:sz="4" w:space="0" w:color="auto"/>
            </w:tcBorders>
            <w:vAlign w:val="center"/>
          </w:tcPr>
          <w:p w14:paraId="784ECC4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nil"/>
              <w:right w:val="single" w:sz="4" w:space="0" w:color="auto"/>
            </w:tcBorders>
            <w:shd w:val="clear" w:color="auto" w:fill="00CCFF"/>
            <w:vAlign w:val="center"/>
          </w:tcPr>
          <w:p w14:paraId="0200D5C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left w:val="single" w:sz="4" w:space="0" w:color="auto"/>
              <w:bottom w:val="nil"/>
              <w:right w:val="single" w:sz="4" w:space="0" w:color="auto"/>
            </w:tcBorders>
            <w:shd w:val="clear" w:color="auto" w:fill="CCFFFF"/>
            <w:vAlign w:val="center"/>
          </w:tcPr>
          <w:p w14:paraId="75152C0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4847A78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7FF27E1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14DC445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6135E35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6B5E78F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22543E3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14E4197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0DB13D9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797992FF" w14:textId="77777777" w:rsidTr="00367CDB">
        <w:tc>
          <w:tcPr>
            <w:tcW w:w="1560" w:type="dxa"/>
            <w:tcBorders>
              <w:top w:val="nil"/>
              <w:left w:val="single" w:sz="4" w:space="0" w:color="auto"/>
              <w:bottom w:val="nil"/>
              <w:right w:val="single" w:sz="4" w:space="0" w:color="auto"/>
            </w:tcBorders>
            <w:vAlign w:val="center"/>
          </w:tcPr>
          <w:p w14:paraId="3FDE4F44"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cPr>
          <w:p w14:paraId="4E93C3F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15D2840C" w14:textId="7A1EA834"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nil"/>
              <w:right w:val="single" w:sz="4" w:space="0" w:color="auto"/>
            </w:tcBorders>
            <w:vAlign w:val="center"/>
          </w:tcPr>
          <w:p w14:paraId="4820909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245878C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11D53E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0D28FCA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7871081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2350B63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6A6A739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10E1DA2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437BB42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7BBB4B2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5B3E20B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5038B820" w14:textId="77777777" w:rsidTr="00367CDB">
        <w:tc>
          <w:tcPr>
            <w:tcW w:w="1560" w:type="dxa"/>
            <w:tcBorders>
              <w:top w:val="nil"/>
              <w:left w:val="single" w:sz="4" w:space="0" w:color="auto"/>
              <w:bottom w:val="nil"/>
              <w:right w:val="single" w:sz="4" w:space="0" w:color="auto"/>
            </w:tcBorders>
            <w:vAlign w:val="center"/>
          </w:tcPr>
          <w:p w14:paraId="48093945"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cPr>
          <w:p w14:paraId="24E6F6FE"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4B9E2977"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Argent Dedicated</w:t>
            </w:r>
          </w:p>
        </w:tc>
        <w:tc>
          <w:tcPr>
            <w:tcW w:w="1418" w:type="dxa"/>
            <w:tcBorders>
              <w:top w:val="nil"/>
              <w:left w:val="single" w:sz="4" w:space="0" w:color="auto"/>
              <w:bottom w:val="nil"/>
              <w:right w:val="single" w:sz="4" w:space="0" w:color="auto"/>
            </w:tcBorders>
            <w:vAlign w:val="center"/>
          </w:tcPr>
          <w:p w14:paraId="0DA9A71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407C675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7F96293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851" w:type="dxa"/>
            <w:tcBorders>
              <w:top w:val="nil"/>
              <w:left w:val="single" w:sz="4" w:space="0" w:color="auto"/>
              <w:bottom w:val="nil"/>
              <w:right w:val="single" w:sz="4" w:space="0" w:color="auto"/>
            </w:tcBorders>
            <w:shd w:val="clear" w:color="auto" w:fill="CCFFFF"/>
            <w:vAlign w:val="center"/>
          </w:tcPr>
          <w:p w14:paraId="3EB8C37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512F1F4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17CF63A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0A2E990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38B113C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7C4FC32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1AFDB80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1289EC3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322AA7B8" w14:textId="77777777" w:rsidTr="00367CDB">
        <w:tc>
          <w:tcPr>
            <w:tcW w:w="1560" w:type="dxa"/>
            <w:tcBorders>
              <w:top w:val="nil"/>
              <w:left w:val="single" w:sz="4" w:space="0" w:color="auto"/>
              <w:bottom w:val="nil"/>
              <w:right w:val="single" w:sz="4" w:space="0" w:color="auto"/>
            </w:tcBorders>
            <w:vAlign w:val="center"/>
          </w:tcPr>
          <w:p w14:paraId="2AFC86E8"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cPr>
          <w:p w14:paraId="34D03F9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34250888" w14:textId="77777777" w:rsidR="00367CDB" w:rsidRPr="00D14611" w:rsidRDefault="00367CDB" w:rsidP="00367CDB">
            <w:pPr>
              <w:pStyle w:val="Heading2"/>
              <w:numPr>
                <w:ilvl w:val="0"/>
                <w:numId w:val="0"/>
              </w:numPr>
              <w:spacing w:before="20" w:after="20"/>
              <w:rPr>
                <w:rFonts w:ascii="Arial" w:hAnsi="Arial" w:cs="Arial"/>
                <w:sz w:val="12"/>
                <w:szCs w:val="12"/>
              </w:rPr>
            </w:pPr>
            <w:proofErr w:type="spellStart"/>
            <w:r w:rsidRPr="00D14611">
              <w:rPr>
                <w:rFonts w:ascii="Arial" w:hAnsi="Arial" w:cs="Arial"/>
                <w:sz w:val="12"/>
                <w:szCs w:val="12"/>
              </w:rPr>
              <w:t>Siteline</w:t>
            </w:r>
            <w:proofErr w:type="spellEnd"/>
          </w:p>
        </w:tc>
        <w:tc>
          <w:tcPr>
            <w:tcW w:w="1418" w:type="dxa"/>
            <w:tcBorders>
              <w:top w:val="nil"/>
              <w:left w:val="single" w:sz="4" w:space="0" w:color="auto"/>
              <w:bottom w:val="nil"/>
              <w:right w:val="single" w:sz="4" w:space="0" w:color="auto"/>
            </w:tcBorders>
            <w:vAlign w:val="center"/>
          </w:tcPr>
          <w:p w14:paraId="0BC5207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247B9E5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35766E6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851" w:type="dxa"/>
            <w:tcBorders>
              <w:top w:val="nil"/>
              <w:left w:val="single" w:sz="4" w:space="0" w:color="auto"/>
              <w:bottom w:val="nil"/>
              <w:right w:val="single" w:sz="4" w:space="0" w:color="auto"/>
            </w:tcBorders>
            <w:shd w:val="clear" w:color="auto" w:fill="CCFFFF"/>
            <w:vAlign w:val="center"/>
          </w:tcPr>
          <w:p w14:paraId="1B758C5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07954D7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05CA2EC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3871E3A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0438846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073CE08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457E64D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1CEFAF7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2E0766B1" w14:textId="77777777" w:rsidTr="00367CDB">
        <w:tc>
          <w:tcPr>
            <w:tcW w:w="1560" w:type="dxa"/>
            <w:tcBorders>
              <w:top w:val="nil"/>
              <w:left w:val="single" w:sz="4" w:space="0" w:color="auto"/>
              <w:bottom w:val="nil"/>
              <w:right w:val="single" w:sz="4" w:space="0" w:color="auto"/>
            </w:tcBorders>
            <w:vAlign w:val="center"/>
          </w:tcPr>
          <w:p w14:paraId="297108A0"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cPr>
          <w:p w14:paraId="7064A03D"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5F643440"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CTI</w:t>
            </w:r>
          </w:p>
        </w:tc>
        <w:tc>
          <w:tcPr>
            <w:tcW w:w="1418" w:type="dxa"/>
            <w:tcBorders>
              <w:top w:val="nil"/>
              <w:left w:val="single" w:sz="4" w:space="0" w:color="auto"/>
              <w:bottom w:val="nil"/>
              <w:right w:val="single" w:sz="4" w:space="0" w:color="auto"/>
            </w:tcBorders>
            <w:vAlign w:val="center"/>
          </w:tcPr>
          <w:p w14:paraId="2235714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7746F46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STD</w:t>
            </w:r>
          </w:p>
        </w:tc>
        <w:tc>
          <w:tcPr>
            <w:tcW w:w="992" w:type="dxa"/>
            <w:tcBorders>
              <w:top w:val="nil"/>
              <w:left w:val="single" w:sz="4" w:space="0" w:color="auto"/>
              <w:bottom w:val="nil"/>
              <w:right w:val="single" w:sz="4" w:space="0" w:color="auto"/>
            </w:tcBorders>
            <w:shd w:val="clear" w:color="auto" w:fill="CCFFFF"/>
            <w:vAlign w:val="center"/>
          </w:tcPr>
          <w:p w14:paraId="781ADDD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 xml:space="preserve">Service </w:t>
            </w:r>
          </w:p>
        </w:tc>
        <w:tc>
          <w:tcPr>
            <w:tcW w:w="851" w:type="dxa"/>
            <w:tcBorders>
              <w:top w:val="nil"/>
              <w:left w:val="single" w:sz="4" w:space="0" w:color="auto"/>
              <w:bottom w:val="nil"/>
              <w:right w:val="single" w:sz="4" w:space="0" w:color="auto"/>
            </w:tcBorders>
            <w:shd w:val="clear" w:color="auto" w:fill="CCFFFF"/>
            <w:vAlign w:val="center"/>
          </w:tcPr>
          <w:p w14:paraId="39BCA95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15BA3A2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24562DE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CCFFFF"/>
            <w:vAlign w:val="center"/>
          </w:tcPr>
          <w:p w14:paraId="192AFBA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nil"/>
            </w:tcBorders>
            <w:shd w:val="clear" w:color="auto" w:fill="CCFFFF"/>
            <w:vAlign w:val="center"/>
          </w:tcPr>
          <w:p w14:paraId="210563F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nil"/>
            </w:tcBorders>
            <w:shd w:val="clear" w:color="auto" w:fill="CCFFFF"/>
            <w:vAlign w:val="center"/>
          </w:tcPr>
          <w:p w14:paraId="66D84E2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133ADEB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547F2DA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63FC754D" w14:textId="77777777" w:rsidTr="00367CDB">
        <w:tc>
          <w:tcPr>
            <w:tcW w:w="1560" w:type="dxa"/>
            <w:tcBorders>
              <w:top w:val="nil"/>
              <w:left w:val="single" w:sz="4" w:space="0" w:color="auto"/>
              <w:bottom w:val="nil"/>
              <w:right w:val="single" w:sz="4" w:space="0" w:color="auto"/>
            </w:tcBorders>
            <w:vAlign w:val="center"/>
          </w:tcPr>
          <w:p w14:paraId="6CFB53EA"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cPr>
          <w:p w14:paraId="00CF1A05"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2425D569"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IVR</w:t>
            </w:r>
          </w:p>
        </w:tc>
        <w:tc>
          <w:tcPr>
            <w:tcW w:w="1418" w:type="dxa"/>
            <w:tcBorders>
              <w:top w:val="nil"/>
              <w:left w:val="single" w:sz="4" w:space="0" w:color="auto"/>
              <w:bottom w:val="nil"/>
              <w:right w:val="single" w:sz="4" w:space="0" w:color="auto"/>
            </w:tcBorders>
            <w:vAlign w:val="center"/>
          </w:tcPr>
          <w:p w14:paraId="5A78DB5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nil"/>
              <w:right w:val="single" w:sz="4" w:space="0" w:color="auto"/>
            </w:tcBorders>
            <w:shd w:val="clear" w:color="auto" w:fill="00CCFF"/>
            <w:vAlign w:val="center"/>
          </w:tcPr>
          <w:p w14:paraId="69834E7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6D651F4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Level</w:t>
            </w:r>
          </w:p>
        </w:tc>
        <w:tc>
          <w:tcPr>
            <w:tcW w:w="851" w:type="dxa"/>
            <w:tcBorders>
              <w:top w:val="nil"/>
              <w:left w:val="single" w:sz="4" w:space="0" w:color="auto"/>
              <w:bottom w:val="nil"/>
              <w:right w:val="single" w:sz="4" w:space="0" w:color="auto"/>
            </w:tcBorders>
            <w:shd w:val="clear" w:color="auto" w:fill="CCFFFF"/>
            <w:vAlign w:val="center"/>
          </w:tcPr>
          <w:p w14:paraId="5B6D41D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0984336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single" w:sz="4" w:space="0" w:color="auto"/>
              <w:right w:val="single" w:sz="4" w:space="0" w:color="auto"/>
            </w:tcBorders>
            <w:shd w:val="clear" w:color="auto" w:fill="CCFFFF"/>
            <w:vAlign w:val="center"/>
          </w:tcPr>
          <w:p w14:paraId="2FB566F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shd w:val="clear" w:color="auto" w:fill="CCFFFF"/>
            <w:vAlign w:val="center"/>
          </w:tcPr>
          <w:p w14:paraId="5D3AE19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left w:val="single" w:sz="4" w:space="0" w:color="auto"/>
              <w:bottom w:val="single" w:sz="4" w:space="0" w:color="auto"/>
            </w:tcBorders>
            <w:shd w:val="clear" w:color="auto" w:fill="CCFFFF"/>
            <w:vAlign w:val="center"/>
          </w:tcPr>
          <w:p w14:paraId="36EC9CD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bottom w:val="single" w:sz="4" w:space="0" w:color="auto"/>
            </w:tcBorders>
            <w:shd w:val="clear" w:color="auto" w:fill="CCFFFF"/>
            <w:vAlign w:val="center"/>
          </w:tcPr>
          <w:p w14:paraId="2E48E4A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3D78B5A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5ADCCEF5"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4C1F2D94" w14:textId="77777777" w:rsidTr="00367CDB">
        <w:tc>
          <w:tcPr>
            <w:tcW w:w="1560" w:type="dxa"/>
            <w:tcBorders>
              <w:top w:val="nil"/>
              <w:left w:val="single" w:sz="4" w:space="0" w:color="auto"/>
              <w:bottom w:val="nil"/>
              <w:right w:val="single" w:sz="4" w:space="0" w:color="auto"/>
            </w:tcBorders>
            <w:shd w:val="clear" w:color="auto" w:fill="F3F3F3"/>
            <w:vAlign w:val="center"/>
          </w:tcPr>
          <w:p w14:paraId="672D052E"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bottom w:val="nil"/>
              <w:right w:val="single" w:sz="4" w:space="0" w:color="auto"/>
            </w:tcBorders>
          </w:tcPr>
          <w:p w14:paraId="452C995E"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nil"/>
              <w:right w:val="single" w:sz="4" w:space="0" w:color="auto"/>
            </w:tcBorders>
            <w:shd w:val="clear" w:color="auto" w:fill="F3F3F3"/>
            <w:vAlign w:val="center"/>
          </w:tcPr>
          <w:p w14:paraId="5B0474F4"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 xml:space="preserve">ADSL (CIP only) </w:t>
            </w:r>
          </w:p>
        </w:tc>
        <w:tc>
          <w:tcPr>
            <w:tcW w:w="1418" w:type="dxa"/>
            <w:tcBorders>
              <w:top w:val="nil"/>
              <w:left w:val="single" w:sz="4" w:space="0" w:color="auto"/>
              <w:bottom w:val="single" w:sz="4" w:space="0" w:color="auto"/>
              <w:right w:val="single" w:sz="4" w:space="0" w:color="auto"/>
            </w:tcBorders>
            <w:vAlign w:val="center"/>
          </w:tcPr>
          <w:p w14:paraId="55078B4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shd w:val="clear" w:color="auto" w:fill="00CCFF"/>
            <w:vAlign w:val="center"/>
          </w:tcPr>
          <w:p w14:paraId="1D763BE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nil"/>
              <w:right w:val="single" w:sz="4" w:space="0" w:color="auto"/>
            </w:tcBorders>
            <w:shd w:val="clear" w:color="auto" w:fill="CCFFFF"/>
            <w:vAlign w:val="center"/>
          </w:tcPr>
          <w:p w14:paraId="5BE5712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0C32A34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0DAEF14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0B69F3E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7ABE9B9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single" w:sz="4" w:space="0" w:color="auto"/>
              <w:left w:val="single" w:sz="4" w:space="0" w:color="auto"/>
              <w:bottom w:val="single" w:sz="4" w:space="0" w:color="auto"/>
            </w:tcBorders>
            <w:vAlign w:val="center"/>
          </w:tcPr>
          <w:p w14:paraId="7D64C6C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single" w:sz="4" w:space="0" w:color="auto"/>
              <w:bottom w:val="single" w:sz="4" w:space="0" w:color="auto"/>
            </w:tcBorders>
            <w:vAlign w:val="center"/>
          </w:tcPr>
          <w:p w14:paraId="1E2B8E8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0808763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47ACD2C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67E064E1" w14:textId="77777777" w:rsidTr="00367CDB">
        <w:tc>
          <w:tcPr>
            <w:tcW w:w="1560" w:type="dxa"/>
            <w:tcBorders>
              <w:top w:val="nil"/>
              <w:left w:val="single" w:sz="4" w:space="0" w:color="auto"/>
              <w:bottom w:val="nil"/>
              <w:right w:val="single" w:sz="4" w:space="0" w:color="auto"/>
            </w:tcBorders>
            <w:shd w:val="clear" w:color="auto" w:fill="F3F3F3"/>
            <w:vAlign w:val="center"/>
          </w:tcPr>
          <w:p w14:paraId="63246852"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bottom w:val="nil"/>
              <w:right w:val="single" w:sz="4" w:space="0" w:color="auto"/>
            </w:tcBorders>
          </w:tcPr>
          <w:p w14:paraId="06C2FEAA"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bottom w:val="single" w:sz="4" w:space="0" w:color="auto"/>
              <w:right w:val="single" w:sz="4" w:space="0" w:color="auto"/>
            </w:tcBorders>
            <w:shd w:val="clear" w:color="auto" w:fill="F3F3F3"/>
            <w:vAlign w:val="center"/>
          </w:tcPr>
          <w:p w14:paraId="01B07051"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PSTN Direct Mains</w:t>
            </w:r>
          </w:p>
        </w:tc>
        <w:tc>
          <w:tcPr>
            <w:tcW w:w="1418" w:type="dxa"/>
            <w:tcBorders>
              <w:top w:val="single" w:sz="4" w:space="0" w:color="auto"/>
              <w:left w:val="single" w:sz="4" w:space="0" w:color="auto"/>
              <w:bottom w:val="nil"/>
              <w:right w:val="single" w:sz="4" w:space="0" w:color="auto"/>
            </w:tcBorders>
            <w:shd w:val="clear" w:color="auto" w:fill="00CCFF"/>
            <w:vAlign w:val="center"/>
          </w:tcPr>
          <w:p w14:paraId="68D17B8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nil"/>
              <w:right w:val="single" w:sz="4" w:space="0" w:color="auto"/>
            </w:tcBorders>
            <w:shd w:val="clear" w:color="auto" w:fill="CCFFFF"/>
            <w:vAlign w:val="center"/>
          </w:tcPr>
          <w:p w14:paraId="477C3140"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SLA</w:t>
            </w:r>
          </w:p>
        </w:tc>
        <w:tc>
          <w:tcPr>
            <w:tcW w:w="992" w:type="dxa"/>
            <w:tcBorders>
              <w:top w:val="nil"/>
              <w:left w:val="single" w:sz="4" w:space="0" w:color="auto"/>
              <w:bottom w:val="nil"/>
              <w:right w:val="single" w:sz="4" w:space="0" w:color="auto"/>
            </w:tcBorders>
            <w:shd w:val="clear" w:color="auto" w:fill="CCFFFF"/>
            <w:vAlign w:val="center"/>
          </w:tcPr>
          <w:p w14:paraId="027A3ADF"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26312F9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47FB7EA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single" w:sz="4" w:space="0" w:color="auto"/>
              <w:left w:val="single" w:sz="4" w:space="0" w:color="auto"/>
              <w:bottom w:val="nil"/>
              <w:right w:val="single" w:sz="4" w:space="0" w:color="auto"/>
            </w:tcBorders>
            <w:shd w:val="clear" w:color="auto" w:fill="CCFFFF"/>
            <w:vAlign w:val="center"/>
          </w:tcPr>
          <w:p w14:paraId="1636085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single" w:sz="4" w:space="0" w:color="auto"/>
              <w:left w:val="single" w:sz="4" w:space="0" w:color="auto"/>
              <w:bottom w:val="nil"/>
              <w:right w:val="single" w:sz="4" w:space="0" w:color="auto"/>
            </w:tcBorders>
            <w:shd w:val="clear" w:color="auto" w:fill="CCFFFF"/>
            <w:vAlign w:val="center"/>
          </w:tcPr>
          <w:p w14:paraId="31EA8BE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single" w:sz="4" w:space="0" w:color="auto"/>
              <w:left w:val="single" w:sz="4" w:space="0" w:color="auto"/>
              <w:bottom w:val="single" w:sz="4" w:space="0" w:color="auto"/>
            </w:tcBorders>
            <w:shd w:val="clear" w:color="auto" w:fill="CCFFFF"/>
            <w:vAlign w:val="center"/>
          </w:tcPr>
          <w:p w14:paraId="0E0613C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single" w:sz="4" w:space="0" w:color="auto"/>
              <w:bottom w:val="single" w:sz="4" w:space="0" w:color="auto"/>
            </w:tcBorders>
            <w:shd w:val="clear" w:color="auto" w:fill="CCFFFF"/>
            <w:vAlign w:val="center"/>
          </w:tcPr>
          <w:p w14:paraId="1A30B01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58E098E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3B55DBD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1FEADD6A" w14:textId="77777777" w:rsidTr="00367CDB">
        <w:tc>
          <w:tcPr>
            <w:tcW w:w="1560" w:type="dxa"/>
            <w:tcBorders>
              <w:top w:val="nil"/>
              <w:left w:val="single" w:sz="4" w:space="0" w:color="auto"/>
              <w:bottom w:val="nil"/>
              <w:right w:val="single" w:sz="4" w:space="0" w:color="auto"/>
            </w:tcBorders>
            <w:shd w:val="clear" w:color="auto" w:fill="F3F3F3"/>
            <w:vAlign w:val="center"/>
          </w:tcPr>
          <w:p w14:paraId="268B0367"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val="restart"/>
            <w:tcBorders>
              <w:left w:val="single" w:sz="4" w:space="0" w:color="auto"/>
              <w:right w:val="single" w:sz="4" w:space="0" w:color="auto"/>
            </w:tcBorders>
            <w:textDirection w:val="btLr"/>
          </w:tcPr>
          <w:p w14:paraId="3E0E3CF7" w14:textId="77777777" w:rsidR="00367CDB" w:rsidRPr="00D14611" w:rsidRDefault="00367CDB" w:rsidP="00367CDB">
            <w:pPr>
              <w:pStyle w:val="Heading2"/>
              <w:numPr>
                <w:ilvl w:val="0"/>
                <w:numId w:val="0"/>
              </w:numPr>
              <w:spacing w:before="20" w:after="20"/>
              <w:ind w:left="113" w:right="113"/>
              <w:jc w:val="center"/>
              <w:rPr>
                <w:rFonts w:ascii="Arial" w:hAnsi="Arial" w:cs="Arial"/>
                <w:b/>
                <w:sz w:val="12"/>
                <w:szCs w:val="12"/>
              </w:rPr>
            </w:pPr>
            <w:r w:rsidRPr="00D14611">
              <w:rPr>
                <w:rFonts w:ascii="Arial" w:hAnsi="Arial" w:cs="Arial"/>
                <w:b/>
                <w:sz w:val="12"/>
                <w:szCs w:val="12"/>
              </w:rPr>
              <w:t>Assure</w:t>
            </w:r>
          </w:p>
        </w:tc>
        <w:tc>
          <w:tcPr>
            <w:tcW w:w="3118" w:type="dxa"/>
            <w:tcBorders>
              <w:left w:val="single" w:sz="4" w:space="0" w:color="auto"/>
              <w:bottom w:val="nil"/>
              <w:right w:val="single" w:sz="4" w:space="0" w:color="auto"/>
            </w:tcBorders>
            <w:shd w:val="clear" w:color="auto" w:fill="F3F3F3"/>
            <w:vAlign w:val="center"/>
          </w:tcPr>
          <w:p w14:paraId="4345B290" w14:textId="77777777" w:rsidR="00367CDB" w:rsidRPr="00D14611"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BTS</w:t>
            </w:r>
          </w:p>
        </w:tc>
        <w:tc>
          <w:tcPr>
            <w:tcW w:w="1418" w:type="dxa"/>
            <w:tcBorders>
              <w:top w:val="nil"/>
              <w:left w:val="single" w:sz="4" w:space="0" w:color="auto"/>
              <w:bottom w:val="nil"/>
              <w:right w:val="single" w:sz="4" w:space="0" w:color="auto"/>
            </w:tcBorders>
            <w:shd w:val="clear" w:color="auto" w:fill="00CCFF"/>
            <w:vAlign w:val="center"/>
          </w:tcPr>
          <w:p w14:paraId="63E0083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STD</w:t>
            </w:r>
          </w:p>
        </w:tc>
        <w:tc>
          <w:tcPr>
            <w:tcW w:w="1134" w:type="dxa"/>
            <w:tcBorders>
              <w:top w:val="nil"/>
              <w:left w:val="single" w:sz="4" w:space="0" w:color="auto"/>
              <w:bottom w:val="nil"/>
              <w:right w:val="single" w:sz="4" w:space="0" w:color="auto"/>
            </w:tcBorders>
            <w:shd w:val="clear" w:color="auto" w:fill="CCFFFF"/>
            <w:vAlign w:val="center"/>
          </w:tcPr>
          <w:p w14:paraId="24A71D63"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Premium</w:t>
            </w:r>
          </w:p>
        </w:tc>
        <w:tc>
          <w:tcPr>
            <w:tcW w:w="992" w:type="dxa"/>
            <w:tcBorders>
              <w:top w:val="nil"/>
              <w:left w:val="single" w:sz="4" w:space="0" w:color="auto"/>
              <w:bottom w:val="nil"/>
              <w:right w:val="single" w:sz="4" w:space="0" w:color="auto"/>
            </w:tcBorders>
            <w:shd w:val="clear" w:color="auto" w:fill="CCFFFF"/>
            <w:vAlign w:val="center"/>
          </w:tcPr>
          <w:p w14:paraId="3A1F33C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nil"/>
              <w:left w:val="single" w:sz="4" w:space="0" w:color="auto"/>
              <w:bottom w:val="nil"/>
              <w:right w:val="single" w:sz="4" w:space="0" w:color="auto"/>
            </w:tcBorders>
            <w:shd w:val="clear" w:color="auto" w:fill="CCFFFF"/>
            <w:vAlign w:val="center"/>
          </w:tcPr>
          <w:p w14:paraId="5A12712C"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bottom w:val="nil"/>
              <w:right w:val="single" w:sz="4" w:space="0" w:color="auto"/>
            </w:tcBorders>
            <w:shd w:val="clear" w:color="auto" w:fill="CCFFFF"/>
            <w:vAlign w:val="center"/>
          </w:tcPr>
          <w:p w14:paraId="108C85F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bottom w:val="single" w:sz="4" w:space="0" w:color="auto"/>
              <w:right w:val="single" w:sz="4" w:space="0" w:color="auto"/>
            </w:tcBorders>
            <w:shd w:val="clear" w:color="auto" w:fill="CCFFFF"/>
            <w:vAlign w:val="center"/>
          </w:tcPr>
          <w:p w14:paraId="79FB4A09"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shd w:val="clear" w:color="auto" w:fill="CCFFFF"/>
            <w:vAlign w:val="center"/>
          </w:tcPr>
          <w:p w14:paraId="38543328"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single" w:sz="4" w:space="0" w:color="auto"/>
              <w:left w:val="single" w:sz="4" w:space="0" w:color="auto"/>
              <w:bottom w:val="nil"/>
              <w:right w:val="single" w:sz="4" w:space="0" w:color="auto"/>
            </w:tcBorders>
            <w:vAlign w:val="center"/>
          </w:tcPr>
          <w:p w14:paraId="113B50F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single" w:sz="4" w:space="0" w:color="auto"/>
              <w:left w:val="single" w:sz="4" w:space="0" w:color="auto"/>
              <w:bottom w:val="nil"/>
            </w:tcBorders>
            <w:vAlign w:val="center"/>
          </w:tcPr>
          <w:p w14:paraId="2B9EAA0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bottom w:val="nil"/>
              <w:right w:val="single" w:sz="4" w:space="0" w:color="auto"/>
            </w:tcBorders>
            <w:vAlign w:val="center"/>
          </w:tcPr>
          <w:p w14:paraId="00ED267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bottom w:val="nil"/>
            </w:tcBorders>
            <w:vAlign w:val="center"/>
          </w:tcPr>
          <w:p w14:paraId="24E9298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r w:rsidR="00367CDB" w:rsidRPr="00D14611" w14:paraId="012A7470" w14:textId="77777777" w:rsidTr="00367CDB">
        <w:trPr>
          <w:trHeight w:val="563"/>
        </w:trPr>
        <w:tc>
          <w:tcPr>
            <w:tcW w:w="1560" w:type="dxa"/>
            <w:tcBorders>
              <w:top w:val="nil"/>
              <w:left w:val="single" w:sz="4" w:space="0" w:color="auto"/>
              <w:bottom w:val="single" w:sz="4" w:space="0" w:color="auto"/>
              <w:right w:val="single" w:sz="4" w:space="0" w:color="auto"/>
            </w:tcBorders>
            <w:vAlign w:val="center"/>
          </w:tcPr>
          <w:p w14:paraId="103CE16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425" w:type="dxa"/>
            <w:gridSpan w:val="2"/>
            <w:vMerge/>
            <w:tcBorders>
              <w:left w:val="single" w:sz="4" w:space="0" w:color="auto"/>
              <w:right w:val="single" w:sz="4" w:space="0" w:color="auto"/>
            </w:tcBorders>
          </w:tcPr>
          <w:p w14:paraId="0AA0A705"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3118" w:type="dxa"/>
            <w:tcBorders>
              <w:top w:val="nil"/>
              <w:left w:val="single" w:sz="4" w:space="0" w:color="auto"/>
              <w:right w:val="single" w:sz="4" w:space="0" w:color="auto"/>
            </w:tcBorders>
            <w:shd w:val="clear" w:color="auto" w:fill="F3F3F3"/>
            <w:vAlign w:val="center"/>
          </w:tcPr>
          <w:p w14:paraId="50341E2E" w14:textId="38D47DB9" w:rsidR="00367CDB" w:rsidRDefault="00367CDB" w:rsidP="00367CDB">
            <w:pPr>
              <w:pStyle w:val="Heading2"/>
              <w:numPr>
                <w:ilvl w:val="0"/>
                <w:numId w:val="0"/>
              </w:numPr>
              <w:spacing w:before="20" w:after="20"/>
              <w:rPr>
                <w:rFonts w:ascii="Arial" w:hAnsi="Arial" w:cs="Arial"/>
                <w:sz w:val="12"/>
                <w:szCs w:val="12"/>
              </w:rPr>
            </w:pPr>
            <w:r w:rsidRPr="00D14611">
              <w:rPr>
                <w:rFonts w:ascii="Arial" w:hAnsi="Arial" w:cs="Arial"/>
                <w:sz w:val="12"/>
                <w:szCs w:val="12"/>
              </w:rPr>
              <w:t>ADSL (BIP, Telstra Business Broadband)</w:t>
            </w:r>
            <w:r w:rsidR="00793B24">
              <w:rPr>
                <w:rFonts w:ascii="Arial" w:hAnsi="Arial" w:cs="Arial"/>
                <w:sz w:val="12"/>
                <w:szCs w:val="12"/>
              </w:rPr>
              <w:t xml:space="preserve"> (Available to Telstra Enterprise customers only)</w:t>
            </w:r>
          </w:p>
          <w:p w14:paraId="7A76A51C" w14:textId="77777777" w:rsidR="00367CDB" w:rsidRPr="00D14611" w:rsidRDefault="00367CDB" w:rsidP="00367CDB">
            <w:pPr>
              <w:pStyle w:val="Heading2"/>
              <w:numPr>
                <w:ilvl w:val="0"/>
                <w:numId w:val="0"/>
              </w:numPr>
              <w:spacing w:before="20" w:after="20"/>
              <w:rPr>
                <w:rFonts w:ascii="Arial" w:hAnsi="Arial" w:cs="Arial"/>
                <w:sz w:val="12"/>
                <w:szCs w:val="12"/>
              </w:rPr>
            </w:pPr>
          </w:p>
        </w:tc>
        <w:tc>
          <w:tcPr>
            <w:tcW w:w="1418" w:type="dxa"/>
            <w:tcBorders>
              <w:top w:val="nil"/>
              <w:left w:val="single" w:sz="4" w:space="0" w:color="auto"/>
              <w:bottom w:val="single" w:sz="4" w:space="0" w:color="auto"/>
              <w:right w:val="single" w:sz="4" w:space="0" w:color="auto"/>
            </w:tcBorders>
            <w:shd w:val="clear" w:color="auto" w:fill="00CCFF"/>
            <w:vAlign w:val="center"/>
          </w:tcPr>
          <w:p w14:paraId="34A915F7"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bottom w:val="single" w:sz="4" w:space="0" w:color="auto"/>
              <w:right w:val="single" w:sz="4" w:space="0" w:color="auto"/>
            </w:tcBorders>
            <w:shd w:val="clear" w:color="auto" w:fill="CCFFFF"/>
            <w:vAlign w:val="center"/>
          </w:tcPr>
          <w:p w14:paraId="55BC62B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r w:rsidRPr="00D14611">
              <w:rPr>
                <w:rFonts w:ascii="Arial" w:hAnsi="Arial" w:cs="Arial"/>
                <w:b/>
                <w:sz w:val="12"/>
                <w:szCs w:val="12"/>
              </w:rPr>
              <w:t>Service Level</w:t>
            </w:r>
          </w:p>
        </w:tc>
        <w:tc>
          <w:tcPr>
            <w:tcW w:w="992" w:type="dxa"/>
            <w:tcBorders>
              <w:top w:val="nil"/>
              <w:left w:val="single" w:sz="4" w:space="0" w:color="auto"/>
              <w:bottom w:val="single" w:sz="4" w:space="0" w:color="auto"/>
              <w:right w:val="single" w:sz="4" w:space="0" w:color="auto"/>
            </w:tcBorders>
            <w:shd w:val="clear" w:color="auto" w:fill="CCFFFF"/>
            <w:vAlign w:val="center"/>
          </w:tcPr>
          <w:p w14:paraId="372328D2"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14:paraId="5AE1D82E"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252F3906"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left w:val="single" w:sz="4" w:space="0" w:color="auto"/>
              <w:right w:val="single" w:sz="4" w:space="0" w:color="auto"/>
            </w:tcBorders>
            <w:vAlign w:val="center"/>
          </w:tcPr>
          <w:p w14:paraId="1FAB6CA1"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1134" w:type="dxa"/>
            <w:tcBorders>
              <w:top w:val="nil"/>
              <w:left w:val="single" w:sz="4" w:space="0" w:color="auto"/>
            </w:tcBorders>
            <w:vAlign w:val="center"/>
          </w:tcPr>
          <w:p w14:paraId="0E7320FA"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3" w:type="dxa"/>
            <w:tcBorders>
              <w:top w:val="nil"/>
              <w:right w:val="single" w:sz="4" w:space="0" w:color="auto"/>
            </w:tcBorders>
            <w:vAlign w:val="center"/>
          </w:tcPr>
          <w:p w14:paraId="71C4CB0B"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50" w:type="dxa"/>
            <w:tcBorders>
              <w:top w:val="nil"/>
              <w:left w:val="single" w:sz="4" w:space="0" w:color="auto"/>
            </w:tcBorders>
            <w:vAlign w:val="center"/>
          </w:tcPr>
          <w:p w14:paraId="25AE55F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992" w:type="dxa"/>
            <w:tcBorders>
              <w:top w:val="nil"/>
              <w:right w:val="single" w:sz="4" w:space="0" w:color="auto"/>
            </w:tcBorders>
            <w:vAlign w:val="center"/>
          </w:tcPr>
          <w:p w14:paraId="2C25A174"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c>
          <w:tcPr>
            <w:tcW w:w="890" w:type="dxa"/>
            <w:tcBorders>
              <w:top w:val="nil"/>
              <w:left w:val="single" w:sz="4" w:space="0" w:color="auto"/>
            </w:tcBorders>
            <w:vAlign w:val="center"/>
          </w:tcPr>
          <w:p w14:paraId="3AAFB11D" w14:textId="77777777" w:rsidR="00367CDB" w:rsidRPr="00D14611" w:rsidRDefault="00367CDB" w:rsidP="00367CDB">
            <w:pPr>
              <w:pStyle w:val="Heading2"/>
              <w:numPr>
                <w:ilvl w:val="0"/>
                <w:numId w:val="0"/>
              </w:numPr>
              <w:spacing w:before="20" w:after="20"/>
              <w:jc w:val="center"/>
              <w:rPr>
                <w:rFonts w:ascii="Arial" w:hAnsi="Arial" w:cs="Arial"/>
                <w:b/>
                <w:sz w:val="12"/>
                <w:szCs w:val="12"/>
              </w:rPr>
            </w:pPr>
          </w:p>
        </w:tc>
      </w:tr>
    </w:tbl>
    <w:p w14:paraId="54C1AA6D" w14:textId="77777777" w:rsidR="002C0F97" w:rsidRDefault="002C0F97" w:rsidP="00D33203">
      <w:pPr>
        <w:pStyle w:val="Heading1"/>
        <w:sectPr w:rsidR="002C0F97" w:rsidSect="00606BC6">
          <w:pgSz w:w="16840" w:h="11907" w:orient="landscape" w:code="9"/>
          <w:pgMar w:top="1843" w:right="1134" w:bottom="1134" w:left="1418" w:header="425" w:footer="567" w:gutter="0"/>
          <w:cols w:space="720"/>
        </w:sectPr>
      </w:pPr>
      <w:bookmarkStart w:id="29" w:name="_Ref448750749"/>
    </w:p>
    <w:p w14:paraId="24B40B37" w14:textId="3DCA09E0" w:rsidR="00D33203" w:rsidRDefault="00D33203" w:rsidP="00046B2A">
      <w:pPr>
        <w:pStyle w:val="Heading1"/>
        <w:pBdr>
          <w:top w:val="none" w:sz="0" w:space="0" w:color="auto"/>
        </w:pBdr>
      </w:pPr>
      <w:bookmarkStart w:id="30" w:name="_Ref448819070"/>
      <w:bookmarkStart w:id="31" w:name="_Ref448819193"/>
      <w:bookmarkStart w:id="32" w:name="_Toc208576782"/>
      <w:r w:rsidRPr="00D33203">
        <w:lastRenderedPageBreak/>
        <w:t>Telstra Provisioning Commitment</w:t>
      </w:r>
      <w:bookmarkEnd w:id="29"/>
      <w:bookmarkEnd w:id="30"/>
      <w:bookmarkEnd w:id="31"/>
      <w:bookmarkEnd w:id="32"/>
    </w:p>
    <w:p w14:paraId="2A1F0656" w14:textId="77777777" w:rsidR="00040D95" w:rsidRDefault="00040D95" w:rsidP="00040D95">
      <w:pPr>
        <w:pStyle w:val="Heading2"/>
        <w:numPr>
          <w:ilvl w:val="0"/>
          <w:numId w:val="0"/>
        </w:numPr>
        <w:ind w:left="737"/>
        <w:rPr>
          <w:b/>
        </w:rPr>
      </w:pPr>
      <w:r>
        <w:rPr>
          <w:b/>
        </w:rPr>
        <w:t>Definitions</w:t>
      </w:r>
    </w:p>
    <w:p w14:paraId="0342E46B" w14:textId="538DF1C6" w:rsidR="00040D95" w:rsidRDefault="00040D95" w:rsidP="007C6130">
      <w:pPr>
        <w:pStyle w:val="Heading2"/>
      </w:pPr>
      <w:r w:rsidRPr="007C6130">
        <w:t xml:space="preserve">The following definitions apply in this </w:t>
      </w:r>
      <w:r w:rsidRPr="005D251E">
        <w:t>cla</w:t>
      </w:r>
      <w:r w:rsidRPr="009F718D">
        <w:t xml:space="preserve">use </w:t>
      </w:r>
      <w:r w:rsidR="009F718D">
        <w:fldChar w:fldCharType="begin"/>
      </w:r>
      <w:r w:rsidR="009F718D">
        <w:instrText xml:space="preserve"> REF _Ref448819070 \r \h </w:instrText>
      </w:r>
      <w:r w:rsidR="009F718D">
        <w:fldChar w:fldCharType="separate"/>
      </w:r>
      <w:r w:rsidR="00CA259E">
        <w:t>7</w:t>
      </w:r>
      <w:r w:rsidR="009F718D">
        <w:fldChar w:fldCharType="end"/>
      </w:r>
      <w:r w:rsidR="00D10E3E">
        <w:t xml:space="preserve"> only</w:t>
      </w:r>
      <w:r w:rsidRPr="005D251E">
        <w:t>.</w:t>
      </w:r>
    </w:p>
    <w:p w14:paraId="384181D0" w14:textId="77777777" w:rsidR="00BB37DC" w:rsidRPr="009F718D" w:rsidRDefault="00BB37DC" w:rsidP="007C6130">
      <w:pPr>
        <w:pStyle w:val="Heading2"/>
        <w:numPr>
          <w:ilvl w:val="0"/>
          <w:numId w:val="0"/>
        </w:numPr>
        <w:ind w:left="1474"/>
      </w:pPr>
      <w:r>
        <w:rPr>
          <w:b/>
        </w:rPr>
        <w:t xml:space="preserve">Business Day </w:t>
      </w:r>
      <w:r w:rsidRPr="005D251E">
        <w:t xml:space="preserve">means any day other than a Saturday, Sunday or recognised public holiday </w:t>
      </w:r>
      <w:r w:rsidRPr="009F718D">
        <w:t>in the jurisdiction in which the products services are being provided.</w:t>
      </w:r>
    </w:p>
    <w:p w14:paraId="441DD118" w14:textId="77777777" w:rsidR="0012412D" w:rsidRPr="009F718D" w:rsidRDefault="0012412D" w:rsidP="007C6130">
      <w:pPr>
        <w:ind w:left="1457"/>
      </w:pPr>
      <w:r>
        <w:rPr>
          <w:b/>
        </w:rPr>
        <w:t xml:space="preserve">Customer Caused Delay </w:t>
      </w:r>
      <w:r>
        <w:t xml:space="preserve">refers to </w:t>
      </w:r>
      <w:r w:rsidRPr="005D251E">
        <w:t xml:space="preserve">occasions when </w:t>
      </w:r>
      <w:r w:rsidR="00127992">
        <w:t>our</w:t>
      </w:r>
      <w:r w:rsidRPr="007C6130">
        <w:t xml:space="preserve"> </w:t>
      </w:r>
      <w:r w:rsidRPr="005D251E">
        <w:t xml:space="preserve">ability to connect a service has been impacted by </w:t>
      </w:r>
      <w:r w:rsidRPr="009F718D">
        <w:t>delays</w:t>
      </w:r>
      <w:r w:rsidR="00127992">
        <w:t xml:space="preserve"> related to you</w:t>
      </w:r>
      <w:r w:rsidRPr="005D251E">
        <w:t xml:space="preserve"> including but not limited to:</w:t>
      </w:r>
    </w:p>
    <w:p w14:paraId="46EB6FF8" w14:textId="77777777" w:rsidR="0012412D" w:rsidRPr="009F718D" w:rsidRDefault="00127992" w:rsidP="007C6130">
      <w:pPr>
        <w:numPr>
          <w:ilvl w:val="1"/>
          <w:numId w:val="64"/>
        </w:numPr>
        <w:tabs>
          <w:tab w:val="clear" w:pos="2880"/>
          <w:tab w:val="num" w:pos="2177"/>
        </w:tabs>
        <w:ind w:left="2177"/>
        <w:rPr>
          <w:b/>
        </w:rPr>
      </w:pPr>
      <w:r>
        <w:t>you</w:t>
      </w:r>
      <w:r w:rsidR="0012412D" w:rsidRPr="007C6130">
        <w:t xml:space="preserve"> </w:t>
      </w:r>
      <w:r w:rsidR="0012412D" w:rsidRPr="005D251E">
        <w:t xml:space="preserve">not providing a firm date for connection of an activation request with </w:t>
      </w:r>
      <w:proofErr w:type="gramStart"/>
      <w:r>
        <w:t>us</w:t>
      </w:r>
      <w:r w:rsidR="0012412D" w:rsidRPr="005D251E">
        <w:t>;</w:t>
      </w:r>
      <w:proofErr w:type="gramEnd"/>
    </w:p>
    <w:p w14:paraId="5133464C" w14:textId="77777777" w:rsidR="0012412D" w:rsidRPr="009F718D" w:rsidRDefault="00127992" w:rsidP="007C6130">
      <w:pPr>
        <w:numPr>
          <w:ilvl w:val="1"/>
          <w:numId w:val="64"/>
        </w:numPr>
        <w:tabs>
          <w:tab w:val="clear" w:pos="2880"/>
          <w:tab w:val="num" w:pos="1440"/>
        </w:tabs>
        <w:ind w:left="2177"/>
        <w:rPr>
          <w:b/>
        </w:rPr>
      </w:pPr>
      <w:r>
        <w:t>you</w:t>
      </w:r>
      <w:r w:rsidR="0012412D" w:rsidRPr="007C6130">
        <w:t xml:space="preserve"> </w:t>
      </w:r>
      <w:r w:rsidR="0012412D" w:rsidRPr="005D251E">
        <w:t>n</w:t>
      </w:r>
      <w:r w:rsidR="0012412D" w:rsidRPr="009F718D">
        <w:t xml:space="preserve">ot being available on the </w:t>
      </w:r>
      <w:r w:rsidR="0012412D" w:rsidRPr="007C6130">
        <w:t xml:space="preserve">Recorded Telstra Commitment </w:t>
      </w:r>
      <w:proofErr w:type="gramStart"/>
      <w:r w:rsidR="0012412D" w:rsidRPr="007C6130">
        <w:t>Date</w:t>
      </w:r>
      <w:r w:rsidR="0012412D" w:rsidRPr="005D251E">
        <w:t>;</w:t>
      </w:r>
      <w:proofErr w:type="gramEnd"/>
    </w:p>
    <w:p w14:paraId="371CBD35" w14:textId="77777777" w:rsidR="0012412D" w:rsidRPr="009F718D" w:rsidRDefault="0012412D" w:rsidP="007C6130">
      <w:pPr>
        <w:numPr>
          <w:ilvl w:val="1"/>
          <w:numId w:val="64"/>
        </w:numPr>
        <w:tabs>
          <w:tab w:val="clear" w:pos="2880"/>
          <w:tab w:val="num" w:pos="1440"/>
        </w:tabs>
        <w:ind w:left="2177"/>
        <w:rPr>
          <w:b/>
        </w:rPr>
      </w:pPr>
      <w:r w:rsidRPr="009F718D">
        <w:t xml:space="preserve">problems with obtaining power supply, </w:t>
      </w:r>
    </w:p>
    <w:p w14:paraId="64936DCC" w14:textId="77777777" w:rsidR="0012412D" w:rsidRPr="00686DBF" w:rsidRDefault="0012412D" w:rsidP="007C6130">
      <w:pPr>
        <w:numPr>
          <w:ilvl w:val="1"/>
          <w:numId w:val="64"/>
        </w:numPr>
        <w:tabs>
          <w:tab w:val="clear" w:pos="2880"/>
          <w:tab w:val="num" w:pos="1440"/>
        </w:tabs>
        <w:ind w:left="2177"/>
        <w:rPr>
          <w:b/>
        </w:rPr>
      </w:pPr>
      <w:r w:rsidRPr="009F718D">
        <w:t>building permi</w:t>
      </w:r>
      <w:r w:rsidRPr="00686DBF">
        <w:t xml:space="preserve">ts, consents, licences, approval, or </w:t>
      </w:r>
    </w:p>
    <w:p w14:paraId="06E81942" w14:textId="2B110E41" w:rsidR="0012412D" w:rsidRDefault="0012412D" w:rsidP="007C6130">
      <w:pPr>
        <w:ind w:left="1457"/>
        <w:rPr>
          <w:b/>
        </w:rPr>
      </w:pPr>
      <w:r w:rsidRPr="00686DBF">
        <w:t>(e)</w:t>
      </w:r>
      <w:r w:rsidRPr="00686DBF">
        <w:tab/>
        <w:t xml:space="preserve">access to </w:t>
      </w:r>
      <w:r w:rsidR="002D74B8" w:rsidRPr="00686DBF">
        <w:t>your</w:t>
      </w:r>
      <w:r w:rsidRPr="007C6130">
        <w:t xml:space="preserve"> </w:t>
      </w:r>
      <w:r w:rsidRPr="005D251E">
        <w:t>premises is denied.</w:t>
      </w:r>
      <w:r>
        <w:rPr>
          <w:color w:val="0000FF"/>
        </w:rPr>
        <w:t xml:space="preserve"> </w:t>
      </w:r>
    </w:p>
    <w:p w14:paraId="111DACE8" w14:textId="77777777" w:rsidR="0012412D" w:rsidRDefault="0012412D" w:rsidP="007C6130">
      <w:pPr>
        <w:pStyle w:val="Heading2"/>
        <w:numPr>
          <w:ilvl w:val="0"/>
          <w:numId w:val="0"/>
        </w:numPr>
        <w:ind w:left="1474"/>
        <w:rPr>
          <w:b/>
        </w:rPr>
      </w:pPr>
    </w:p>
    <w:p w14:paraId="3A7EEF0A" w14:textId="77777777" w:rsidR="00D10E3E" w:rsidRPr="007C6130" w:rsidRDefault="00D10E3E" w:rsidP="007C6130">
      <w:pPr>
        <w:pStyle w:val="Heading2"/>
        <w:numPr>
          <w:ilvl w:val="0"/>
          <w:numId w:val="0"/>
        </w:numPr>
        <w:ind w:left="1474"/>
        <w:rPr>
          <w:b/>
        </w:rPr>
      </w:pPr>
      <w:r>
        <w:rPr>
          <w:b/>
        </w:rPr>
        <w:t xml:space="preserve">Enhanced TPC </w:t>
      </w:r>
      <w:r w:rsidRPr="005D251E">
        <w:t xml:space="preserve">is a shorter timeframe than the Standard TPC and is a TPC from </w:t>
      </w:r>
      <w:r>
        <w:t>us</w:t>
      </w:r>
      <w:r w:rsidRPr="007C6130">
        <w:t xml:space="preserve"> </w:t>
      </w:r>
      <w:r w:rsidRPr="005D251E">
        <w:t xml:space="preserve">to provide the selected service or product to </w:t>
      </w:r>
      <w:r w:rsidR="00127992">
        <w:t>you</w:t>
      </w:r>
      <w:r w:rsidRPr="007C6130">
        <w:t xml:space="preserve"> </w:t>
      </w:r>
      <w:r w:rsidRPr="005D251E">
        <w:t xml:space="preserve">by the </w:t>
      </w:r>
      <w:r w:rsidRPr="007C6130">
        <w:t>Recorded Telstra Commitment Date</w:t>
      </w:r>
      <w:r w:rsidRPr="005D251E">
        <w:t>.</w:t>
      </w:r>
      <w:r w:rsidRPr="007C6130">
        <w:rPr>
          <w:b/>
        </w:rPr>
        <w:t xml:space="preserve">  </w:t>
      </w:r>
    </w:p>
    <w:p w14:paraId="32A5134C" w14:textId="77777777" w:rsidR="00D10E3E" w:rsidRPr="005D251E" w:rsidRDefault="00D10E3E" w:rsidP="007C6130">
      <w:pPr>
        <w:pStyle w:val="Heading2"/>
        <w:numPr>
          <w:ilvl w:val="0"/>
          <w:numId w:val="0"/>
        </w:numPr>
        <w:ind w:left="1474"/>
      </w:pPr>
      <w:r>
        <w:rPr>
          <w:b/>
        </w:rPr>
        <w:t xml:space="preserve">Enhanced TPC Fee </w:t>
      </w:r>
      <w:r w:rsidRPr="005D251E">
        <w:t xml:space="preserve">is calculated at 60% of the installation fee or where there is no installation fee it is calculated at 60% of the first monthly access fee for the selected service or product.  </w:t>
      </w:r>
    </w:p>
    <w:p w14:paraId="01E21B16" w14:textId="77777777" w:rsidR="00D4087B" w:rsidRPr="007C6130" w:rsidRDefault="00D4087B" w:rsidP="007C6130">
      <w:pPr>
        <w:pStyle w:val="Heading2"/>
        <w:numPr>
          <w:ilvl w:val="0"/>
          <w:numId w:val="0"/>
        </w:numPr>
        <w:ind w:left="1474"/>
      </w:pPr>
      <w:r w:rsidRPr="00D4087B">
        <w:rPr>
          <w:b/>
        </w:rPr>
        <w:t xml:space="preserve">Force Majeure Event </w:t>
      </w:r>
      <w:r w:rsidRPr="007C6130">
        <w:t xml:space="preserve">means any occurrence or omission as a result of which </w:t>
      </w:r>
      <w:r w:rsidR="00127992">
        <w:t>we</w:t>
      </w:r>
      <w:r w:rsidRPr="007C6130">
        <w:t xml:space="preserve"> </w:t>
      </w:r>
      <w:r w:rsidR="00127992">
        <w:t>are</w:t>
      </w:r>
      <w:r w:rsidRPr="007C6130">
        <w:t xml:space="preserve"> prevented from or delayed in performing any of </w:t>
      </w:r>
      <w:r w:rsidR="009F718D">
        <w:t>our</w:t>
      </w:r>
      <w:r w:rsidRPr="007C6130">
        <w:t xml:space="preserve"> obligations under this document and that is beyond the reasonable control of </w:t>
      </w:r>
      <w:r w:rsidR="00127992">
        <w:t>us</w:t>
      </w:r>
      <w:r w:rsidRPr="007C6130">
        <w:t>, including forces of nature, industrial action and action or inaction by a government agency.</w:t>
      </w:r>
    </w:p>
    <w:p w14:paraId="5A35D19D" w14:textId="77777777" w:rsidR="00D10E3E" w:rsidRPr="007C6130" w:rsidRDefault="00D10E3E" w:rsidP="007C6130">
      <w:pPr>
        <w:pStyle w:val="Heading2"/>
        <w:numPr>
          <w:ilvl w:val="0"/>
          <w:numId w:val="0"/>
        </w:numPr>
        <w:ind w:left="1474"/>
        <w:rPr>
          <w:b/>
        </w:rPr>
      </w:pPr>
      <w:r>
        <w:rPr>
          <w:b/>
        </w:rPr>
        <w:t xml:space="preserve">Major Rural Area </w:t>
      </w:r>
      <w:r w:rsidRPr="005D251E">
        <w:t>means an area with a population of 2,500 or more, but less than 10,000.</w:t>
      </w:r>
    </w:p>
    <w:p w14:paraId="5DB75DD6" w14:textId="77777777" w:rsidR="00D10E3E" w:rsidRPr="005D251E" w:rsidRDefault="00D10E3E" w:rsidP="007C6130">
      <w:pPr>
        <w:pStyle w:val="Heading2"/>
        <w:numPr>
          <w:ilvl w:val="0"/>
          <w:numId w:val="0"/>
        </w:numPr>
        <w:ind w:left="1474"/>
      </w:pPr>
      <w:r>
        <w:rPr>
          <w:b/>
        </w:rPr>
        <w:t xml:space="preserve">Minor Rural Area </w:t>
      </w:r>
      <w:r w:rsidRPr="005D251E">
        <w:t>means an area with a population of</w:t>
      </w:r>
      <w:r w:rsidRPr="009F718D">
        <w:t xml:space="preserve"> 200 or more, but less than 2,500 but not within </w:t>
      </w:r>
      <w:r w:rsidR="00127992" w:rsidRPr="00686DBF">
        <w:t>our</w:t>
      </w:r>
      <w:r w:rsidRPr="007C6130">
        <w:t xml:space="preserve"> </w:t>
      </w:r>
      <w:r w:rsidRPr="00686DBF">
        <w:t>Extended Charging Zones</w:t>
      </w:r>
      <w:r w:rsidRPr="005D251E">
        <w:t>.</w:t>
      </w:r>
    </w:p>
    <w:p w14:paraId="5E97B780" w14:textId="77777777" w:rsidR="00040D95" w:rsidRDefault="00040D95" w:rsidP="007C6130">
      <w:pPr>
        <w:pStyle w:val="Heading2"/>
        <w:numPr>
          <w:ilvl w:val="0"/>
          <w:numId w:val="0"/>
        </w:numPr>
        <w:ind w:left="1474"/>
      </w:pPr>
      <w:r>
        <w:rPr>
          <w:b/>
        </w:rPr>
        <w:t xml:space="preserve">Recorded Telstra Commitment Date </w:t>
      </w:r>
      <w:r w:rsidRPr="005D251E">
        <w:t xml:space="preserve">means the agreed date that </w:t>
      </w:r>
      <w:r w:rsidR="00EB6654">
        <w:t>we</w:t>
      </w:r>
      <w:r w:rsidRPr="005D251E">
        <w:t xml:space="preserve"> </w:t>
      </w:r>
      <w:r w:rsidR="00EB6654">
        <w:t>are</w:t>
      </w:r>
      <w:r w:rsidRPr="005D251E">
        <w:t xml:space="preserve"> to provide the selected product or service to </w:t>
      </w:r>
      <w:r w:rsidR="00EB6654">
        <w:t>you</w:t>
      </w:r>
      <w:r w:rsidRPr="005D251E">
        <w:t xml:space="preserve">. </w:t>
      </w:r>
    </w:p>
    <w:p w14:paraId="7D67A4C1" w14:textId="77777777" w:rsidR="00D4087B" w:rsidRPr="005D251E" w:rsidRDefault="00D4087B" w:rsidP="007C6130">
      <w:pPr>
        <w:pStyle w:val="Heading2"/>
        <w:numPr>
          <w:ilvl w:val="0"/>
          <w:numId w:val="0"/>
        </w:numPr>
        <w:ind w:left="1474"/>
      </w:pPr>
      <w:r w:rsidRPr="007C6130">
        <w:rPr>
          <w:b/>
        </w:rPr>
        <w:t xml:space="preserve">Regulatory Event </w:t>
      </w:r>
      <w:r w:rsidRPr="005D251E">
        <w:t>means:</w:t>
      </w:r>
    </w:p>
    <w:p w14:paraId="0C28789A" w14:textId="77777777" w:rsidR="00D4087B" w:rsidRPr="009F718D" w:rsidRDefault="00D4087B" w:rsidP="007C6130">
      <w:pPr>
        <w:numPr>
          <w:ilvl w:val="0"/>
          <w:numId w:val="77"/>
        </w:numPr>
      </w:pPr>
      <w:r w:rsidRPr="009F718D">
        <w:t>a determination by the Australian Competition and Consumer Commission; or</w:t>
      </w:r>
    </w:p>
    <w:p w14:paraId="07A7626C" w14:textId="77777777" w:rsidR="00D4087B" w:rsidRPr="009F718D" w:rsidRDefault="00D4087B" w:rsidP="007C6130">
      <w:pPr>
        <w:numPr>
          <w:ilvl w:val="0"/>
          <w:numId w:val="77"/>
        </w:numPr>
      </w:pPr>
      <w:r w:rsidRPr="009F718D">
        <w:t>a determination by any court of law; or</w:t>
      </w:r>
    </w:p>
    <w:p w14:paraId="3B777EBC" w14:textId="77777777" w:rsidR="00D4087B" w:rsidRPr="007C6130" w:rsidRDefault="00D4087B" w:rsidP="007C6130">
      <w:pPr>
        <w:numPr>
          <w:ilvl w:val="0"/>
          <w:numId w:val="77"/>
        </w:numPr>
        <w:rPr>
          <w:i/>
        </w:rPr>
      </w:pPr>
      <w:r w:rsidRPr="009F718D">
        <w:t xml:space="preserve">an anticipation by </w:t>
      </w:r>
      <w:r w:rsidRPr="00686DBF">
        <w:t xml:space="preserve">us, that, in our reasonable opinion on reasonable grounds acting in good faith, the Telstra Provisioning Commitment or any part of it or any action taken or required to be taken in </w:t>
      </w:r>
      <w:r w:rsidRPr="00686DBF">
        <w:lastRenderedPageBreak/>
        <w:t>accordance with the Telstra Provisioning Commitment contravenes or may contravene any applicable law, including without limita</w:t>
      </w:r>
      <w:r w:rsidRPr="00D97722">
        <w:t>tion the Competition and Consumer Act 2010 (</w:t>
      </w:r>
      <w:proofErr w:type="spellStart"/>
      <w:r w:rsidRPr="005D251E">
        <w:t>C</w:t>
      </w:r>
      <w:r w:rsidRPr="009F718D">
        <w:t>th</w:t>
      </w:r>
      <w:proofErr w:type="spellEnd"/>
      <w:r w:rsidRPr="009F718D">
        <w:t>)</w:t>
      </w:r>
      <w:r w:rsidR="0012412D">
        <w:t>.</w:t>
      </w:r>
    </w:p>
    <w:p w14:paraId="7245C04B" w14:textId="77777777" w:rsidR="0012412D" w:rsidRPr="007C6130" w:rsidRDefault="0012412D" w:rsidP="007C6130">
      <w:pPr>
        <w:ind w:left="2160"/>
        <w:rPr>
          <w:i/>
        </w:rPr>
      </w:pPr>
    </w:p>
    <w:p w14:paraId="78EF00D1" w14:textId="77777777" w:rsidR="00D10E3E" w:rsidRDefault="00D10E3E" w:rsidP="007C6130">
      <w:pPr>
        <w:pStyle w:val="Heading2"/>
        <w:numPr>
          <w:ilvl w:val="0"/>
          <w:numId w:val="0"/>
        </w:numPr>
        <w:ind w:left="1474"/>
        <w:rPr>
          <w:b/>
        </w:rPr>
      </w:pPr>
      <w:r w:rsidRPr="00D10E3E">
        <w:rPr>
          <w:b/>
        </w:rPr>
        <w:t xml:space="preserve">Standard TPC </w:t>
      </w:r>
      <w:r w:rsidRPr="007C6130">
        <w:t xml:space="preserve">is the standard provisioning commitment from </w:t>
      </w:r>
      <w:r>
        <w:t>us</w:t>
      </w:r>
      <w:r w:rsidRPr="007C6130">
        <w:t xml:space="preserve"> to provide the selected service or product to </w:t>
      </w:r>
      <w:r>
        <w:t>you</w:t>
      </w:r>
      <w:r w:rsidRPr="007C6130">
        <w:t xml:space="preserve"> by the Recorded Telstra Commitment Date.  </w:t>
      </w:r>
    </w:p>
    <w:p w14:paraId="03FF50A2" w14:textId="77777777" w:rsidR="00040D95" w:rsidRDefault="00040D95" w:rsidP="007C6130">
      <w:pPr>
        <w:pStyle w:val="Heading2"/>
        <w:numPr>
          <w:ilvl w:val="0"/>
          <w:numId w:val="0"/>
        </w:numPr>
        <w:ind w:left="1474"/>
      </w:pPr>
      <w:r w:rsidRPr="007C6130">
        <w:rPr>
          <w:b/>
        </w:rPr>
        <w:t>Telstra Provisioning Commitments</w:t>
      </w:r>
      <w:r w:rsidRPr="005D251E">
        <w:rPr>
          <w:b/>
          <w:i/>
        </w:rPr>
        <w:t xml:space="preserve"> </w:t>
      </w:r>
      <w:r>
        <w:t xml:space="preserve">or </w:t>
      </w:r>
      <w:r>
        <w:rPr>
          <w:b/>
        </w:rPr>
        <w:t xml:space="preserve">TPC </w:t>
      </w:r>
      <w:r>
        <w:t xml:space="preserve">is a provisioning commitment from </w:t>
      </w:r>
      <w:r w:rsidRPr="007C6130">
        <w:t xml:space="preserve">us </w:t>
      </w:r>
      <w:r w:rsidRPr="005D251E">
        <w:t xml:space="preserve">to provide the selected service or product to you by the </w:t>
      </w:r>
      <w:r w:rsidRPr="007C6130">
        <w:t>Recorded Telstra Commitment Date</w:t>
      </w:r>
      <w:r>
        <w:t>.</w:t>
      </w:r>
    </w:p>
    <w:p w14:paraId="74C51052" w14:textId="7F40CFA5" w:rsidR="000D42F1" w:rsidRDefault="000D42F1" w:rsidP="007C6130">
      <w:pPr>
        <w:pStyle w:val="Heading2"/>
        <w:numPr>
          <w:ilvl w:val="0"/>
          <w:numId w:val="0"/>
        </w:numPr>
        <w:ind w:left="1474"/>
      </w:pPr>
      <w:r w:rsidRPr="007C6130">
        <w:rPr>
          <w:b/>
        </w:rPr>
        <w:t>TPC Rebate</w:t>
      </w:r>
      <w:r w:rsidRPr="000D42F1">
        <w:t xml:space="preserve"> has the meaning given to it in clause </w:t>
      </w:r>
      <w:r w:rsidR="009F718D">
        <w:fldChar w:fldCharType="begin"/>
      </w:r>
      <w:r w:rsidR="009F718D">
        <w:instrText xml:space="preserve"> REF _Ref448757432 \r \h </w:instrText>
      </w:r>
      <w:r w:rsidR="009F718D">
        <w:fldChar w:fldCharType="separate"/>
      </w:r>
      <w:r w:rsidR="00CA259E">
        <w:t>7.20</w:t>
      </w:r>
      <w:r w:rsidR="009F718D">
        <w:fldChar w:fldCharType="end"/>
      </w:r>
      <w:r w:rsidRPr="000D42F1">
        <w:t>.</w:t>
      </w:r>
    </w:p>
    <w:p w14:paraId="470FFFD7" w14:textId="77777777" w:rsidR="00D10E3E" w:rsidRPr="007C6130" w:rsidRDefault="00D10E3E" w:rsidP="007C6130">
      <w:pPr>
        <w:pStyle w:val="Heading2"/>
        <w:numPr>
          <w:ilvl w:val="0"/>
          <w:numId w:val="0"/>
        </w:numPr>
        <w:ind w:left="1474"/>
      </w:pPr>
      <w:r>
        <w:rPr>
          <w:b/>
        </w:rPr>
        <w:t xml:space="preserve">Urban Area </w:t>
      </w:r>
      <w:r>
        <w:t>means an area with a population of 10,000 or more.</w:t>
      </w:r>
    </w:p>
    <w:p w14:paraId="4BD6C43B" w14:textId="77777777" w:rsidR="00040D95" w:rsidRPr="00D5644E" w:rsidRDefault="00040D95" w:rsidP="00040D95">
      <w:pPr>
        <w:pStyle w:val="Heading2"/>
        <w:numPr>
          <w:ilvl w:val="0"/>
          <w:numId w:val="0"/>
        </w:numPr>
        <w:ind w:left="737"/>
        <w:rPr>
          <w:b/>
        </w:rPr>
      </w:pPr>
      <w:r>
        <w:rPr>
          <w:b/>
        </w:rPr>
        <w:t>General description of Telstra’s Standard Provisioning Commitment</w:t>
      </w:r>
    </w:p>
    <w:p w14:paraId="0932DF35" w14:textId="47461D19" w:rsidR="00D33203" w:rsidRDefault="0038678A" w:rsidP="007C6130">
      <w:pPr>
        <w:pStyle w:val="Heading2"/>
      </w:pPr>
      <w:r w:rsidRPr="0038678A">
        <w:t xml:space="preserve">Where any provision of </w:t>
      </w:r>
      <w:r>
        <w:t xml:space="preserve">this clause </w:t>
      </w:r>
      <w:r w:rsidR="009F718D">
        <w:fldChar w:fldCharType="begin"/>
      </w:r>
      <w:r w:rsidR="009F718D">
        <w:instrText xml:space="preserve"> REF _Ref448819193 \r \h </w:instrText>
      </w:r>
      <w:r w:rsidR="009F718D">
        <w:fldChar w:fldCharType="separate"/>
      </w:r>
      <w:r w:rsidR="00CA259E">
        <w:t>7</w:t>
      </w:r>
      <w:r w:rsidR="009F718D">
        <w:fldChar w:fldCharType="end"/>
      </w:r>
      <w:r>
        <w:t xml:space="preserve"> </w:t>
      </w:r>
      <w:r w:rsidRPr="0038678A">
        <w:t xml:space="preserve">specifies the circumstances in which </w:t>
      </w:r>
      <w:r>
        <w:t>we</w:t>
      </w:r>
      <w:r w:rsidRPr="0038678A">
        <w:t xml:space="preserve"> may suspend, limit or cancel the provision of a particular service,</w:t>
      </w:r>
      <w:r w:rsidR="00B157AE">
        <w:t xml:space="preserve"> </w:t>
      </w:r>
      <w:r w:rsidRPr="0038678A">
        <w:t>that provision applies in addition to, and not instead of, the provisions set out in Telstra’s General Terms and Conditions.</w:t>
      </w:r>
    </w:p>
    <w:p w14:paraId="7FA9AA93" w14:textId="6067CDBA" w:rsidR="0038678A" w:rsidRDefault="0038678A" w:rsidP="0038678A">
      <w:pPr>
        <w:pStyle w:val="Heading2"/>
      </w:pPr>
      <w:r>
        <w:t xml:space="preserve">The </w:t>
      </w:r>
      <w:r w:rsidRPr="007C6130">
        <w:t xml:space="preserve">Telstra Provisioning Commitment </w:t>
      </w:r>
      <w:r w:rsidRPr="005D251E">
        <w:t>is a provisioning commitment</w:t>
      </w:r>
      <w:r>
        <w:t xml:space="preserve"> from </w:t>
      </w:r>
      <w:r w:rsidRPr="007C6130">
        <w:t>us</w:t>
      </w:r>
      <w:r>
        <w:rPr>
          <w:i/>
        </w:rPr>
        <w:t xml:space="preserve"> </w:t>
      </w:r>
      <w:r>
        <w:t xml:space="preserve">with standard and enhanced provisioning times for the selected group of services and products as specified in </w:t>
      </w:r>
      <w:r w:rsidR="000D42F1" w:rsidRPr="007C6130">
        <w:t xml:space="preserve">clauses </w:t>
      </w:r>
      <w:r w:rsidR="000D42F1" w:rsidRPr="007C6130">
        <w:fldChar w:fldCharType="begin"/>
      </w:r>
      <w:r w:rsidR="000D42F1" w:rsidRPr="007C6130">
        <w:instrText xml:space="preserve"> REF _Ref448756690 \r \h </w:instrText>
      </w:r>
      <w:r w:rsidR="000D42F1">
        <w:instrText xml:space="preserve"> \* MERGEFORMAT </w:instrText>
      </w:r>
      <w:r w:rsidR="000D42F1" w:rsidRPr="007C6130">
        <w:fldChar w:fldCharType="separate"/>
      </w:r>
      <w:r w:rsidR="00CA259E">
        <w:rPr>
          <w:b/>
          <w:bCs w:val="0"/>
          <w:lang w:val="en-US"/>
        </w:rPr>
        <w:t>Error! Reference source not found.</w:t>
      </w:r>
      <w:r w:rsidR="000D42F1" w:rsidRPr="007C6130">
        <w:fldChar w:fldCharType="end"/>
      </w:r>
      <w:r w:rsidR="000D42F1" w:rsidRPr="007C6130">
        <w:t xml:space="preserve"> to </w:t>
      </w:r>
      <w:r w:rsidR="000D42F1" w:rsidRPr="007C6130">
        <w:fldChar w:fldCharType="begin"/>
      </w:r>
      <w:r w:rsidR="000D42F1" w:rsidRPr="007C6130">
        <w:instrText xml:space="preserve"> REF _Ref448756709 \r \h </w:instrText>
      </w:r>
      <w:r w:rsidR="000D42F1">
        <w:instrText xml:space="preserve"> \* MERGEFORMAT </w:instrText>
      </w:r>
      <w:r w:rsidR="000D42F1" w:rsidRPr="007C6130">
        <w:fldChar w:fldCharType="separate"/>
      </w:r>
      <w:r w:rsidR="00CA259E">
        <w:t>7.18</w:t>
      </w:r>
      <w:r w:rsidR="000D42F1" w:rsidRPr="007C6130">
        <w:fldChar w:fldCharType="end"/>
      </w:r>
      <w:r>
        <w:t xml:space="preserve">.  Subject to </w:t>
      </w:r>
      <w:r w:rsidR="000D42F1" w:rsidRPr="007C6130">
        <w:t xml:space="preserve">clause </w:t>
      </w:r>
      <w:r w:rsidR="000D42F1" w:rsidRPr="007C6130">
        <w:fldChar w:fldCharType="begin"/>
      </w:r>
      <w:r w:rsidR="000D42F1" w:rsidRPr="007C6130">
        <w:instrText xml:space="preserve"> REF _Ref448757002 \r \h </w:instrText>
      </w:r>
      <w:r w:rsidR="000D42F1">
        <w:instrText xml:space="preserve"> \* MERGEFORMAT </w:instrText>
      </w:r>
      <w:r w:rsidR="000D42F1" w:rsidRPr="007C6130">
        <w:fldChar w:fldCharType="separate"/>
      </w:r>
      <w:r w:rsidR="00CA259E">
        <w:t>7.30</w:t>
      </w:r>
      <w:r w:rsidR="000D42F1" w:rsidRPr="007C6130">
        <w:fldChar w:fldCharType="end"/>
      </w:r>
      <w:r>
        <w:t xml:space="preserve">, if </w:t>
      </w:r>
      <w:r w:rsidRPr="007C6130">
        <w:t>we fail</w:t>
      </w:r>
      <w:r>
        <w:rPr>
          <w:i/>
        </w:rPr>
        <w:t xml:space="preserve"> </w:t>
      </w:r>
      <w:r>
        <w:t xml:space="preserve">to provide the selected service or product on the </w:t>
      </w:r>
      <w:r w:rsidRPr="007C6130">
        <w:t>Recorded Telstra Commitment Date</w:t>
      </w:r>
      <w:r>
        <w:t xml:space="preserve">, then </w:t>
      </w:r>
      <w:r w:rsidR="00686DBF">
        <w:t>you are</w:t>
      </w:r>
      <w:r>
        <w:t xml:space="preserve"> eligible to claim a </w:t>
      </w:r>
      <w:r w:rsidRPr="007C6130">
        <w:t xml:space="preserve">TPC Rebate </w:t>
      </w:r>
      <w:r w:rsidRPr="005D251E">
        <w:t xml:space="preserve">from </w:t>
      </w:r>
      <w:r>
        <w:t xml:space="preserve">us.  If </w:t>
      </w:r>
      <w:r w:rsidRPr="007C6130">
        <w:t>we</w:t>
      </w:r>
      <w:r>
        <w:rPr>
          <w:i/>
        </w:rPr>
        <w:t xml:space="preserve"> </w:t>
      </w:r>
      <w:r>
        <w:t xml:space="preserve">determine that the </w:t>
      </w:r>
      <w:r w:rsidRPr="007C6130">
        <w:t>TPC Rebate</w:t>
      </w:r>
      <w:r>
        <w:rPr>
          <w:i/>
        </w:rPr>
        <w:t xml:space="preserve"> </w:t>
      </w:r>
      <w:r>
        <w:t xml:space="preserve">is payable, </w:t>
      </w:r>
      <w:r w:rsidRPr="007C6130">
        <w:t>we</w:t>
      </w:r>
      <w:r>
        <w:rPr>
          <w:i/>
        </w:rPr>
        <w:t xml:space="preserve"> </w:t>
      </w:r>
      <w:r>
        <w:t>will pay to you</w:t>
      </w:r>
      <w:r>
        <w:rPr>
          <w:i/>
        </w:rPr>
        <w:t xml:space="preserve"> </w:t>
      </w:r>
      <w:r>
        <w:t xml:space="preserve">a </w:t>
      </w:r>
      <w:r w:rsidRPr="007C6130">
        <w:t>TPC Rebate</w:t>
      </w:r>
      <w:r>
        <w:rPr>
          <w:i/>
        </w:rPr>
        <w:t xml:space="preserve"> </w:t>
      </w:r>
      <w:r>
        <w:t xml:space="preserve">as calculated in accordance with </w:t>
      </w:r>
      <w:r w:rsidRPr="005D251E">
        <w:t xml:space="preserve">clause </w:t>
      </w:r>
      <w:r w:rsidR="000D42F1" w:rsidRPr="007C6130">
        <w:fldChar w:fldCharType="begin"/>
      </w:r>
      <w:r w:rsidR="000D42F1" w:rsidRPr="007C6130">
        <w:instrText xml:space="preserve"> REF _Ref448757035 \r \h </w:instrText>
      </w:r>
      <w:r w:rsidR="000D42F1">
        <w:instrText xml:space="preserve"> \* MERGEFORMAT </w:instrText>
      </w:r>
      <w:r w:rsidR="000D42F1" w:rsidRPr="007C6130">
        <w:fldChar w:fldCharType="separate"/>
      </w:r>
      <w:r w:rsidR="00CA259E">
        <w:t>7.27</w:t>
      </w:r>
      <w:r w:rsidR="000D42F1" w:rsidRPr="007C6130">
        <w:fldChar w:fldCharType="end"/>
      </w:r>
      <w:r>
        <w:t>.</w:t>
      </w:r>
    </w:p>
    <w:p w14:paraId="2B01BDB1" w14:textId="77777777" w:rsidR="0038678A" w:rsidRPr="009F718D" w:rsidRDefault="0038678A" w:rsidP="0038678A">
      <w:pPr>
        <w:pStyle w:val="Heading2"/>
      </w:pPr>
      <w:r>
        <w:t>T</w:t>
      </w:r>
      <w:r w:rsidRPr="005D251E">
        <w:t>o be eligible for a</w:t>
      </w:r>
      <w:r w:rsidRPr="007C6130">
        <w:t xml:space="preserve"> Telstra Provisioning Commitment</w:t>
      </w:r>
      <w:r w:rsidRPr="005D251E">
        <w:t xml:space="preserve">, </w:t>
      </w:r>
      <w:r>
        <w:t xml:space="preserve">you </w:t>
      </w:r>
      <w:r w:rsidRPr="005D251E">
        <w:t xml:space="preserve">must be </w:t>
      </w:r>
      <w:r w:rsidRPr="009F718D">
        <w:t xml:space="preserve">the </w:t>
      </w:r>
      <w:r w:rsidR="00686DBF">
        <w:t>l</w:t>
      </w:r>
      <w:r w:rsidRPr="00686DBF">
        <w:t xml:space="preserve">egal </w:t>
      </w:r>
      <w:r w:rsidR="00686DBF">
        <w:t>l</w:t>
      </w:r>
      <w:r w:rsidRPr="00686DBF">
        <w:t>essee</w:t>
      </w:r>
      <w:r w:rsidRPr="005D251E">
        <w:t xml:space="preserve"> of a </w:t>
      </w:r>
      <w:r w:rsidRPr="007C6130">
        <w:t xml:space="preserve">Telstra </w:t>
      </w:r>
      <w:r w:rsidRPr="005D251E">
        <w:t>serv</w:t>
      </w:r>
      <w:r w:rsidRPr="009F718D">
        <w:t>ice.</w:t>
      </w:r>
    </w:p>
    <w:p w14:paraId="7CD7058A" w14:textId="6BA5C6AB" w:rsidR="0038678A" w:rsidRDefault="0038678A" w:rsidP="0038678A">
      <w:pPr>
        <w:pStyle w:val="Heading2"/>
        <w:rPr>
          <w:snapToGrid w:val="0"/>
        </w:rPr>
      </w:pPr>
      <w:r>
        <w:t xml:space="preserve">The </w:t>
      </w:r>
      <w:r w:rsidRPr="007C6130">
        <w:t>Telstra Provisioning Commitments</w:t>
      </w:r>
      <w:r>
        <w:rPr>
          <w:i/>
        </w:rPr>
        <w:t xml:space="preserve"> </w:t>
      </w:r>
      <w:r>
        <w:t xml:space="preserve">are only available in relation to the services and products ordered </w:t>
      </w:r>
      <w:r w:rsidRPr="005D251E">
        <w:t xml:space="preserve">by </w:t>
      </w:r>
      <w:r w:rsidR="00ED13ED" w:rsidRPr="009F718D">
        <w:t>you</w:t>
      </w:r>
      <w:r w:rsidRPr="009F718D">
        <w:t xml:space="preserve"> in </w:t>
      </w:r>
      <w:r w:rsidRPr="007C6130">
        <w:t xml:space="preserve">Urban Areas, Minor Rural Areas </w:t>
      </w:r>
      <w:r w:rsidRPr="005D251E">
        <w:t xml:space="preserve">and </w:t>
      </w:r>
      <w:r w:rsidRPr="007C6130">
        <w:t>Major Rural Areas</w:t>
      </w:r>
      <w:r w:rsidRPr="005D251E">
        <w:rPr>
          <w:i/>
        </w:rPr>
        <w:t xml:space="preserve"> </w:t>
      </w:r>
      <w:r w:rsidRPr="009F718D">
        <w:t>as</w:t>
      </w:r>
      <w:r>
        <w:t xml:space="preserve"> set out in </w:t>
      </w:r>
      <w:r w:rsidR="00D10E3E" w:rsidRPr="00D5644E">
        <w:t xml:space="preserve">clauses </w:t>
      </w:r>
      <w:r w:rsidR="00D10E3E" w:rsidRPr="00D5644E">
        <w:fldChar w:fldCharType="begin"/>
      </w:r>
      <w:r w:rsidR="00D10E3E" w:rsidRPr="00D5644E">
        <w:instrText xml:space="preserve"> REF _Ref448756690 \r \h </w:instrText>
      </w:r>
      <w:r w:rsidR="00D10E3E">
        <w:instrText xml:space="preserve"> \* MERGEFORMAT </w:instrText>
      </w:r>
      <w:r w:rsidR="00D10E3E" w:rsidRPr="00D5644E">
        <w:fldChar w:fldCharType="separate"/>
      </w:r>
      <w:r w:rsidR="00CA259E">
        <w:rPr>
          <w:b/>
          <w:bCs w:val="0"/>
          <w:lang w:val="en-US"/>
        </w:rPr>
        <w:t>Error! Reference source not found.</w:t>
      </w:r>
      <w:r w:rsidR="00D10E3E" w:rsidRPr="00D5644E">
        <w:fldChar w:fldCharType="end"/>
      </w:r>
      <w:r w:rsidR="00D10E3E" w:rsidRPr="00D5644E">
        <w:t xml:space="preserve"> to </w:t>
      </w:r>
      <w:r w:rsidR="00D10E3E" w:rsidRPr="00D5644E">
        <w:fldChar w:fldCharType="begin"/>
      </w:r>
      <w:r w:rsidR="00D10E3E" w:rsidRPr="00D5644E">
        <w:instrText xml:space="preserve"> REF _Ref448756709 \r \h </w:instrText>
      </w:r>
      <w:r w:rsidR="00D10E3E">
        <w:instrText xml:space="preserve"> \* MERGEFORMAT </w:instrText>
      </w:r>
      <w:r w:rsidR="00D10E3E" w:rsidRPr="00D5644E">
        <w:fldChar w:fldCharType="separate"/>
      </w:r>
      <w:r w:rsidR="00CA259E">
        <w:t>7.18</w:t>
      </w:r>
      <w:r w:rsidR="00D10E3E" w:rsidRPr="00D5644E">
        <w:fldChar w:fldCharType="end"/>
      </w:r>
      <w:r>
        <w:t xml:space="preserve">.  </w:t>
      </w:r>
    </w:p>
    <w:p w14:paraId="5FFC81F5" w14:textId="77777777" w:rsidR="0038678A" w:rsidRDefault="00127992" w:rsidP="0038678A">
      <w:pPr>
        <w:pStyle w:val="Heading2"/>
      </w:pPr>
      <w:r>
        <w:t>We</w:t>
      </w:r>
      <w:r w:rsidR="0038678A">
        <w:rPr>
          <w:i/>
        </w:rPr>
        <w:t xml:space="preserve"> </w:t>
      </w:r>
      <w:r w:rsidR="0038678A">
        <w:t xml:space="preserve">will </w:t>
      </w:r>
      <w:r w:rsidR="0038678A" w:rsidRPr="005D251E">
        <w:t xml:space="preserve">charge an </w:t>
      </w:r>
      <w:r w:rsidR="0038678A" w:rsidRPr="007C6130">
        <w:t>Enhanced TPC F</w:t>
      </w:r>
      <w:r w:rsidR="0038678A" w:rsidRPr="005D251E">
        <w:t>ee</w:t>
      </w:r>
      <w:r w:rsidR="0038678A" w:rsidRPr="009F718D">
        <w:t xml:space="preserve"> for an </w:t>
      </w:r>
      <w:r w:rsidR="0038678A" w:rsidRPr="007C6130">
        <w:t>Enhanced TPC</w:t>
      </w:r>
      <w:r w:rsidR="0038678A">
        <w:t xml:space="preserve">.  </w:t>
      </w:r>
      <w:r w:rsidR="0038678A" w:rsidRPr="005D251E">
        <w:t xml:space="preserve">The </w:t>
      </w:r>
      <w:r w:rsidR="0038678A" w:rsidRPr="007C6130">
        <w:t>Enhanced TPC Fee</w:t>
      </w:r>
      <w:r w:rsidR="0038678A">
        <w:rPr>
          <w:i/>
        </w:rPr>
        <w:t xml:space="preserve"> </w:t>
      </w:r>
      <w:r w:rsidR="0038678A">
        <w:t>is in addition to the standard first monthly access fee or installation fee as the case may be.</w:t>
      </w:r>
    </w:p>
    <w:p w14:paraId="75127389" w14:textId="77777777" w:rsidR="0038678A" w:rsidRDefault="00ED13ED" w:rsidP="0038678A">
      <w:pPr>
        <w:pStyle w:val="Heading2"/>
      </w:pPr>
      <w:r>
        <w:t>You</w:t>
      </w:r>
      <w:r w:rsidR="0038678A">
        <w:rPr>
          <w:i/>
        </w:rPr>
        <w:t xml:space="preserve"> </w:t>
      </w:r>
      <w:r w:rsidR="0038678A">
        <w:t xml:space="preserve">must formally apply for an </w:t>
      </w:r>
      <w:r w:rsidR="0038678A" w:rsidRPr="007C6130">
        <w:t>Enhanced TPC</w:t>
      </w:r>
      <w:r w:rsidR="0038678A">
        <w:rPr>
          <w:i/>
        </w:rPr>
        <w:t xml:space="preserve"> </w:t>
      </w:r>
      <w:r w:rsidR="0038678A">
        <w:t>offering at the point of sale.</w:t>
      </w:r>
    </w:p>
    <w:p w14:paraId="5FE73F4F" w14:textId="77777777" w:rsidR="0038678A" w:rsidRDefault="00ED13ED" w:rsidP="0038678A">
      <w:pPr>
        <w:pStyle w:val="Heading2"/>
      </w:pPr>
      <w:r>
        <w:t>You</w:t>
      </w:r>
      <w:r w:rsidR="0038678A">
        <w:rPr>
          <w:i/>
        </w:rPr>
        <w:t xml:space="preserve"> </w:t>
      </w:r>
      <w:r w:rsidR="0038678A">
        <w:t xml:space="preserve">must provide </w:t>
      </w:r>
      <w:r w:rsidRPr="007C6130">
        <w:t>us</w:t>
      </w:r>
      <w:r>
        <w:rPr>
          <w:i/>
        </w:rPr>
        <w:t xml:space="preserve"> </w:t>
      </w:r>
      <w:r w:rsidR="0038678A">
        <w:t xml:space="preserve">with access to </w:t>
      </w:r>
      <w:r w:rsidR="009F718D">
        <w:t>your</w:t>
      </w:r>
      <w:r w:rsidR="0038678A">
        <w:t xml:space="preserve"> premises or other necessary assistance in a timeframe which will enable </w:t>
      </w:r>
      <w:r w:rsidRPr="007C6130">
        <w:t>us</w:t>
      </w:r>
      <w:r>
        <w:rPr>
          <w:i/>
        </w:rPr>
        <w:t xml:space="preserve"> </w:t>
      </w:r>
      <w:r w:rsidR="0038678A">
        <w:t xml:space="preserve">to meet the </w:t>
      </w:r>
      <w:r w:rsidR="0038678A" w:rsidRPr="007C6130">
        <w:t>Telstra Provisioning Commitment</w:t>
      </w:r>
      <w:r w:rsidR="0038678A" w:rsidRPr="005D251E">
        <w:t>.</w:t>
      </w:r>
      <w:r w:rsidR="0038678A">
        <w:t xml:space="preserve"> If </w:t>
      </w:r>
      <w:r>
        <w:t>you are</w:t>
      </w:r>
      <w:r w:rsidR="0038678A">
        <w:t xml:space="preserve"> unable to do so, then the time within which </w:t>
      </w:r>
      <w:r w:rsidRPr="007C6130">
        <w:t>we</w:t>
      </w:r>
      <w:r>
        <w:rPr>
          <w:i/>
        </w:rPr>
        <w:t xml:space="preserve"> </w:t>
      </w:r>
      <w:r w:rsidR="0038678A">
        <w:t xml:space="preserve">must provide the </w:t>
      </w:r>
      <w:r w:rsidR="0038678A" w:rsidRPr="007C6130">
        <w:t>Telstra Provisioning Commitment</w:t>
      </w:r>
      <w:r w:rsidR="0038678A">
        <w:rPr>
          <w:i/>
        </w:rPr>
        <w:t xml:space="preserve"> </w:t>
      </w:r>
      <w:r w:rsidR="0038678A">
        <w:t xml:space="preserve">will be extended by the amount of time that elapses before </w:t>
      </w:r>
      <w:r>
        <w:t xml:space="preserve">you are </w:t>
      </w:r>
      <w:r w:rsidR="0038678A">
        <w:t>able to provide the necessary assistance or access.</w:t>
      </w:r>
    </w:p>
    <w:p w14:paraId="4574B34F" w14:textId="2DC1A268" w:rsidR="0038678A" w:rsidRDefault="0038678A" w:rsidP="007C6130">
      <w:pPr>
        <w:pStyle w:val="Heading2"/>
      </w:pPr>
      <w:r>
        <w:t xml:space="preserve">If </w:t>
      </w:r>
      <w:r w:rsidR="00ED13ED">
        <w:t>you</w:t>
      </w:r>
      <w:r w:rsidRPr="005D251E">
        <w:rPr>
          <w:i/>
        </w:rPr>
        <w:t xml:space="preserve"> </w:t>
      </w:r>
      <w:r>
        <w:t xml:space="preserve">is not satisfied that </w:t>
      </w:r>
      <w:r w:rsidR="00ED13ED" w:rsidRPr="007C6130">
        <w:t>we</w:t>
      </w:r>
      <w:r w:rsidR="00ED13ED">
        <w:rPr>
          <w:i/>
        </w:rPr>
        <w:t xml:space="preserve"> </w:t>
      </w:r>
      <w:r>
        <w:t xml:space="preserve">provided the service or product within the </w:t>
      </w:r>
      <w:r w:rsidRPr="007C6130">
        <w:t>Recorded Telstra Commitment Date</w:t>
      </w:r>
      <w:r w:rsidRPr="005D251E">
        <w:rPr>
          <w:i/>
        </w:rPr>
        <w:t xml:space="preserve"> </w:t>
      </w:r>
      <w:r>
        <w:t xml:space="preserve">or such other time as agreed with </w:t>
      </w:r>
      <w:r w:rsidR="00ED13ED">
        <w:t>you</w:t>
      </w:r>
      <w:r>
        <w:t xml:space="preserve">, </w:t>
      </w:r>
      <w:r w:rsidR="00ED13ED">
        <w:t xml:space="preserve">you </w:t>
      </w:r>
      <w:r>
        <w:t xml:space="preserve">may be eligible to claim a </w:t>
      </w:r>
      <w:r w:rsidRPr="007C6130">
        <w:t>TPC Rebate</w:t>
      </w:r>
      <w:r w:rsidRPr="005D251E">
        <w:rPr>
          <w:i/>
        </w:rPr>
        <w:t xml:space="preserve"> </w:t>
      </w:r>
      <w:r>
        <w:t xml:space="preserve">from </w:t>
      </w:r>
      <w:r w:rsidR="00ED13ED" w:rsidRPr="007C6130">
        <w:t>us</w:t>
      </w:r>
      <w:r w:rsidR="00ED13ED">
        <w:rPr>
          <w:i/>
        </w:rPr>
        <w:t xml:space="preserve"> </w:t>
      </w:r>
      <w:r>
        <w:t xml:space="preserve">in accordance with </w:t>
      </w:r>
      <w:r w:rsidRPr="005D251E">
        <w:t>clause</w:t>
      </w:r>
      <w:r w:rsidR="003E2AB5">
        <w:t>s</w:t>
      </w:r>
      <w:r w:rsidRPr="005D251E">
        <w:t xml:space="preserve"> </w:t>
      </w:r>
      <w:r w:rsidR="003E2AB5" w:rsidRPr="007C6130">
        <w:fldChar w:fldCharType="begin"/>
      </w:r>
      <w:r w:rsidR="003E2AB5" w:rsidRPr="007C6130">
        <w:instrText xml:space="preserve"> REF _Ref448757432 \r \h </w:instrText>
      </w:r>
      <w:r w:rsidR="003E2AB5">
        <w:instrText xml:space="preserve"> \* MERGEFORMAT </w:instrText>
      </w:r>
      <w:r w:rsidR="003E2AB5" w:rsidRPr="007C6130">
        <w:fldChar w:fldCharType="separate"/>
      </w:r>
      <w:r w:rsidR="00CA259E">
        <w:t>7.20</w:t>
      </w:r>
      <w:r w:rsidR="003E2AB5" w:rsidRPr="007C6130">
        <w:fldChar w:fldCharType="end"/>
      </w:r>
      <w:r w:rsidR="003E2AB5" w:rsidRPr="007C6130">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rsidRPr="005D251E">
        <w:rPr>
          <w:i/>
        </w:rPr>
        <w:t>.</w:t>
      </w:r>
      <w:r>
        <w:t xml:space="preserve"> The </w:t>
      </w:r>
      <w:r>
        <w:lastRenderedPageBreak/>
        <w:t xml:space="preserve">types of </w:t>
      </w:r>
      <w:r w:rsidRPr="007C6130">
        <w:t>TPC Rebates</w:t>
      </w:r>
      <w:r w:rsidRPr="005D251E">
        <w:rPr>
          <w:i/>
        </w:rPr>
        <w:t xml:space="preserve"> </w:t>
      </w:r>
      <w:r>
        <w:t>available</w:t>
      </w:r>
      <w:r w:rsidRPr="005D251E">
        <w:rPr>
          <w:i/>
        </w:rPr>
        <w:t xml:space="preserve"> </w:t>
      </w:r>
      <w:r>
        <w:t xml:space="preserve">and conditions which apply to them, are set out in </w:t>
      </w:r>
      <w:r w:rsidR="003E2AB5" w:rsidRPr="00D5644E">
        <w:t>clause</w:t>
      </w:r>
      <w:r w:rsidR="003E2AB5">
        <w:t>s</w:t>
      </w:r>
      <w:r w:rsidR="003E2AB5" w:rsidRPr="00D5644E">
        <w:t xml:space="preserve"> </w:t>
      </w:r>
      <w:r w:rsidR="003E2AB5" w:rsidRPr="00D5644E">
        <w:fldChar w:fldCharType="begin"/>
      </w:r>
      <w:r w:rsidR="003E2AB5" w:rsidRPr="00D5644E">
        <w:instrText xml:space="preserve"> REF _Ref448757432 \r \h </w:instrText>
      </w:r>
      <w:r w:rsidR="003E2AB5">
        <w:instrText xml:space="preserve"> \* MERGEFORMAT </w:instrText>
      </w:r>
      <w:r w:rsidR="003E2AB5" w:rsidRPr="00D5644E">
        <w:fldChar w:fldCharType="separate"/>
      </w:r>
      <w:r w:rsidR="00CA259E">
        <w:t>7.20</w:t>
      </w:r>
      <w:r w:rsidR="003E2AB5" w:rsidRPr="00D5644E">
        <w:fldChar w:fldCharType="end"/>
      </w:r>
      <w:r w:rsidR="003E2AB5" w:rsidRPr="00D5644E">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t>.</w:t>
      </w:r>
    </w:p>
    <w:p w14:paraId="290FAFF9" w14:textId="77777777" w:rsidR="0038678A" w:rsidRDefault="00ED13ED" w:rsidP="0038678A">
      <w:pPr>
        <w:pStyle w:val="Heading2"/>
      </w:pPr>
      <w:r>
        <w:t>You are</w:t>
      </w:r>
      <w:r w:rsidR="0038678A">
        <w:t xml:space="preserve"> only entitled to one TPC Rebate per affected service.</w:t>
      </w:r>
    </w:p>
    <w:p w14:paraId="59DEA7DE" w14:textId="77777777" w:rsidR="0038678A" w:rsidRDefault="00ED13ED" w:rsidP="007C6130">
      <w:pPr>
        <w:pStyle w:val="Heading2"/>
        <w:numPr>
          <w:ilvl w:val="0"/>
          <w:numId w:val="0"/>
        </w:numPr>
        <w:ind w:left="737"/>
        <w:rPr>
          <w:b/>
        </w:rPr>
      </w:pPr>
      <w:r>
        <w:rPr>
          <w:b/>
        </w:rPr>
        <w:t>Recorded Telstra Commitment Date</w:t>
      </w:r>
    </w:p>
    <w:p w14:paraId="4DDAC345" w14:textId="52A57F33" w:rsidR="00ED13ED" w:rsidRDefault="00ED13ED" w:rsidP="00ED13ED">
      <w:pPr>
        <w:pStyle w:val="Heading2"/>
      </w:pPr>
      <w:r>
        <w:t>A</w:t>
      </w:r>
      <w:r w:rsidRPr="005D251E">
        <w:t xml:space="preserve">t the time of ordering the service(s) set out </w:t>
      </w:r>
      <w:r w:rsidRPr="009F718D">
        <w:t xml:space="preserve">in clauses </w:t>
      </w:r>
      <w:r w:rsidR="003E2AB5" w:rsidRPr="009F718D">
        <w:fldChar w:fldCharType="begin"/>
      </w:r>
      <w:r w:rsidR="003E2AB5" w:rsidRPr="007C6130">
        <w:instrText xml:space="preserve"> REF _Ref448756690 \r \h  \* MERGEFORMAT </w:instrText>
      </w:r>
      <w:r w:rsidR="003E2AB5" w:rsidRPr="009F718D">
        <w:fldChar w:fldCharType="separate"/>
      </w:r>
      <w:r w:rsidR="00CA259E">
        <w:rPr>
          <w:b/>
          <w:bCs w:val="0"/>
          <w:lang w:val="en-US"/>
        </w:rPr>
        <w:t>Error! Reference source not found.</w:t>
      </w:r>
      <w:r w:rsidR="003E2AB5" w:rsidRPr="009F718D">
        <w:fldChar w:fldCharType="end"/>
      </w:r>
      <w:r w:rsidR="003E2AB5" w:rsidRPr="00686DBF">
        <w:t xml:space="preserve"> to </w:t>
      </w:r>
      <w:r w:rsidR="003E2AB5" w:rsidRPr="00686DBF">
        <w:fldChar w:fldCharType="begin"/>
      </w:r>
      <w:r w:rsidR="003E2AB5" w:rsidRPr="007C6130">
        <w:instrText xml:space="preserve"> REF _Ref448757490 \r \h </w:instrText>
      </w:r>
      <w:r w:rsidR="003E2AB5">
        <w:instrText xml:space="preserve"> \* MERGEFORMAT </w:instrText>
      </w:r>
      <w:r w:rsidR="003E2AB5" w:rsidRPr="00686DBF">
        <w:fldChar w:fldCharType="separate"/>
      </w:r>
      <w:r w:rsidR="00CA259E">
        <w:t>7.19</w:t>
      </w:r>
      <w:r w:rsidR="003E2AB5" w:rsidRPr="00686DBF">
        <w:fldChar w:fldCharType="end"/>
      </w:r>
      <w:r w:rsidRPr="00686DBF">
        <w:t xml:space="preserve">, </w:t>
      </w:r>
      <w:r w:rsidRPr="007C6130">
        <w:t>we</w:t>
      </w:r>
      <w:r w:rsidRPr="005D251E">
        <w:t xml:space="preserve"> will provide you with a </w:t>
      </w:r>
      <w:r w:rsidRPr="007C6130">
        <w:t>Recorded Telstra Commitment Date</w:t>
      </w:r>
      <w:r>
        <w:t>.</w:t>
      </w:r>
    </w:p>
    <w:p w14:paraId="5C81FCD1" w14:textId="77777777" w:rsidR="00ED13ED" w:rsidRDefault="00ED13ED" w:rsidP="00ED13ED">
      <w:pPr>
        <w:pStyle w:val="Heading2"/>
      </w:pPr>
      <w:r>
        <w:t>Provisioning occurs when the service is in full working order.  Provisioning includes providing the service temporarily, which is performed to enable use of the service before permanent working order is affected.</w:t>
      </w:r>
    </w:p>
    <w:p w14:paraId="01CCB419" w14:textId="52BD44BF" w:rsidR="00ED13ED" w:rsidRDefault="00ED13ED" w:rsidP="00ED13ED">
      <w:pPr>
        <w:pStyle w:val="Heading2"/>
      </w:pPr>
      <w:r>
        <w:t xml:space="preserve">Subject to </w:t>
      </w:r>
      <w:r w:rsidRPr="005D251E">
        <w:t>clause</w:t>
      </w:r>
      <w:r w:rsidR="003E2AB5">
        <w:t xml:space="preserve"> </w:t>
      </w:r>
      <w:r w:rsidR="003E2AB5" w:rsidRPr="00D5644E">
        <w:fldChar w:fldCharType="begin"/>
      </w:r>
      <w:r w:rsidR="003E2AB5" w:rsidRPr="00D5644E">
        <w:instrText xml:space="preserve"> REF _Ref448757002 \r \h </w:instrText>
      </w:r>
      <w:r w:rsidR="003E2AB5">
        <w:instrText xml:space="preserve"> \* MERGEFORMAT </w:instrText>
      </w:r>
      <w:r w:rsidR="003E2AB5" w:rsidRPr="00D5644E">
        <w:fldChar w:fldCharType="separate"/>
      </w:r>
      <w:r w:rsidR="00CA259E">
        <w:t>7.30</w:t>
      </w:r>
      <w:r w:rsidR="003E2AB5" w:rsidRPr="00D5644E">
        <w:fldChar w:fldCharType="end"/>
      </w:r>
      <w:r>
        <w:t xml:space="preserve">, </w:t>
      </w:r>
      <w:r w:rsidRPr="007C6130">
        <w:t>our</w:t>
      </w:r>
      <w:r>
        <w:rPr>
          <w:i/>
        </w:rPr>
        <w:t xml:space="preserve"> </w:t>
      </w:r>
      <w:r>
        <w:t>failure to meet the</w:t>
      </w:r>
      <w:r w:rsidRPr="005D251E">
        <w:t xml:space="preserve"> </w:t>
      </w:r>
      <w:r w:rsidRPr="007C6130">
        <w:t xml:space="preserve">Recorded Telstra Commitment Date </w:t>
      </w:r>
      <w:r w:rsidRPr="005D251E">
        <w:t>shall</w:t>
      </w:r>
      <w:r>
        <w:t xml:space="preserve"> apply only to difficulties determined by </w:t>
      </w:r>
      <w:r w:rsidRPr="007C6130">
        <w:t>us</w:t>
      </w:r>
      <w:r>
        <w:rPr>
          <w:i/>
        </w:rPr>
        <w:t xml:space="preserve"> </w:t>
      </w:r>
      <w:r>
        <w:t xml:space="preserve">to be within </w:t>
      </w:r>
      <w:r w:rsidRPr="007C6130">
        <w:t>our</w:t>
      </w:r>
      <w:r>
        <w:rPr>
          <w:i/>
        </w:rPr>
        <w:t xml:space="preserve"> </w:t>
      </w:r>
      <w:r>
        <w:t>responsibilities.</w:t>
      </w:r>
    </w:p>
    <w:p w14:paraId="2525D237" w14:textId="77777777" w:rsidR="00ED13ED" w:rsidRPr="007C6130" w:rsidRDefault="00ED13ED" w:rsidP="007C6130">
      <w:pPr>
        <w:pStyle w:val="Heading2"/>
        <w:numPr>
          <w:ilvl w:val="0"/>
          <w:numId w:val="0"/>
        </w:numPr>
        <w:ind w:left="737"/>
        <w:rPr>
          <w:b/>
        </w:rPr>
      </w:pPr>
      <w:r w:rsidRPr="007C6130">
        <w:rPr>
          <w:b/>
        </w:rPr>
        <w:t xml:space="preserve">Telstra products and </w:t>
      </w:r>
      <w:r w:rsidRPr="005D251E">
        <w:rPr>
          <w:b/>
        </w:rPr>
        <w:t>Telstra Provisioning Commitm</w:t>
      </w:r>
      <w:r w:rsidRPr="009F718D">
        <w:rPr>
          <w:b/>
        </w:rPr>
        <w:t xml:space="preserve">ent </w:t>
      </w:r>
      <w:r w:rsidRPr="007C6130">
        <w:rPr>
          <w:b/>
        </w:rPr>
        <w:t>levels</w:t>
      </w:r>
    </w:p>
    <w:p w14:paraId="10BE1C63" w14:textId="77777777" w:rsidR="00ED13ED" w:rsidRPr="007C6130" w:rsidRDefault="00ED13ED" w:rsidP="00ED13ED">
      <w:pPr>
        <w:pStyle w:val="Heading2"/>
      </w:pPr>
      <w:r w:rsidRPr="007C6130">
        <w:t xml:space="preserve">Telstra </w:t>
      </w:r>
      <w:r w:rsidR="002C0F97" w:rsidRPr="007C6130">
        <w:t xml:space="preserve">ISDN </w:t>
      </w:r>
      <w:r w:rsidRPr="007C6130">
        <w:t>10/20/30</w:t>
      </w:r>
      <w:r w:rsidR="00046413" w:rsidRPr="005D251E">
        <w:t xml:space="preserve"> </w:t>
      </w:r>
      <w:r w:rsidRPr="007C6130">
        <w:t>provisioning commitment</w:t>
      </w:r>
    </w:p>
    <w:p w14:paraId="6853AD59" w14:textId="77777777" w:rsidR="00ED13ED" w:rsidRPr="005D251E" w:rsidRDefault="00ED13ED" w:rsidP="007C6130">
      <w:pPr>
        <w:pStyle w:val="Heading3"/>
      </w:pPr>
      <w:r w:rsidRPr="005D251E">
        <w:t xml:space="preserve">A description of </w:t>
      </w:r>
      <w:r w:rsidR="00127992">
        <w:t xml:space="preserve">our </w:t>
      </w:r>
      <w:r w:rsidRPr="007C6130">
        <w:t>ISDN 10/20/30</w:t>
      </w:r>
      <w:r w:rsidRPr="005D251E">
        <w:t xml:space="preserve"> services are provid</w:t>
      </w:r>
      <w:r w:rsidRPr="009F718D">
        <w:t xml:space="preserve">ed in the </w:t>
      </w:r>
      <w:r w:rsidRPr="007C6130">
        <w:t>ISDN</w:t>
      </w:r>
      <w:r w:rsidRPr="005D251E">
        <w:t xml:space="preserve"> section of Our Customer Terms.</w:t>
      </w:r>
    </w:p>
    <w:p w14:paraId="6D2E0FB0" w14:textId="77777777" w:rsidR="00ED13ED" w:rsidRPr="005D251E" w:rsidRDefault="00ED13ED" w:rsidP="007C6130">
      <w:pPr>
        <w:pStyle w:val="Heading3"/>
      </w:pPr>
      <w:r w:rsidRPr="009F718D">
        <w:t xml:space="preserve">The Standard Telstra Provisioning Commitment for </w:t>
      </w:r>
      <w:r w:rsidRPr="007C6130">
        <w:t xml:space="preserve">Telstra ISDN 10/20/30 </w:t>
      </w:r>
      <w:r w:rsidRPr="005D251E">
        <w:t>service for wideband basic:</w:t>
      </w:r>
    </w:p>
    <w:p w14:paraId="1B1CC368" w14:textId="77777777" w:rsidR="00ED13ED" w:rsidRPr="005D251E" w:rsidRDefault="00ED13ED" w:rsidP="007C6130">
      <w:pPr>
        <w:pStyle w:val="Heading4"/>
      </w:pPr>
      <w:r w:rsidRPr="009F718D">
        <w:t xml:space="preserve">in an Urban Area is 9 </w:t>
      </w:r>
      <w:r w:rsidRPr="007C6130">
        <w:t>Business Days</w:t>
      </w:r>
      <w:r w:rsidRPr="005D251E">
        <w:t>; and</w:t>
      </w:r>
    </w:p>
    <w:p w14:paraId="398138FC" w14:textId="77777777" w:rsidR="00ED13ED" w:rsidRPr="005D251E" w:rsidRDefault="00ED13ED" w:rsidP="007C6130">
      <w:pPr>
        <w:pStyle w:val="Heading4"/>
      </w:pPr>
      <w:r w:rsidRPr="009F718D">
        <w:t xml:space="preserve">in Minor and Major Rural Area is 19 </w:t>
      </w:r>
      <w:r w:rsidRPr="007C6130">
        <w:t>Business Days</w:t>
      </w:r>
    </w:p>
    <w:p w14:paraId="2D73EAF9" w14:textId="77777777" w:rsidR="00ED13ED" w:rsidRPr="005D251E" w:rsidRDefault="00ED13ED" w:rsidP="007C6130">
      <w:pPr>
        <w:pStyle w:val="Heading3"/>
      </w:pPr>
      <w:r w:rsidRPr="009F718D">
        <w:t xml:space="preserve">The Enhanced Telstra Provisioning Commitment for </w:t>
      </w:r>
      <w:r w:rsidRPr="007C6130">
        <w:t xml:space="preserve">Telstra ISDN 10/20/30 </w:t>
      </w:r>
      <w:r w:rsidRPr="005D251E">
        <w:t>service for wideband basic:</w:t>
      </w:r>
    </w:p>
    <w:p w14:paraId="530A1A9D" w14:textId="77777777" w:rsidR="00ED13ED" w:rsidRPr="005D251E" w:rsidRDefault="00ED13ED" w:rsidP="007C6130">
      <w:pPr>
        <w:pStyle w:val="Heading4"/>
      </w:pPr>
      <w:r w:rsidRPr="005D251E">
        <w:t xml:space="preserve">in an Urban Area is 5 to 8 Business Days; and </w:t>
      </w:r>
    </w:p>
    <w:p w14:paraId="45ABCFCD" w14:textId="77777777" w:rsidR="00ED13ED" w:rsidRPr="009F718D" w:rsidRDefault="00ED13ED" w:rsidP="007C6130">
      <w:pPr>
        <w:pStyle w:val="Heading4"/>
      </w:pPr>
      <w:r w:rsidRPr="009F718D">
        <w:t>in Minor and Major Rural Area is 13 to 18 Business Days.</w:t>
      </w:r>
    </w:p>
    <w:p w14:paraId="6B4FD259" w14:textId="657031D3" w:rsidR="00ED13ED" w:rsidRPr="005D251E" w:rsidRDefault="00ED13ED" w:rsidP="007C6130">
      <w:pPr>
        <w:pStyle w:val="Heading3"/>
      </w:pPr>
      <w:r w:rsidRPr="009F718D">
        <w:t xml:space="preserve">The types of </w:t>
      </w:r>
      <w:r w:rsidRPr="007C6130">
        <w:t xml:space="preserve">TPC Rebates </w:t>
      </w:r>
      <w:r w:rsidRPr="005D251E">
        <w:t>available</w:t>
      </w:r>
      <w:r w:rsidRPr="007C6130">
        <w:t xml:space="preserve"> </w:t>
      </w:r>
      <w:r w:rsidRPr="005D251E">
        <w:t>and conditions which apply to them are</w:t>
      </w:r>
      <w:r w:rsidRPr="009F718D">
        <w:t xml:space="preserve"> set out in </w:t>
      </w:r>
      <w:r w:rsidR="00BB37DC" w:rsidRPr="00D5644E">
        <w:t>clause</w:t>
      </w:r>
      <w:r w:rsidR="00BB37DC">
        <w:t>s</w:t>
      </w:r>
      <w:r w:rsidR="00BB37DC" w:rsidRPr="00D5644E">
        <w:t xml:space="preserve"> </w:t>
      </w:r>
      <w:r w:rsidR="00BB37DC" w:rsidRPr="00D5644E">
        <w:fldChar w:fldCharType="begin"/>
      </w:r>
      <w:r w:rsidR="00BB37DC" w:rsidRPr="00D5644E">
        <w:instrText xml:space="preserve"> REF _Ref448757432 \r \h </w:instrText>
      </w:r>
      <w:r w:rsidR="00BB37DC">
        <w:instrText xml:space="preserve"> \* MERGEFORMAT </w:instrText>
      </w:r>
      <w:r w:rsidR="00BB37DC" w:rsidRPr="00D5644E">
        <w:fldChar w:fldCharType="separate"/>
      </w:r>
      <w:r w:rsidR="00CA259E">
        <w:t>7.20</w:t>
      </w:r>
      <w:r w:rsidR="00BB37DC" w:rsidRPr="00D5644E">
        <w:fldChar w:fldCharType="end"/>
      </w:r>
      <w:r w:rsidR="00BB37DC" w:rsidRPr="00D5644E">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rsidRPr="005D251E">
        <w:t>.</w:t>
      </w:r>
    </w:p>
    <w:p w14:paraId="7045893B" w14:textId="77777777" w:rsidR="00ED13ED" w:rsidRPr="007C6130" w:rsidRDefault="00ED13ED" w:rsidP="00ED13ED">
      <w:pPr>
        <w:pStyle w:val="Heading2"/>
      </w:pPr>
      <w:r w:rsidRPr="007C6130">
        <w:t xml:space="preserve">IP WAN </w:t>
      </w:r>
      <w:r w:rsidR="00BB37DC" w:rsidRPr="005D251E">
        <w:t>provisioning commitment</w:t>
      </w:r>
    </w:p>
    <w:p w14:paraId="36AE81AA" w14:textId="77777777" w:rsidR="00ED13ED" w:rsidRPr="005D251E" w:rsidRDefault="00ED13ED" w:rsidP="007C6130">
      <w:pPr>
        <w:pStyle w:val="Heading3"/>
      </w:pPr>
      <w:r w:rsidRPr="005D251E">
        <w:t xml:space="preserve">A description of </w:t>
      </w:r>
      <w:r w:rsidRPr="007C6130">
        <w:t>IP WAN</w:t>
      </w:r>
      <w:r w:rsidRPr="005D251E">
        <w:t xml:space="preserve"> (“</w:t>
      </w:r>
      <w:r w:rsidRPr="007C6130">
        <w:rPr>
          <w:b/>
        </w:rPr>
        <w:t>IP WAN</w:t>
      </w:r>
      <w:r w:rsidRPr="005D251E">
        <w:t>”) is provided in the Telstra IP Solutions section of Our Customer Terms.</w:t>
      </w:r>
    </w:p>
    <w:p w14:paraId="5FB11984" w14:textId="77777777" w:rsidR="00ED13ED" w:rsidRPr="009F718D" w:rsidRDefault="00ED13ED" w:rsidP="007C6130">
      <w:pPr>
        <w:pStyle w:val="Heading3"/>
        <w:rPr>
          <w:b/>
        </w:rPr>
      </w:pPr>
      <w:r w:rsidRPr="009F718D">
        <w:t xml:space="preserve">The Standard Telstra Provisioning Commitment for </w:t>
      </w:r>
      <w:r w:rsidRPr="007C6130">
        <w:t>IP WAN</w:t>
      </w:r>
      <w:r w:rsidRPr="005D251E">
        <w:t>:</w:t>
      </w:r>
    </w:p>
    <w:p w14:paraId="282CD717" w14:textId="77777777" w:rsidR="00ED13ED" w:rsidRPr="009F718D" w:rsidRDefault="00ED13ED" w:rsidP="007C6130">
      <w:pPr>
        <w:pStyle w:val="Heading4"/>
      </w:pPr>
      <w:r w:rsidRPr="009F718D">
        <w:t>in an Urban Area:</w:t>
      </w:r>
    </w:p>
    <w:p w14:paraId="5B4443AD" w14:textId="77777777" w:rsidR="00ED13ED" w:rsidRPr="005D251E" w:rsidRDefault="00ED13ED" w:rsidP="007C6130">
      <w:pPr>
        <w:pStyle w:val="Heading5"/>
      </w:pPr>
      <w:r w:rsidRPr="009F718D">
        <w:t xml:space="preserve">for a new connection or special service on behalf of the Customer is 20 </w:t>
      </w:r>
      <w:r w:rsidRPr="007C6130">
        <w:t xml:space="preserve">Business </w:t>
      </w:r>
      <w:proofErr w:type="gramStart"/>
      <w:r w:rsidRPr="007C6130">
        <w:t>Days</w:t>
      </w:r>
      <w:r w:rsidRPr="005D251E">
        <w:t>;</w:t>
      </w:r>
      <w:proofErr w:type="gramEnd"/>
    </w:p>
    <w:p w14:paraId="64E53822" w14:textId="77777777" w:rsidR="00ED13ED" w:rsidRPr="005D251E" w:rsidRDefault="00ED13ED" w:rsidP="007C6130">
      <w:pPr>
        <w:pStyle w:val="Heading5"/>
      </w:pPr>
      <w:r w:rsidRPr="009F718D">
        <w:lastRenderedPageBreak/>
        <w:t xml:space="preserve">for an upgrade which provides connection for a </w:t>
      </w:r>
      <w:proofErr w:type="gramStart"/>
      <w:r w:rsidRPr="009F718D">
        <w:t>Customer</w:t>
      </w:r>
      <w:proofErr w:type="gramEnd"/>
      <w:r w:rsidRPr="009F718D">
        <w:t xml:space="preserve"> usually to increase speed of service is 20 </w:t>
      </w:r>
      <w:r w:rsidRPr="007C6130">
        <w:t xml:space="preserve">Business </w:t>
      </w:r>
      <w:proofErr w:type="gramStart"/>
      <w:r w:rsidRPr="007C6130">
        <w:t>Days</w:t>
      </w:r>
      <w:r w:rsidRPr="005D251E">
        <w:t>;</w:t>
      </w:r>
      <w:proofErr w:type="gramEnd"/>
    </w:p>
    <w:p w14:paraId="48A76CF5" w14:textId="77777777" w:rsidR="00ED13ED" w:rsidRPr="009F718D" w:rsidRDefault="00ED13ED" w:rsidP="007C6130">
      <w:pPr>
        <w:pStyle w:val="Heading5"/>
      </w:pPr>
      <w:r w:rsidRPr="009F718D">
        <w:t xml:space="preserve">for an external removal of a service to a new address is 30 </w:t>
      </w:r>
      <w:r w:rsidRPr="007C6130">
        <w:t>Business Days</w:t>
      </w:r>
      <w:r w:rsidRPr="005D251E">
        <w:t>; a</w:t>
      </w:r>
      <w:r w:rsidRPr="009F718D">
        <w:t>nd</w:t>
      </w:r>
    </w:p>
    <w:p w14:paraId="5A0BCF77" w14:textId="77777777" w:rsidR="00ED13ED" w:rsidRPr="005D251E" w:rsidRDefault="00ED13ED" w:rsidP="007C6130">
      <w:pPr>
        <w:pStyle w:val="Heading5"/>
      </w:pPr>
      <w:r w:rsidRPr="009F718D">
        <w:t xml:space="preserve">for an indoor removal of a service/equipment within the same building/dwelling is 12 </w:t>
      </w:r>
      <w:r w:rsidRPr="007C6130">
        <w:t>Business Days</w:t>
      </w:r>
      <w:r w:rsidRPr="005D251E">
        <w:t>.</w:t>
      </w:r>
    </w:p>
    <w:p w14:paraId="1222E79E" w14:textId="77777777" w:rsidR="00ED13ED" w:rsidRPr="009F718D" w:rsidRDefault="00ED13ED" w:rsidP="007C6130">
      <w:pPr>
        <w:pStyle w:val="Heading4"/>
      </w:pPr>
      <w:r w:rsidRPr="009F718D">
        <w:t>in Minor and Major Rural Area is not available.</w:t>
      </w:r>
    </w:p>
    <w:p w14:paraId="601C54A4" w14:textId="570E057A" w:rsidR="00ED13ED" w:rsidRPr="005D251E" w:rsidRDefault="00ED13ED" w:rsidP="007C6130">
      <w:pPr>
        <w:pStyle w:val="Heading3"/>
      </w:pPr>
      <w:r w:rsidRPr="009F718D">
        <w:t xml:space="preserve">The types of TPC Rebates available and conditions which apply to them are set out in </w:t>
      </w:r>
      <w:r w:rsidR="00BB37DC" w:rsidRPr="00D5644E">
        <w:t>clause</w:t>
      </w:r>
      <w:r w:rsidR="00BB37DC">
        <w:t>s</w:t>
      </w:r>
      <w:r w:rsidR="00BB37DC" w:rsidRPr="00D5644E">
        <w:t xml:space="preserve"> </w:t>
      </w:r>
      <w:r w:rsidR="00BB37DC" w:rsidRPr="00D5644E">
        <w:fldChar w:fldCharType="begin"/>
      </w:r>
      <w:r w:rsidR="00BB37DC" w:rsidRPr="00D5644E">
        <w:instrText xml:space="preserve"> REF _Ref448757432 \r \h </w:instrText>
      </w:r>
      <w:r w:rsidR="00BB37DC">
        <w:instrText xml:space="preserve"> \* MERGEFORMAT </w:instrText>
      </w:r>
      <w:r w:rsidR="00BB37DC" w:rsidRPr="00D5644E">
        <w:fldChar w:fldCharType="separate"/>
      </w:r>
      <w:r w:rsidR="00CA259E">
        <w:t>7.20</w:t>
      </w:r>
      <w:r w:rsidR="00BB37DC" w:rsidRPr="00D5644E">
        <w:fldChar w:fldCharType="end"/>
      </w:r>
      <w:r w:rsidR="00BB37DC" w:rsidRPr="00D5644E">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rsidRPr="005D251E">
        <w:t>.</w:t>
      </w:r>
    </w:p>
    <w:p w14:paraId="39E7F2EB" w14:textId="77777777" w:rsidR="00ED13ED" w:rsidRPr="005D251E" w:rsidRDefault="00046413" w:rsidP="00ED13ED">
      <w:pPr>
        <w:pStyle w:val="Heading2"/>
      </w:pPr>
      <w:r w:rsidRPr="007C6130">
        <w:t>Ar</w:t>
      </w:r>
      <w:r w:rsidR="00ED13ED" w:rsidRPr="007C6130">
        <w:t>gent dedicated provisioning commitment</w:t>
      </w:r>
    </w:p>
    <w:p w14:paraId="125EE4F6" w14:textId="77777777" w:rsidR="00ED13ED" w:rsidRPr="005D251E" w:rsidRDefault="00ED13ED" w:rsidP="007C6130">
      <w:pPr>
        <w:pStyle w:val="Heading3"/>
      </w:pPr>
      <w:r w:rsidRPr="009F718D">
        <w:t xml:space="preserve">A description of </w:t>
      </w:r>
      <w:r w:rsidR="00127992">
        <w:t xml:space="preserve">our </w:t>
      </w:r>
      <w:r w:rsidRPr="005D251E">
        <w:t>Argent Dedicated service is provided in</w:t>
      </w:r>
      <w:r w:rsidR="00BB37DC">
        <w:t xml:space="preserve"> </w:t>
      </w:r>
      <w:r w:rsidRPr="005D251E">
        <w:t>Part B - Argent Dedicated of the Argent section of Our Customer Terms.</w:t>
      </w:r>
    </w:p>
    <w:p w14:paraId="5D825EB3" w14:textId="77777777" w:rsidR="00ED13ED" w:rsidRPr="009F718D" w:rsidRDefault="00ED13ED" w:rsidP="007C6130">
      <w:pPr>
        <w:pStyle w:val="Heading3"/>
      </w:pPr>
      <w:r w:rsidRPr="009F718D">
        <w:t>The Standard Telstra Provisioning Commitment for Argent Dedicated service:</w:t>
      </w:r>
    </w:p>
    <w:p w14:paraId="6D77CEBE" w14:textId="77777777" w:rsidR="00ED13ED" w:rsidRPr="009F718D" w:rsidRDefault="00ED13ED" w:rsidP="007C6130">
      <w:pPr>
        <w:pStyle w:val="Heading4"/>
      </w:pPr>
      <w:r w:rsidRPr="009F718D">
        <w:t>in an Urban Area:</w:t>
      </w:r>
    </w:p>
    <w:p w14:paraId="2843476F" w14:textId="77777777" w:rsidR="00ED13ED" w:rsidRPr="005D251E" w:rsidRDefault="00ED13ED" w:rsidP="007C6130">
      <w:pPr>
        <w:pStyle w:val="Heading5"/>
      </w:pPr>
      <w:r w:rsidRPr="009F718D">
        <w:t>for a new connection or special service on beha</w:t>
      </w:r>
      <w:r w:rsidRPr="00686DBF">
        <w:t xml:space="preserve">lf of the Customer is 10 </w:t>
      </w:r>
      <w:r w:rsidRPr="007C6130">
        <w:t xml:space="preserve">Business </w:t>
      </w:r>
      <w:proofErr w:type="gramStart"/>
      <w:r w:rsidRPr="007C6130">
        <w:t>Days</w:t>
      </w:r>
      <w:r w:rsidRPr="005D251E">
        <w:t>;</w:t>
      </w:r>
      <w:proofErr w:type="gramEnd"/>
    </w:p>
    <w:p w14:paraId="38184345" w14:textId="77777777" w:rsidR="00ED13ED" w:rsidRPr="005D251E" w:rsidRDefault="00ED13ED" w:rsidP="007C6130">
      <w:pPr>
        <w:pStyle w:val="Heading5"/>
      </w:pPr>
      <w:r w:rsidRPr="009F718D">
        <w:t xml:space="preserve">for an external removal of a service/equipment within the same building/dwelling is 3 </w:t>
      </w:r>
      <w:r w:rsidRPr="007C6130">
        <w:t xml:space="preserve">Business </w:t>
      </w:r>
      <w:proofErr w:type="gramStart"/>
      <w:r w:rsidRPr="007C6130">
        <w:t>Days</w:t>
      </w:r>
      <w:r w:rsidRPr="005D251E">
        <w:t>;</w:t>
      </w:r>
      <w:proofErr w:type="gramEnd"/>
    </w:p>
    <w:p w14:paraId="15D96EA8" w14:textId="77777777" w:rsidR="00ED13ED" w:rsidRPr="009F718D" w:rsidRDefault="00ED13ED" w:rsidP="007C6130">
      <w:pPr>
        <w:pStyle w:val="Heading4"/>
      </w:pPr>
      <w:r w:rsidRPr="009F718D">
        <w:t>in Minor and Major Rural Area is not available.</w:t>
      </w:r>
    </w:p>
    <w:p w14:paraId="5176EC89" w14:textId="3A73B59E" w:rsidR="00ED13ED" w:rsidRPr="005D251E" w:rsidRDefault="00ED13ED" w:rsidP="007C6130">
      <w:pPr>
        <w:pStyle w:val="Heading3"/>
      </w:pPr>
      <w:r w:rsidRPr="009F718D">
        <w:t xml:space="preserve">The types of </w:t>
      </w:r>
      <w:r w:rsidRPr="007C6130">
        <w:t xml:space="preserve">TPC Rebates </w:t>
      </w:r>
      <w:r w:rsidRPr="005D251E">
        <w:t>available</w:t>
      </w:r>
      <w:r w:rsidRPr="007C6130">
        <w:t xml:space="preserve"> </w:t>
      </w:r>
      <w:r w:rsidRPr="005D251E">
        <w:t xml:space="preserve">and conditions which apply to them are set out in </w:t>
      </w:r>
      <w:r w:rsidR="00BB37DC" w:rsidRPr="00D5644E">
        <w:t>clause</w:t>
      </w:r>
      <w:r w:rsidR="00BB37DC">
        <w:t>s</w:t>
      </w:r>
      <w:r w:rsidR="00BB37DC" w:rsidRPr="00D5644E">
        <w:t xml:space="preserve"> </w:t>
      </w:r>
      <w:r w:rsidR="00BB37DC" w:rsidRPr="00D5644E">
        <w:fldChar w:fldCharType="begin"/>
      </w:r>
      <w:r w:rsidR="00BB37DC" w:rsidRPr="00D5644E">
        <w:instrText xml:space="preserve"> REF _Ref448757432 \r \h </w:instrText>
      </w:r>
      <w:r w:rsidR="00BB37DC">
        <w:instrText xml:space="preserve"> \* MERGEFORMAT </w:instrText>
      </w:r>
      <w:r w:rsidR="00BB37DC" w:rsidRPr="00D5644E">
        <w:fldChar w:fldCharType="separate"/>
      </w:r>
      <w:r w:rsidR="00CA259E">
        <w:t>7.20</w:t>
      </w:r>
      <w:r w:rsidR="00BB37DC" w:rsidRPr="00D5644E">
        <w:fldChar w:fldCharType="end"/>
      </w:r>
      <w:r w:rsidR="00BB37DC" w:rsidRPr="00D5644E">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rsidR="00BB37DC">
        <w:t>.</w:t>
      </w:r>
    </w:p>
    <w:p w14:paraId="5A5D24E0" w14:textId="77777777" w:rsidR="00ED13ED" w:rsidRPr="005D251E" w:rsidRDefault="004B25D5" w:rsidP="00ED13ED">
      <w:pPr>
        <w:pStyle w:val="Heading2"/>
      </w:pPr>
      <w:r w:rsidRPr="005D251E">
        <w:t>A</w:t>
      </w:r>
      <w:r w:rsidR="00ED13ED" w:rsidRPr="007C6130">
        <w:t>rgent CONNECT provisioning commitment</w:t>
      </w:r>
    </w:p>
    <w:p w14:paraId="425C8ECD" w14:textId="77777777" w:rsidR="00ED13ED" w:rsidRPr="009F718D" w:rsidRDefault="00ED13ED" w:rsidP="007C6130">
      <w:pPr>
        <w:pStyle w:val="Heading3"/>
      </w:pPr>
      <w:r w:rsidRPr="005D251E">
        <w:t xml:space="preserve">A description of </w:t>
      </w:r>
      <w:r w:rsidR="00127992">
        <w:t xml:space="preserve">our </w:t>
      </w:r>
      <w:r w:rsidRPr="005D251E">
        <w:t>Argent Connect service is provided in Part B - Argent Dedicated of the Argent section of Our Customer Terms.</w:t>
      </w:r>
    </w:p>
    <w:p w14:paraId="73DF17C0" w14:textId="77777777" w:rsidR="00ED13ED" w:rsidRPr="009F718D" w:rsidRDefault="00ED13ED" w:rsidP="007C6130">
      <w:pPr>
        <w:pStyle w:val="Heading3"/>
      </w:pPr>
      <w:r w:rsidRPr="009F718D">
        <w:t xml:space="preserve">The Standard Telstra Provisioning Commitment for Argent Connect service: </w:t>
      </w:r>
    </w:p>
    <w:p w14:paraId="509F1351" w14:textId="77777777" w:rsidR="00ED13ED" w:rsidRPr="009F718D" w:rsidRDefault="00ED13ED" w:rsidP="007C6130">
      <w:pPr>
        <w:pStyle w:val="Heading4"/>
      </w:pPr>
      <w:r w:rsidRPr="009F718D">
        <w:t>in an Urban Area:</w:t>
      </w:r>
    </w:p>
    <w:p w14:paraId="01B4D9EE" w14:textId="77777777" w:rsidR="00ED13ED" w:rsidRPr="005D251E" w:rsidRDefault="00ED13ED" w:rsidP="007C6130">
      <w:pPr>
        <w:pStyle w:val="Heading5"/>
      </w:pPr>
      <w:r w:rsidRPr="00686DBF">
        <w:t xml:space="preserve">for a new connection or special service on behalf of the Customer is 6 </w:t>
      </w:r>
      <w:r w:rsidRPr="007C6130">
        <w:t xml:space="preserve">Business </w:t>
      </w:r>
      <w:proofErr w:type="gramStart"/>
      <w:r w:rsidRPr="007C6130">
        <w:t>Days</w:t>
      </w:r>
      <w:r w:rsidRPr="005D251E">
        <w:t>;</w:t>
      </w:r>
      <w:proofErr w:type="gramEnd"/>
    </w:p>
    <w:p w14:paraId="1219283A" w14:textId="77777777" w:rsidR="00ED13ED" w:rsidRPr="005D251E" w:rsidRDefault="00ED13ED" w:rsidP="007C6130">
      <w:pPr>
        <w:pStyle w:val="Heading5"/>
      </w:pPr>
      <w:r w:rsidRPr="009F718D">
        <w:t xml:space="preserve">for a temporary connection on behalf of a </w:t>
      </w:r>
      <w:proofErr w:type="gramStart"/>
      <w:r w:rsidRPr="009F718D">
        <w:t>Customer</w:t>
      </w:r>
      <w:proofErr w:type="gramEnd"/>
      <w:r w:rsidRPr="009F718D">
        <w:t xml:space="preserve"> is 3 </w:t>
      </w:r>
      <w:r w:rsidRPr="007C6130">
        <w:t xml:space="preserve">Business </w:t>
      </w:r>
      <w:proofErr w:type="gramStart"/>
      <w:r w:rsidRPr="007C6130">
        <w:t>Days</w:t>
      </w:r>
      <w:r w:rsidRPr="005D251E">
        <w:t>;</w:t>
      </w:r>
      <w:proofErr w:type="gramEnd"/>
    </w:p>
    <w:p w14:paraId="6A28E55A" w14:textId="77777777" w:rsidR="00ED13ED" w:rsidRPr="005D251E" w:rsidRDefault="00ED13ED" w:rsidP="007C6130">
      <w:pPr>
        <w:pStyle w:val="Heading5"/>
      </w:pPr>
      <w:r w:rsidRPr="009F718D">
        <w:t xml:space="preserve">for an external removal of a service/equipment within the same building/dwelling is 3 </w:t>
      </w:r>
      <w:r w:rsidRPr="007C6130">
        <w:t xml:space="preserve">Business </w:t>
      </w:r>
      <w:proofErr w:type="gramStart"/>
      <w:r w:rsidRPr="007C6130">
        <w:t>Days</w:t>
      </w:r>
      <w:r w:rsidRPr="005D251E">
        <w:t>;</w:t>
      </w:r>
      <w:proofErr w:type="gramEnd"/>
    </w:p>
    <w:p w14:paraId="3DF3ABF3" w14:textId="77777777" w:rsidR="00ED13ED" w:rsidRPr="009F718D" w:rsidRDefault="00ED13ED" w:rsidP="007C6130">
      <w:pPr>
        <w:pStyle w:val="Heading4"/>
      </w:pPr>
      <w:r w:rsidRPr="009F718D">
        <w:lastRenderedPageBreak/>
        <w:t>in Minor and Major Rural Area is not available.</w:t>
      </w:r>
    </w:p>
    <w:p w14:paraId="48186597" w14:textId="29EC0640" w:rsidR="00ED13ED" w:rsidRPr="005D251E" w:rsidRDefault="00ED13ED" w:rsidP="007C6130">
      <w:pPr>
        <w:pStyle w:val="Heading3"/>
      </w:pPr>
      <w:r w:rsidRPr="009F718D">
        <w:t xml:space="preserve">The </w:t>
      </w:r>
      <w:r w:rsidRPr="007C6130">
        <w:t xml:space="preserve">TPC Rebate </w:t>
      </w:r>
      <w:r w:rsidRPr="005D251E">
        <w:t xml:space="preserve">available and conditions which apply to them, are set out in </w:t>
      </w:r>
      <w:r w:rsidR="00BB37DC" w:rsidRPr="00D5644E">
        <w:t>clause</w:t>
      </w:r>
      <w:r w:rsidR="00BB37DC">
        <w:t>s</w:t>
      </w:r>
      <w:r w:rsidR="00BB37DC" w:rsidRPr="00D5644E">
        <w:t xml:space="preserve"> </w:t>
      </w:r>
      <w:r w:rsidR="00BB37DC" w:rsidRPr="00D5644E">
        <w:fldChar w:fldCharType="begin"/>
      </w:r>
      <w:r w:rsidR="00BB37DC" w:rsidRPr="00D5644E">
        <w:instrText xml:space="preserve"> REF _Ref448757432 \r \h </w:instrText>
      </w:r>
      <w:r w:rsidR="00BB37DC">
        <w:instrText xml:space="preserve"> \* MERGEFORMAT </w:instrText>
      </w:r>
      <w:r w:rsidR="00BB37DC" w:rsidRPr="00D5644E">
        <w:fldChar w:fldCharType="separate"/>
      </w:r>
      <w:r w:rsidR="00CA259E">
        <w:t>7.20</w:t>
      </w:r>
      <w:r w:rsidR="00BB37DC" w:rsidRPr="00D5644E">
        <w:fldChar w:fldCharType="end"/>
      </w:r>
      <w:r w:rsidR="00BB37DC" w:rsidRPr="00D5644E">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rsidR="00BB37DC">
        <w:t>.</w:t>
      </w:r>
    </w:p>
    <w:p w14:paraId="6AFE234D" w14:textId="48CAEE66" w:rsidR="00ED13ED" w:rsidRPr="005D251E" w:rsidRDefault="00103E54" w:rsidP="00ED13ED">
      <w:pPr>
        <w:pStyle w:val="Heading2"/>
      </w:pPr>
      <w:bookmarkStart w:id="33" w:name="_Ref448756709"/>
      <w:r w:rsidRPr="007C6130">
        <w:t>A</w:t>
      </w:r>
      <w:r w:rsidR="00ED13ED" w:rsidRPr="007C6130">
        <w:t>rgent dial up provisioning commitment</w:t>
      </w:r>
      <w:bookmarkEnd w:id="33"/>
    </w:p>
    <w:p w14:paraId="329D2BD2" w14:textId="77777777" w:rsidR="00ED13ED" w:rsidRPr="005D251E" w:rsidRDefault="00ED13ED" w:rsidP="007C6130">
      <w:pPr>
        <w:pStyle w:val="Heading3"/>
      </w:pPr>
      <w:r w:rsidRPr="005D251E">
        <w:t xml:space="preserve">A description of </w:t>
      </w:r>
      <w:r w:rsidR="00127992">
        <w:t xml:space="preserve">our </w:t>
      </w:r>
      <w:r w:rsidRPr="005D251E">
        <w:t>Argent Dial Up service is provided in Part C - Argent Dial Up of the Argent section of Our Customer Terms.</w:t>
      </w:r>
    </w:p>
    <w:p w14:paraId="52A6F207" w14:textId="77777777" w:rsidR="00ED13ED" w:rsidRPr="009F718D" w:rsidRDefault="00ED13ED" w:rsidP="007C6130">
      <w:pPr>
        <w:pStyle w:val="Heading3"/>
      </w:pPr>
      <w:r w:rsidRPr="009F718D">
        <w:t>The Standard Telstra Provisioning Commitment for Argent Dial Up service:</w:t>
      </w:r>
    </w:p>
    <w:p w14:paraId="699FCF1B" w14:textId="77777777" w:rsidR="00ED13ED" w:rsidRPr="009F718D" w:rsidRDefault="00ED13ED" w:rsidP="007C6130">
      <w:pPr>
        <w:pStyle w:val="Heading4"/>
      </w:pPr>
      <w:r w:rsidRPr="009F718D">
        <w:t>in an Urban Area:</w:t>
      </w:r>
    </w:p>
    <w:p w14:paraId="32D93379" w14:textId="77777777" w:rsidR="00ED13ED" w:rsidRPr="005D251E" w:rsidRDefault="00103E54" w:rsidP="007C6130">
      <w:pPr>
        <w:pStyle w:val="Heading5"/>
      </w:pPr>
      <w:r w:rsidRPr="009F718D">
        <w:t>f</w:t>
      </w:r>
      <w:r w:rsidR="00ED13ED" w:rsidRPr="00686DBF">
        <w:t xml:space="preserve">or a new connection or special service on behalf of the Customer is 10 </w:t>
      </w:r>
      <w:r w:rsidR="00ED13ED" w:rsidRPr="007C6130">
        <w:t xml:space="preserve">Business </w:t>
      </w:r>
      <w:proofErr w:type="gramStart"/>
      <w:r w:rsidR="00ED13ED" w:rsidRPr="007C6130">
        <w:t>Days</w:t>
      </w:r>
      <w:r w:rsidR="00ED13ED" w:rsidRPr="005D251E">
        <w:t>;</w:t>
      </w:r>
      <w:proofErr w:type="gramEnd"/>
    </w:p>
    <w:p w14:paraId="51987BAD" w14:textId="77777777" w:rsidR="00ED13ED" w:rsidRPr="005D251E" w:rsidRDefault="00ED13ED" w:rsidP="007C6130">
      <w:pPr>
        <w:pStyle w:val="Heading5"/>
      </w:pPr>
      <w:r w:rsidRPr="009F718D">
        <w:t xml:space="preserve">for an external removal of a service/equipment within the same building/dwelling is 5 </w:t>
      </w:r>
      <w:r w:rsidRPr="007C6130">
        <w:t xml:space="preserve">Business </w:t>
      </w:r>
      <w:proofErr w:type="gramStart"/>
      <w:r w:rsidRPr="007C6130">
        <w:t>Days</w:t>
      </w:r>
      <w:r w:rsidRPr="005D251E">
        <w:t>;</w:t>
      </w:r>
      <w:proofErr w:type="gramEnd"/>
    </w:p>
    <w:p w14:paraId="61CD8A11" w14:textId="77777777" w:rsidR="00ED13ED" w:rsidRPr="009F718D" w:rsidRDefault="00ED13ED" w:rsidP="007C6130">
      <w:pPr>
        <w:pStyle w:val="Heading4"/>
      </w:pPr>
      <w:r w:rsidRPr="009F718D">
        <w:t>in Minor and Major Rural Area is not available.</w:t>
      </w:r>
    </w:p>
    <w:p w14:paraId="25368F6F" w14:textId="2E2F3919" w:rsidR="002C0F97" w:rsidRDefault="00ED13ED" w:rsidP="007C6130">
      <w:pPr>
        <w:pStyle w:val="Heading3"/>
      </w:pPr>
      <w:r w:rsidRPr="009F718D">
        <w:t xml:space="preserve">The </w:t>
      </w:r>
      <w:r w:rsidRPr="007C6130">
        <w:t xml:space="preserve">TPC Rebates </w:t>
      </w:r>
      <w:r w:rsidRPr="005D251E">
        <w:t xml:space="preserve">available and conditions which apply to them, are set out in </w:t>
      </w:r>
      <w:r w:rsidR="00BB37DC" w:rsidRPr="00D5644E">
        <w:t>clause</w:t>
      </w:r>
      <w:r w:rsidR="00BB37DC">
        <w:t>s</w:t>
      </w:r>
      <w:r w:rsidR="00BB37DC" w:rsidRPr="00D5644E">
        <w:t xml:space="preserve"> </w:t>
      </w:r>
      <w:r w:rsidR="00BB37DC" w:rsidRPr="00D5644E">
        <w:fldChar w:fldCharType="begin"/>
      </w:r>
      <w:r w:rsidR="00BB37DC" w:rsidRPr="00D5644E">
        <w:instrText xml:space="preserve"> REF _Ref448757432 \r \h </w:instrText>
      </w:r>
      <w:r w:rsidR="00BB37DC">
        <w:instrText xml:space="preserve"> \* MERGEFORMAT </w:instrText>
      </w:r>
      <w:r w:rsidR="00BB37DC" w:rsidRPr="00D5644E">
        <w:fldChar w:fldCharType="separate"/>
      </w:r>
      <w:r w:rsidR="00CA259E">
        <w:t>7.20</w:t>
      </w:r>
      <w:r w:rsidR="00BB37DC" w:rsidRPr="00D5644E">
        <w:fldChar w:fldCharType="end"/>
      </w:r>
      <w:r w:rsidR="00BB37DC" w:rsidRPr="00D5644E">
        <w:t xml:space="preserve"> to </w:t>
      </w:r>
      <w:r w:rsidR="00686DBF">
        <w:fldChar w:fldCharType="begin"/>
      </w:r>
      <w:r w:rsidR="00686DBF">
        <w:instrText xml:space="preserve"> REF _Ref448757002 \r \h </w:instrText>
      </w:r>
      <w:r w:rsidR="00686DBF">
        <w:fldChar w:fldCharType="separate"/>
      </w:r>
      <w:r w:rsidR="00CA259E">
        <w:t>7.30</w:t>
      </w:r>
      <w:r w:rsidR="00686DBF">
        <w:fldChar w:fldCharType="end"/>
      </w:r>
      <w:r w:rsidRPr="005D251E">
        <w:t>.</w:t>
      </w:r>
    </w:p>
    <w:p w14:paraId="39296653" w14:textId="77777777" w:rsidR="002C0F97" w:rsidRPr="007C6130" w:rsidRDefault="002C0F97" w:rsidP="007C6130">
      <w:pPr>
        <w:pStyle w:val="Heading3"/>
        <w:numPr>
          <w:ilvl w:val="0"/>
          <w:numId w:val="0"/>
        </w:numPr>
        <w:rPr>
          <w:b/>
        </w:rPr>
      </w:pPr>
      <w:r w:rsidRPr="007C6130">
        <w:rPr>
          <w:b/>
        </w:rPr>
        <w:t xml:space="preserve">Summary of </w:t>
      </w:r>
      <w:r>
        <w:rPr>
          <w:b/>
        </w:rPr>
        <w:t>T</w:t>
      </w:r>
      <w:r w:rsidRPr="007C6130">
        <w:rPr>
          <w:b/>
        </w:rPr>
        <w:t xml:space="preserve">elstra </w:t>
      </w:r>
      <w:r w:rsidR="009F718D">
        <w:rPr>
          <w:b/>
        </w:rPr>
        <w:t>P</w:t>
      </w:r>
      <w:r w:rsidRPr="007C6130">
        <w:rPr>
          <w:b/>
        </w:rPr>
        <w:t xml:space="preserve">rovisioning </w:t>
      </w:r>
      <w:r w:rsidR="009F718D">
        <w:rPr>
          <w:b/>
        </w:rPr>
        <w:t>C</w:t>
      </w:r>
      <w:r w:rsidRPr="007C6130">
        <w:rPr>
          <w:b/>
        </w:rPr>
        <w:t>ommitment</w:t>
      </w:r>
    </w:p>
    <w:p w14:paraId="04473F32" w14:textId="732468BD" w:rsidR="002C0F97" w:rsidRPr="00D5644E" w:rsidRDefault="002C0F97" w:rsidP="002C0F97">
      <w:pPr>
        <w:pStyle w:val="Heading2"/>
      </w:pPr>
      <w:bookmarkStart w:id="34" w:name="_Ref448757490"/>
      <w:r>
        <w:t>Summary of Telstra Provisioning Commitment</w:t>
      </w:r>
      <w:bookmarkEnd w:id="34"/>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362"/>
        <w:gridCol w:w="435"/>
        <w:gridCol w:w="435"/>
        <w:gridCol w:w="435"/>
        <w:gridCol w:w="362"/>
        <w:gridCol w:w="435"/>
        <w:gridCol w:w="435"/>
        <w:gridCol w:w="435"/>
        <w:gridCol w:w="435"/>
        <w:gridCol w:w="435"/>
        <w:gridCol w:w="435"/>
        <w:gridCol w:w="435"/>
        <w:gridCol w:w="435"/>
        <w:gridCol w:w="435"/>
        <w:gridCol w:w="435"/>
        <w:gridCol w:w="442"/>
        <w:gridCol w:w="443"/>
        <w:gridCol w:w="443"/>
        <w:gridCol w:w="443"/>
        <w:gridCol w:w="443"/>
      </w:tblGrid>
      <w:tr w:rsidR="002C0F97" w14:paraId="0FC3DFEE" w14:textId="77777777" w:rsidTr="00040D95">
        <w:tc>
          <w:tcPr>
            <w:tcW w:w="0" w:type="auto"/>
          </w:tcPr>
          <w:p w14:paraId="3C5007C1" w14:textId="77777777" w:rsidR="002C0F97" w:rsidRDefault="002C0F97" w:rsidP="00040D95">
            <w:pPr>
              <w:rPr>
                <w:rFonts w:ascii="Arial Narrow" w:hAnsi="Arial Narrow"/>
                <w:sz w:val="16"/>
              </w:rPr>
            </w:pPr>
            <w:r>
              <w:rPr>
                <w:rFonts w:ascii="Arial Narrow" w:hAnsi="Arial Narrow"/>
                <w:sz w:val="16"/>
              </w:rPr>
              <w:t>Product</w:t>
            </w:r>
          </w:p>
        </w:tc>
        <w:tc>
          <w:tcPr>
            <w:tcW w:w="0" w:type="auto"/>
            <w:gridSpan w:val="10"/>
          </w:tcPr>
          <w:p w14:paraId="65463F7E" w14:textId="77777777" w:rsidR="002C0F97" w:rsidRDefault="002C0F97" w:rsidP="00040D95">
            <w:pPr>
              <w:rPr>
                <w:rFonts w:ascii="Arial Narrow" w:hAnsi="Arial Narrow"/>
                <w:sz w:val="16"/>
              </w:rPr>
            </w:pPr>
            <w:r>
              <w:rPr>
                <w:rFonts w:ascii="Arial Narrow" w:hAnsi="Arial Narrow"/>
                <w:b/>
                <w:sz w:val="16"/>
              </w:rPr>
              <w:t>Standard Telstra Provisioning Commitment</w:t>
            </w:r>
          </w:p>
        </w:tc>
        <w:tc>
          <w:tcPr>
            <w:tcW w:w="0" w:type="auto"/>
            <w:gridSpan w:val="10"/>
          </w:tcPr>
          <w:p w14:paraId="52FEB072" w14:textId="77777777" w:rsidR="002C0F97" w:rsidRDefault="002C0F97" w:rsidP="00040D95">
            <w:pPr>
              <w:rPr>
                <w:rFonts w:ascii="Arial Narrow" w:hAnsi="Arial Narrow"/>
                <w:sz w:val="16"/>
              </w:rPr>
            </w:pPr>
            <w:r>
              <w:rPr>
                <w:rFonts w:ascii="Arial Narrow" w:hAnsi="Arial Narrow"/>
                <w:sz w:val="16"/>
              </w:rPr>
              <w:t>Enhanced Telstra Provisioning Commitment</w:t>
            </w:r>
          </w:p>
        </w:tc>
      </w:tr>
      <w:tr w:rsidR="002C0F97" w14:paraId="77D866FB" w14:textId="77777777" w:rsidTr="00040D95">
        <w:tc>
          <w:tcPr>
            <w:tcW w:w="0" w:type="auto"/>
          </w:tcPr>
          <w:p w14:paraId="6872711E" w14:textId="77777777" w:rsidR="002C0F97" w:rsidRDefault="002C0F97" w:rsidP="00040D95">
            <w:pPr>
              <w:rPr>
                <w:rFonts w:ascii="Arial Narrow" w:hAnsi="Arial Narrow"/>
                <w:sz w:val="16"/>
              </w:rPr>
            </w:pPr>
          </w:p>
        </w:tc>
        <w:tc>
          <w:tcPr>
            <w:tcW w:w="0" w:type="auto"/>
            <w:gridSpan w:val="5"/>
          </w:tcPr>
          <w:p w14:paraId="096A8CEE" w14:textId="77777777" w:rsidR="002C0F97" w:rsidRDefault="002C0F97" w:rsidP="00040D95">
            <w:pPr>
              <w:rPr>
                <w:rFonts w:ascii="Arial Narrow" w:hAnsi="Arial Narrow"/>
                <w:b/>
                <w:sz w:val="16"/>
              </w:rPr>
            </w:pPr>
            <w:r>
              <w:rPr>
                <w:rFonts w:ascii="Arial Narrow" w:hAnsi="Arial Narrow"/>
                <w:b/>
                <w:sz w:val="16"/>
              </w:rPr>
              <w:t>Urban Areas</w:t>
            </w:r>
          </w:p>
        </w:tc>
        <w:tc>
          <w:tcPr>
            <w:tcW w:w="0" w:type="auto"/>
            <w:gridSpan w:val="5"/>
          </w:tcPr>
          <w:p w14:paraId="57AD31B2" w14:textId="77777777" w:rsidR="002C0F97" w:rsidRDefault="002C0F97" w:rsidP="00040D95">
            <w:pPr>
              <w:rPr>
                <w:rFonts w:ascii="Arial Narrow" w:hAnsi="Arial Narrow"/>
                <w:b/>
                <w:sz w:val="16"/>
              </w:rPr>
            </w:pPr>
            <w:r>
              <w:rPr>
                <w:rFonts w:ascii="Arial Narrow" w:hAnsi="Arial Narrow"/>
                <w:b/>
                <w:sz w:val="16"/>
              </w:rPr>
              <w:t>Minor and Major Rural Areas</w:t>
            </w:r>
          </w:p>
        </w:tc>
        <w:tc>
          <w:tcPr>
            <w:tcW w:w="0" w:type="auto"/>
            <w:gridSpan w:val="5"/>
          </w:tcPr>
          <w:p w14:paraId="2A584C16" w14:textId="77777777" w:rsidR="002C0F97" w:rsidRDefault="002C0F97" w:rsidP="00040D95">
            <w:pPr>
              <w:rPr>
                <w:rFonts w:ascii="Arial Narrow" w:hAnsi="Arial Narrow"/>
                <w:b/>
                <w:sz w:val="16"/>
              </w:rPr>
            </w:pPr>
            <w:r>
              <w:rPr>
                <w:rFonts w:ascii="Arial Narrow" w:hAnsi="Arial Narrow"/>
                <w:b/>
                <w:sz w:val="16"/>
              </w:rPr>
              <w:t>Urban Areas</w:t>
            </w:r>
          </w:p>
        </w:tc>
        <w:tc>
          <w:tcPr>
            <w:tcW w:w="0" w:type="auto"/>
            <w:gridSpan w:val="5"/>
          </w:tcPr>
          <w:p w14:paraId="186BBA57" w14:textId="77777777" w:rsidR="002C0F97" w:rsidRDefault="002C0F97" w:rsidP="00040D95">
            <w:pPr>
              <w:rPr>
                <w:rFonts w:ascii="Arial Narrow" w:hAnsi="Arial Narrow"/>
                <w:b/>
                <w:sz w:val="16"/>
              </w:rPr>
            </w:pPr>
            <w:r>
              <w:rPr>
                <w:rFonts w:ascii="Arial Narrow" w:hAnsi="Arial Narrow"/>
                <w:b/>
                <w:sz w:val="16"/>
              </w:rPr>
              <w:t>Minor and Major Rural Areas</w:t>
            </w:r>
          </w:p>
        </w:tc>
      </w:tr>
      <w:tr w:rsidR="002C0F97" w14:paraId="7198FF90" w14:textId="77777777" w:rsidTr="00040D95">
        <w:trPr>
          <w:cantSplit/>
        </w:trPr>
        <w:tc>
          <w:tcPr>
            <w:tcW w:w="0" w:type="auto"/>
          </w:tcPr>
          <w:p w14:paraId="43F3A10C" w14:textId="77777777" w:rsidR="002C0F97" w:rsidRDefault="002C0F97" w:rsidP="00040D95">
            <w:pPr>
              <w:rPr>
                <w:rFonts w:ascii="Arial Narrow" w:hAnsi="Arial Narrow"/>
                <w:sz w:val="16"/>
              </w:rPr>
            </w:pPr>
          </w:p>
        </w:tc>
        <w:tc>
          <w:tcPr>
            <w:tcW w:w="0" w:type="auto"/>
            <w:gridSpan w:val="20"/>
          </w:tcPr>
          <w:p w14:paraId="7476188E" w14:textId="77777777" w:rsidR="002C0F97" w:rsidRDefault="002C0F97" w:rsidP="00040D95">
            <w:pPr>
              <w:jc w:val="center"/>
              <w:rPr>
                <w:rFonts w:ascii="Arial Narrow" w:hAnsi="Arial Narrow"/>
                <w:b/>
                <w:i/>
                <w:sz w:val="16"/>
              </w:rPr>
            </w:pPr>
            <w:r>
              <w:rPr>
                <w:rFonts w:ascii="Arial Narrow" w:hAnsi="Arial Narrow"/>
                <w:b/>
                <w:i/>
                <w:sz w:val="16"/>
              </w:rPr>
              <w:t>Number of Business Days</w:t>
            </w:r>
          </w:p>
        </w:tc>
      </w:tr>
      <w:tr w:rsidR="002C0F97" w14:paraId="347F798F" w14:textId="77777777" w:rsidTr="00040D95">
        <w:tc>
          <w:tcPr>
            <w:tcW w:w="0" w:type="auto"/>
          </w:tcPr>
          <w:p w14:paraId="15911A72" w14:textId="77777777" w:rsidR="002C0F97" w:rsidRDefault="002C0F97" w:rsidP="00040D95">
            <w:pPr>
              <w:rPr>
                <w:rFonts w:ascii="Arial Narrow" w:hAnsi="Arial Narrow"/>
                <w:sz w:val="16"/>
              </w:rPr>
            </w:pPr>
          </w:p>
        </w:tc>
        <w:tc>
          <w:tcPr>
            <w:tcW w:w="0" w:type="auto"/>
          </w:tcPr>
          <w:p w14:paraId="7AB046E0" w14:textId="77777777" w:rsidR="002C0F97" w:rsidRDefault="002C0F97" w:rsidP="00040D95">
            <w:pPr>
              <w:rPr>
                <w:rFonts w:ascii="Arial Narrow" w:hAnsi="Arial Narrow"/>
                <w:b/>
                <w:sz w:val="16"/>
              </w:rPr>
            </w:pPr>
            <w:r>
              <w:rPr>
                <w:rFonts w:ascii="Arial Narrow" w:hAnsi="Arial Narrow"/>
                <w:b/>
                <w:sz w:val="16"/>
              </w:rPr>
              <w:t>N</w:t>
            </w:r>
          </w:p>
          <w:p w14:paraId="579BF9CF" w14:textId="77777777" w:rsidR="002C0F97" w:rsidRDefault="002C0F97" w:rsidP="00040D95">
            <w:pPr>
              <w:rPr>
                <w:rFonts w:ascii="Arial Narrow" w:hAnsi="Arial Narrow"/>
                <w:b/>
                <w:sz w:val="16"/>
              </w:rPr>
            </w:pPr>
            <w:r>
              <w:rPr>
                <w:rFonts w:ascii="Arial Narrow" w:hAnsi="Arial Narrow"/>
                <w:b/>
                <w:sz w:val="16"/>
              </w:rPr>
              <w:t>E</w:t>
            </w:r>
          </w:p>
          <w:p w14:paraId="15CB4C8C" w14:textId="77777777" w:rsidR="002C0F97" w:rsidRDefault="002C0F97" w:rsidP="00040D95">
            <w:pPr>
              <w:rPr>
                <w:rFonts w:ascii="Arial Narrow" w:hAnsi="Arial Narrow"/>
                <w:b/>
                <w:sz w:val="16"/>
              </w:rPr>
            </w:pPr>
            <w:r>
              <w:rPr>
                <w:rFonts w:ascii="Arial Narrow" w:hAnsi="Arial Narrow"/>
                <w:b/>
                <w:sz w:val="16"/>
              </w:rPr>
              <w:t>W</w:t>
            </w:r>
          </w:p>
        </w:tc>
        <w:tc>
          <w:tcPr>
            <w:tcW w:w="0" w:type="auto"/>
          </w:tcPr>
          <w:p w14:paraId="3344623D" w14:textId="77777777" w:rsidR="002C0F97" w:rsidRDefault="002C0F97" w:rsidP="00040D95">
            <w:pPr>
              <w:rPr>
                <w:rFonts w:ascii="Arial Narrow" w:hAnsi="Arial Narrow"/>
                <w:b/>
                <w:sz w:val="16"/>
              </w:rPr>
            </w:pPr>
            <w:r>
              <w:rPr>
                <w:rFonts w:ascii="Arial Narrow" w:hAnsi="Arial Narrow"/>
                <w:b/>
                <w:sz w:val="16"/>
              </w:rPr>
              <w:t>N</w:t>
            </w:r>
          </w:p>
          <w:p w14:paraId="61798DA8" w14:textId="77777777" w:rsidR="002C0F97" w:rsidRDefault="002C0F97" w:rsidP="00040D95">
            <w:pPr>
              <w:rPr>
                <w:rFonts w:ascii="Arial Narrow" w:hAnsi="Arial Narrow"/>
                <w:b/>
                <w:sz w:val="16"/>
              </w:rPr>
            </w:pPr>
            <w:r>
              <w:rPr>
                <w:rFonts w:ascii="Arial Narrow" w:hAnsi="Arial Narrow"/>
                <w:b/>
                <w:sz w:val="16"/>
              </w:rPr>
              <w:t>E</w:t>
            </w:r>
          </w:p>
          <w:p w14:paraId="0F3C5B86" w14:textId="77777777" w:rsidR="002C0F97" w:rsidRDefault="002C0F97" w:rsidP="00040D95">
            <w:pPr>
              <w:rPr>
                <w:rFonts w:ascii="Arial Narrow" w:hAnsi="Arial Narrow"/>
                <w:b/>
                <w:sz w:val="16"/>
              </w:rPr>
            </w:pPr>
            <w:r>
              <w:rPr>
                <w:rFonts w:ascii="Arial Narrow" w:hAnsi="Arial Narrow"/>
                <w:b/>
                <w:sz w:val="16"/>
              </w:rPr>
              <w:t>T</w:t>
            </w:r>
          </w:p>
        </w:tc>
        <w:tc>
          <w:tcPr>
            <w:tcW w:w="0" w:type="auto"/>
          </w:tcPr>
          <w:p w14:paraId="198FCFF7" w14:textId="77777777" w:rsidR="002C0F97" w:rsidRDefault="002C0F97" w:rsidP="00040D95">
            <w:pPr>
              <w:rPr>
                <w:rFonts w:ascii="Arial Narrow" w:hAnsi="Arial Narrow"/>
                <w:b/>
                <w:sz w:val="16"/>
              </w:rPr>
            </w:pPr>
            <w:r>
              <w:rPr>
                <w:rFonts w:ascii="Arial Narrow" w:hAnsi="Arial Narrow"/>
                <w:b/>
                <w:sz w:val="16"/>
              </w:rPr>
              <w:t>U</w:t>
            </w:r>
          </w:p>
          <w:p w14:paraId="3D29F79E" w14:textId="77777777" w:rsidR="002C0F97" w:rsidRDefault="002C0F97" w:rsidP="00040D95">
            <w:pPr>
              <w:rPr>
                <w:rFonts w:ascii="Arial Narrow" w:hAnsi="Arial Narrow"/>
                <w:b/>
                <w:sz w:val="16"/>
              </w:rPr>
            </w:pPr>
            <w:r>
              <w:rPr>
                <w:rFonts w:ascii="Arial Narrow" w:hAnsi="Arial Narrow"/>
                <w:b/>
                <w:sz w:val="16"/>
              </w:rPr>
              <w:t>R</w:t>
            </w:r>
          </w:p>
          <w:p w14:paraId="0E0D4DC8" w14:textId="77777777" w:rsidR="002C0F97" w:rsidRDefault="002C0F97" w:rsidP="00040D95">
            <w:pPr>
              <w:rPr>
                <w:rFonts w:ascii="Arial Narrow" w:hAnsi="Arial Narrow"/>
                <w:b/>
                <w:sz w:val="16"/>
              </w:rPr>
            </w:pPr>
            <w:r>
              <w:rPr>
                <w:rFonts w:ascii="Arial Narrow" w:hAnsi="Arial Narrow"/>
                <w:b/>
                <w:sz w:val="16"/>
              </w:rPr>
              <w:t>G</w:t>
            </w:r>
          </w:p>
        </w:tc>
        <w:tc>
          <w:tcPr>
            <w:tcW w:w="0" w:type="auto"/>
          </w:tcPr>
          <w:p w14:paraId="2F6D9BEB" w14:textId="77777777" w:rsidR="002C0F97" w:rsidRDefault="002C0F97" w:rsidP="00040D95">
            <w:pPr>
              <w:rPr>
                <w:rFonts w:ascii="Arial Narrow" w:hAnsi="Arial Narrow"/>
                <w:b/>
                <w:sz w:val="16"/>
              </w:rPr>
            </w:pPr>
            <w:r>
              <w:rPr>
                <w:rFonts w:ascii="Arial Narrow" w:hAnsi="Arial Narrow"/>
                <w:b/>
                <w:sz w:val="16"/>
              </w:rPr>
              <w:t>I</w:t>
            </w:r>
          </w:p>
          <w:p w14:paraId="1B034AEF" w14:textId="77777777" w:rsidR="002C0F97" w:rsidRDefault="002C0F97" w:rsidP="00040D95">
            <w:pPr>
              <w:rPr>
                <w:rFonts w:ascii="Arial Narrow" w:hAnsi="Arial Narrow"/>
                <w:b/>
                <w:sz w:val="16"/>
              </w:rPr>
            </w:pPr>
            <w:r>
              <w:rPr>
                <w:rFonts w:ascii="Arial Narrow" w:hAnsi="Arial Narrow"/>
                <w:b/>
                <w:sz w:val="16"/>
              </w:rPr>
              <w:t>D</w:t>
            </w:r>
          </w:p>
          <w:p w14:paraId="685E6E04" w14:textId="77777777" w:rsidR="002C0F97" w:rsidRDefault="002C0F97" w:rsidP="00040D95">
            <w:pPr>
              <w:rPr>
                <w:rFonts w:ascii="Arial Narrow" w:hAnsi="Arial Narrow"/>
                <w:b/>
                <w:sz w:val="16"/>
              </w:rPr>
            </w:pPr>
            <w:r>
              <w:rPr>
                <w:rFonts w:ascii="Arial Narrow" w:hAnsi="Arial Narrow"/>
                <w:b/>
                <w:sz w:val="16"/>
              </w:rPr>
              <w:t>R</w:t>
            </w:r>
          </w:p>
        </w:tc>
        <w:tc>
          <w:tcPr>
            <w:tcW w:w="0" w:type="auto"/>
          </w:tcPr>
          <w:p w14:paraId="09AF7C54" w14:textId="77777777" w:rsidR="002C0F97" w:rsidRDefault="002C0F97" w:rsidP="00040D95">
            <w:pPr>
              <w:rPr>
                <w:rFonts w:ascii="Arial Narrow" w:hAnsi="Arial Narrow"/>
                <w:b/>
                <w:sz w:val="16"/>
              </w:rPr>
            </w:pPr>
            <w:r>
              <w:rPr>
                <w:rFonts w:ascii="Arial Narrow" w:hAnsi="Arial Narrow"/>
                <w:b/>
                <w:sz w:val="16"/>
              </w:rPr>
              <w:t>E</w:t>
            </w:r>
          </w:p>
          <w:p w14:paraId="2C415312" w14:textId="77777777" w:rsidR="002C0F97" w:rsidRDefault="002C0F97" w:rsidP="00040D95">
            <w:pPr>
              <w:rPr>
                <w:rFonts w:ascii="Arial Narrow" w:hAnsi="Arial Narrow"/>
                <w:b/>
                <w:sz w:val="16"/>
              </w:rPr>
            </w:pPr>
            <w:r>
              <w:rPr>
                <w:rFonts w:ascii="Arial Narrow" w:hAnsi="Arial Narrow"/>
                <w:b/>
                <w:sz w:val="16"/>
              </w:rPr>
              <w:t>R</w:t>
            </w:r>
          </w:p>
          <w:p w14:paraId="611CA7FD" w14:textId="77777777" w:rsidR="002C0F97" w:rsidRDefault="002C0F97" w:rsidP="00040D95">
            <w:pPr>
              <w:rPr>
                <w:rFonts w:ascii="Arial Narrow" w:hAnsi="Arial Narrow"/>
                <w:b/>
                <w:sz w:val="16"/>
              </w:rPr>
            </w:pPr>
            <w:r>
              <w:rPr>
                <w:rFonts w:ascii="Arial Narrow" w:hAnsi="Arial Narrow"/>
                <w:b/>
                <w:sz w:val="16"/>
              </w:rPr>
              <w:t>T</w:t>
            </w:r>
          </w:p>
        </w:tc>
        <w:tc>
          <w:tcPr>
            <w:tcW w:w="0" w:type="auto"/>
          </w:tcPr>
          <w:p w14:paraId="23657592" w14:textId="77777777" w:rsidR="002C0F97" w:rsidRDefault="002C0F97" w:rsidP="00040D95">
            <w:pPr>
              <w:rPr>
                <w:rFonts w:ascii="Arial Narrow" w:hAnsi="Arial Narrow"/>
                <w:b/>
                <w:sz w:val="16"/>
              </w:rPr>
            </w:pPr>
            <w:r>
              <w:rPr>
                <w:rFonts w:ascii="Arial Narrow" w:hAnsi="Arial Narrow"/>
                <w:b/>
                <w:sz w:val="16"/>
              </w:rPr>
              <w:t>N</w:t>
            </w:r>
          </w:p>
          <w:p w14:paraId="065C21A8" w14:textId="77777777" w:rsidR="002C0F97" w:rsidRDefault="002C0F97" w:rsidP="00040D95">
            <w:pPr>
              <w:rPr>
                <w:rFonts w:ascii="Arial Narrow" w:hAnsi="Arial Narrow"/>
                <w:b/>
                <w:sz w:val="16"/>
              </w:rPr>
            </w:pPr>
            <w:r>
              <w:rPr>
                <w:rFonts w:ascii="Arial Narrow" w:hAnsi="Arial Narrow"/>
                <w:b/>
                <w:sz w:val="16"/>
              </w:rPr>
              <w:t>E</w:t>
            </w:r>
          </w:p>
          <w:p w14:paraId="1783E5AD" w14:textId="77777777" w:rsidR="002C0F97" w:rsidRDefault="002C0F97" w:rsidP="00040D95">
            <w:pPr>
              <w:rPr>
                <w:rFonts w:ascii="Arial Narrow" w:hAnsi="Arial Narrow"/>
                <w:b/>
                <w:sz w:val="16"/>
              </w:rPr>
            </w:pPr>
            <w:r>
              <w:rPr>
                <w:rFonts w:ascii="Arial Narrow" w:hAnsi="Arial Narrow"/>
                <w:b/>
                <w:sz w:val="16"/>
              </w:rPr>
              <w:t>W</w:t>
            </w:r>
          </w:p>
        </w:tc>
        <w:tc>
          <w:tcPr>
            <w:tcW w:w="0" w:type="auto"/>
          </w:tcPr>
          <w:p w14:paraId="3A0EE7CD" w14:textId="77777777" w:rsidR="002C0F97" w:rsidRDefault="002C0F97" w:rsidP="00040D95">
            <w:pPr>
              <w:rPr>
                <w:rFonts w:ascii="Arial Narrow" w:hAnsi="Arial Narrow"/>
                <w:b/>
                <w:sz w:val="16"/>
              </w:rPr>
            </w:pPr>
            <w:r>
              <w:rPr>
                <w:rFonts w:ascii="Arial Narrow" w:hAnsi="Arial Narrow"/>
                <w:b/>
                <w:sz w:val="16"/>
              </w:rPr>
              <w:t>N</w:t>
            </w:r>
          </w:p>
          <w:p w14:paraId="68DF8806" w14:textId="77777777" w:rsidR="002C0F97" w:rsidRDefault="002C0F97" w:rsidP="00040D95">
            <w:pPr>
              <w:rPr>
                <w:rFonts w:ascii="Arial Narrow" w:hAnsi="Arial Narrow"/>
                <w:b/>
                <w:sz w:val="16"/>
              </w:rPr>
            </w:pPr>
            <w:r>
              <w:rPr>
                <w:rFonts w:ascii="Arial Narrow" w:hAnsi="Arial Narrow"/>
                <w:b/>
                <w:sz w:val="16"/>
              </w:rPr>
              <w:t>E</w:t>
            </w:r>
          </w:p>
          <w:p w14:paraId="6272453D" w14:textId="77777777" w:rsidR="002C0F97" w:rsidRDefault="002C0F97" w:rsidP="00040D95">
            <w:pPr>
              <w:rPr>
                <w:rFonts w:ascii="Arial Narrow" w:hAnsi="Arial Narrow"/>
                <w:b/>
                <w:sz w:val="16"/>
              </w:rPr>
            </w:pPr>
            <w:r>
              <w:rPr>
                <w:rFonts w:ascii="Arial Narrow" w:hAnsi="Arial Narrow"/>
                <w:b/>
                <w:sz w:val="16"/>
              </w:rPr>
              <w:t>T</w:t>
            </w:r>
          </w:p>
        </w:tc>
        <w:tc>
          <w:tcPr>
            <w:tcW w:w="0" w:type="auto"/>
          </w:tcPr>
          <w:p w14:paraId="54D7270D" w14:textId="77777777" w:rsidR="002C0F97" w:rsidRDefault="002C0F97" w:rsidP="00040D95">
            <w:pPr>
              <w:rPr>
                <w:rFonts w:ascii="Arial Narrow" w:hAnsi="Arial Narrow"/>
                <w:b/>
                <w:sz w:val="16"/>
              </w:rPr>
            </w:pPr>
            <w:r>
              <w:rPr>
                <w:rFonts w:ascii="Arial Narrow" w:hAnsi="Arial Narrow"/>
                <w:b/>
                <w:sz w:val="16"/>
              </w:rPr>
              <w:t>U</w:t>
            </w:r>
          </w:p>
          <w:p w14:paraId="5D01FB28" w14:textId="77777777" w:rsidR="002C0F97" w:rsidRDefault="002C0F97" w:rsidP="00040D95">
            <w:pPr>
              <w:rPr>
                <w:rFonts w:ascii="Arial Narrow" w:hAnsi="Arial Narrow"/>
                <w:b/>
                <w:sz w:val="16"/>
              </w:rPr>
            </w:pPr>
            <w:r>
              <w:rPr>
                <w:rFonts w:ascii="Arial Narrow" w:hAnsi="Arial Narrow"/>
                <w:b/>
                <w:sz w:val="16"/>
              </w:rPr>
              <w:t>R</w:t>
            </w:r>
          </w:p>
          <w:p w14:paraId="300D1AC7" w14:textId="77777777" w:rsidR="002C0F97" w:rsidRDefault="002C0F97" w:rsidP="00040D95">
            <w:pPr>
              <w:rPr>
                <w:rFonts w:ascii="Arial Narrow" w:hAnsi="Arial Narrow"/>
                <w:b/>
                <w:sz w:val="16"/>
              </w:rPr>
            </w:pPr>
            <w:r>
              <w:rPr>
                <w:rFonts w:ascii="Arial Narrow" w:hAnsi="Arial Narrow"/>
                <w:b/>
                <w:sz w:val="16"/>
              </w:rPr>
              <w:t>G</w:t>
            </w:r>
          </w:p>
        </w:tc>
        <w:tc>
          <w:tcPr>
            <w:tcW w:w="0" w:type="auto"/>
          </w:tcPr>
          <w:p w14:paraId="01C917B1" w14:textId="77777777" w:rsidR="002C0F97" w:rsidRDefault="002C0F97" w:rsidP="00040D95">
            <w:pPr>
              <w:rPr>
                <w:rFonts w:ascii="Arial Narrow" w:hAnsi="Arial Narrow"/>
                <w:b/>
                <w:sz w:val="16"/>
              </w:rPr>
            </w:pPr>
            <w:r>
              <w:rPr>
                <w:rFonts w:ascii="Arial Narrow" w:hAnsi="Arial Narrow"/>
                <w:b/>
                <w:sz w:val="16"/>
              </w:rPr>
              <w:t>I</w:t>
            </w:r>
          </w:p>
          <w:p w14:paraId="1A9E9B26" w14:textId="77777777" w:rsidR="002C0F97" w:rsidRDefault="002C0F97" w:rsidP="00040D95">
            <w:pPr>
              <w:rPr>
                <w:rFonts w:ascii="Arial Narrow" w:hAnsi="Arial Narrow"/>
                <w:b/>
                <w:sz w:val="16"/>
              </w:rPr>
            </w:pPr>
            <w:r>
              <w:rPr>
                <w:rFonts w:ascii="Arial Narrow" w:hAnsi="Arial Narrow"/>
                <w:b/>
                <w:sz w:val="16"/>
              </w:rPr>
              <w:t>D</w:t>
            </w:r>
          </w:p>
          <w:p w14:paraId="51B2BCF9" w14:textId="77777777" w:rsidR="002C0F97" w:rsidRDefault="002C0F97" w:rsidP="00040D95">
            <w:pPr>
              <w:rPr>
                <w:rFonts w:ascii="Arial Narrow" w:hAnsi="Arial Narrow"/>
                <w:b/>
                <w:sz w:val="16"/>
              </w:rPr>
            </w:pPr>
            <w:r>
              <w:rPr>
                <w:rFonts w:ascii="Arial Narrow" w:hAnsi="Arial Narrow"/>
                <w:b/>
                <w:sz w:val="16"/>
              </w:rPr>
              <w:t>R</w:t>
            </w:r>
          </w:p>
        </w:tc>
        <w:tc>
          <w:tcPr>
            <w:tcW w:w="0" w:type="auto"/>
          </w:tcPr>
          <w:p w14:paraId="510887D4" w14:textId="77777777" w:rsidR="002C0F97" w:rsidRDefault="002C0F97" w:rsidP="00040D95">
            <w:pPr>
              <w:rPr>
                <w:rFonts w:ascii="Arial Narrow" w:hAnsi="Arial Narrow"/>
                <w:b/>
                <w:sz w:val="16"/>
              </w:rPr>
            </w:pPr>
            <w:r>
              <w:rPr>
                <w:rFonts w:ascii="Arial Narrow" w:hAnsi="Arial Narrow"/>
                <w:b/>
                <w:sz w:val="16"/>
              </w:rPr>
              <w:t>E</w:t>
            </w:r>
          </w:p>
          <w:p w14:paraId="4F4FB505" w14:textId="77777777" w:rsidR="002C0F97" w:rsidRDefault="002C0F97" w:rsidP="00040D95">
            <w:pPr>
              <w:rPr>
                <w:rFonts w:ascii="Arial Narrow" w:hAnsi="Arial Narrow"/>
                <w:b/>
                <w:sz w:val="16"/>
              </w:rPr>
            </w:pPr>
            <w:r>
              <w:rPr>
                <w:rFonts w:ascii="Arial Narrow" w:hAnsi="Arial Narrow"/>
                <w:b/>
                <w:sz w:val="16"/>
              </w:rPr>
              <w:t>R</w:t>
            </w:r>
          </w:p>
          <w:p w14:paraId="3FE054F6" w14:textId="77777777" w:rsidR="002C0F97" w:rsidRDefault="002C0F97" w:rsidP="00040D95">
            <w:pPr>
              <w:rPr>
                <w:rFonts w:ascii="Arial Narrow" w:hAnsi="Arial Narrow"/>
                <w:b/>
                <w:sz w:val="16"/>
              </w:rPr>
            </w:pPr>
            <w:r>
              <w:rPr>
                <w:rFonts w:ascii="Arial Narrow" w:hAnsi="Arial Narrow"/>
                <w:b/>
                <w:sz w:val="16"/>
              </w:rPr>
              <w:t>T</w:t>
            </w:r>
          </w:p>
        </w:tc>
        <w:tc>
          <w:tcPr>
            <w:tcW w:w="0" w:type="auto"/>
          </w:tcPr>
          <w:p w14:paraId="1C283A89" w14:textId="77777777" w:rsidR="002C0F97" w:rsidRDefault="002C0F97" w:rsidP="00040D95">
            <w:pPr>
              <w:rPr>
                <w:rFonts w:ascii="Arial Narrow" w:hAnsi="Arial Narrow"/>
                <w:b/>
                <w:sz w:val="16"/>
              </w:rPr>
            </w:pPr>
            <w:r>
              <w:rPr>
                <w:rFonts w:ascii="Arial Narrow" w:hAnsi="Arial Narrow"/>
                <w:b/>
                <w:sz w:val="16"/>
              </w:rPr>
              <w:t>N</w:t>
            </w:r>
          </w:p>
          <w:p w14:paraId="4E5A5317" w14:textId="77777777" w:rsidR="002C0F97" w:rsidRDefault="002C0F97" w:rsidP="00040D95">
            <w:pPr>
              <w:rPr>
                <w:rFonts w:ascii="Arial Narrow" w:hAnsi="Arial Narrow"/>
                <w:b/>
                <w:sz w:val="16"/>
              </w:rPr>
            </w:pPr>
            <w:r>
              <w:rPr>
                <w:rFonts w:ascii="Arial Narrow" w:hAnsi="Arial Narrow"/>
                <w:b/>
                <w:sz w:val="16"/>
              </w:rPr>
              <w:t>E</w:t>
            </w:r>
          </w:p>
          <w:p w14:paraId="7A327178" w14:textId="77777777" w:rsidR="002C0F97" w:rsidRDefault="002C0F97" w:rsidP="00040D95">
            <w:pPr>
              <w:rPr>
                <w:rFonts w:ascii="Arial Narrow" w:hAnsi="Arial Narrow"/>
                <w:b/>
                <w:sz w:val="16"/>
              </w:rPr>
            </w:pPr>
            <w:r>
              <w:rPr>
                <w:rFonts w:ascii="Arial Narrow" w:hAnsi="Arial Narrow"/>
                <w:b/>
                <w:sz w:val="16"/>
              </w:rPr>
              <w:t>W</w:t>
            </w:r>
          </w:p>
        </w:tc>
        <w:tc>
          <w:tcPr>
            <w:tcW w:w="0" w:type="auto"/>
          </w:tcPr>
          <w:p w14:paraId="7C37F9CF" w14:textId="77777777" w:rsidR="002C0F97" w:rsidRDefault="002C0F97" w:rsidP="00040D95">
            <w:pPr>
              <w:rPr>
                <w:rFonts w:ascii="Arial Narrow" w:hAnsi="Arial Narrow"/>
                <w:b/>
                <w:sz w:val="16"/>
              </w:rPr>
            </w:pPr>
            <w:r>
              <w:rPr>
                <w:rFonts w:ascii="Arial Narrow" w:hAnsi="Arial Narrow"/>
                <w:b/>
                <w:sz w:val="16"/>
              </w:rPr>
              <w:t>N</w:t>
            </w:r>
          </w:p>
          <w:p w14:paraId="0A7765BA" w14:textId="77777777" w:rsidR="002C0F97" w:rsidRDefault="002C0F97" w:rsidP="00040D95">
            <w:pPr>
              <w:rPr>
                <w:rFonts w:ascii="Arial Narrow" w:hAnsi="Arial Narrow"/>
                <w:b/>
                <w:sz w:val="16"/>
              </w:rPr>
            </w:pPr>
            <w:r>
              <w:rPr>
                <w:rFonts w:ascii="Arial Narrow" w:hAnsi="Arial Narrow"/>
                <w:b/>
                <w:sz w:val="16"/>
              </w:rPr>
              <w:t>E</w:t>
            </w:r>
          </w:p>
          <w:p w14:paraId="218636DC" w14:textId="77777777" w:rsidR="002C0F97" w:rsidRDefault="002C0F97" w:rsidP="00040D95">
            <w:pPr>
              <w:pBdr>
                <w:bottom w:val="single" w:sz="12" w:space="1" w:color="auto"/>
              </w:pBdr>
              <w:rPr>
                <w:rFonts w:ascii="Arial Narrow" w:hAnsi="Arial Narrow"/>
                <w:b/>
                <w:sz w:val="16"/>
              </w:rPr>
            </w:pPr>
            <w:r>
              <w:rPr>
                <w:rFonts w:ascii="Arial Narrow" w:hAnsi="Arial Narrow"/>
                <w:b/>
                <w:sz w:val="16"/>
              </w:rPr>
              <w:t>T</w:t>
            </w:r>
          </w:p>
        </w:tc>
        <w:tc>
          <w:tcPr>
            <w:tcW w:w="0" w:type="auto"/>
          </w:tcPr>
          <w:p w14:paraId="34F368CB" w14:textId="77777777" w:rsidR="002C0F97" w:rsidRDefault="002C0F97" w:rsidP="00040D95">
            <w:pPr>
              <w:rPr>
                <w:rFonts w:ascii="Arial Narrow" w:hAnsi="Arial Narrow"/>
                <w:b/>
                <w:sz w:val="16"/>
              </w:rPr>
            </w:pPr>
            <w:r>
              <w:rPr>
                <w:rFonts w:ascii="Arial Narrow" w:hAnsi="Arial Narrow"/>
                <w:b/>
                <w:sz w:val="16"/>
              </w:rPr>
              <w:t>U</w:t>
            </w:r>
          </w:p>
          <w:p w14:paraId="79080989" w14:textId="77777777" w:rsidR="002C0F97" w:rsidRDefault="002C0F97" w:rsidP="00040D95">
            <w:pPr>
              <w:rPr>
                <w:rFonts w:ascii="Arial Narrow" w:hAnsi="Arial Narrow"/>
                <w:b/>
                <w:sz w:val="16"/>
              </w:rPr>
            </w:pPr>
            <w:r>
              <w:rPr>
                <w:rFonts w:ascii="Arial Narrow" w:hAnsi="Arial Narrow"/>
                <w:b/>
                <w:sz w:val="16"/>
              </w:rPr>
              <w:t>R</w:t>
            </w:r>
          </w:p>
          <w:p w14:paraId="4462CC26" w14:textId="77777777" w:rsidR="002C0F97" w:rsidRDefault="002C0F97" w:rsidP="00040D95">
            <w:pPr>
              <w:rPr>
                <w:rFonts w:ascii="Arial Narrow" w:hAnsi="Arial Narrow"/>
                <w:b/>
                <w:sz w:val="16"/>
              </w:rPr>
            </w:pPr>
            <w:r>
              <w:rPr>
                <w:rFonts w:ascii="Arial Narrow" w:hAnsi="Arial Narrow"/>
                <w:b/>
                <w:sz w:val="16"/>
              </w:rPr>
              <w:t>G</w:t>
            </w:r>
          </w:p>
        </w:tc>
        <w:tc>
          <w:tcPr>
            <w:tcW w:w="0" w:type="auto"/>
          </w:tcPr>
          <w:p w14:paraId="1D3E9F8E" w14:textId="77777777" w:rsidR="002C0F97" w:rsidRDefault="002C0F97" w:rsidP="00040D95">
            <w:pPr>
              <w:rPr>
                <w:rFonts w:ascii="Arial Narrow" w:hAnsi="Arial Narrow"/>
                <w:b/>
                <w:sz w:val="16"/>
              </w:rPr>
            </w:pPr>
            <w:r>
              <w:rPr>
                <w:rFonts w:ascii="Arial Narrow" w:hAnsi="Arial Narrow"/>
                <w:b/>
                <w:sz w:val="16"/>
              </w:rPr>
              <w:t>I</w:t>
            </w:r>
          </w:p>
          <w:p w14:paraId="067BC496" w14:textId="77777777" w:rsidR="002C0F97" w:rsidRDefault="002C0F97" w:rsidP="00040D95">
            <w:pPr>
              <w:rPr>
                <w:rFonts w:ascii="Arial Narrow" w:hAnsi="Arial Narrow"/>
                <w:b/>
                <w:sz w:val="16"/>
              </w:rPr>
            </w:pPr>
            <w:r>
              <w:rPr>
                <w:rFonts w:ascii="Arial Narrow" w:hAnsi="Arial Narrow"/>
                <w:b/>
                <w:sz w:val="16"/>
              </w:rPr>
              <w:t>D</w:t>
            </w:r>
          </w:p>
          <w:p w14:paraId="5531523B" w14:textId="77777777" w:rsidR="002C0F97" w:rsidRDefault="002C0F97" w:rsidP="00040D95">
            <w:pPr>
              <w:rPr>
                <w:rFonts w:ascii="Arial Narrow" w:hAnsi="Arial Narrow"/>
                <w:b/>
                <w:sz w:val="16"/>
              </w:rPr>
            </w:pPr>
            <w:r>
              <w:rPr>
                <w:rFonts w:ascii="Arial Narrow" w:hAnsi="Arial Narrow"/>
                <w:b/>
                <w:sz w:val="16"/>
              </w:rPr>
              <w:t>R</w:t>
            </w:r>
          </w:p>
        </w:tc>
        <w:tc>
          <w:tcPr>
            <w:tcW w:w="0" w:type="auto"/>
          </w:tcPr>
          <w:p w14:paraId="602C93EC" w14:textId="77777777" w:rsidR="002C0F97" w:rsidRDefault="002C0F97" w:rsidP="00040D95">
            <w:pPr>
              <w:rPr>
                <w:rFonts w:ascii="Arial Narrow" w:hAnsi="Arial Narrow"/>
                <w:b/>
                <w:sz w:val="16"/>
              </w:rPr>
            </w:pPr>
            <w:r>
              <w:rPr>
                <w:rFonts w:ascii="Arial Narrow" w:hAnsi="Arial Narrow"/>
                <w:b/>
                <w:sz w:val="16"/>
              </w:rPr>
              <w:t>E</w:t>
            </w:r>
          </w:p>
          <w:p w14:paraId="2933B38E" w14:textId="77777777" w:rsidR="002C0F97" w:rsidRDefault="002C0F97" w:rsidP="00040D95">
            <w:pPr>
              <w:rPr>
                <w:rFonts w:ascii="Arial Narrow" w:hAnsi="Arial Narrow"/>
                <w:b/>
                <w:sz w:val="16"/>
              </w:rPr>
            </w:pPr>
            <w:r>
              <w:rPr>
                <w:rFonts w:ascii="Arial Narrow" w:hAnsi="Arial Narrow"/>
                <w:b/>
                <w:sz w:val="16"/>
              </w:rPr>
              <w:t>R</w:t>
            </w:r>
          </w:p>
          <w:p w14:paraId="3F7C1ADD" w14:textId="77777777" w:rsidR="002C0F97" w:rsidRDefault="002C0F97" w:rsidP="00040D95">
            <w:pPr>
              <w:rPr>
                <w:rFonts w:ascii="Arial Narrow" w:hAnsi="Arial Narrow"/>
                <w:b/>
                <w:sz w:val="16"/>
              </w:rPr>
            </w:pPr>
            <w:r>
              <w:rPr>
                <w:rFonts w:ascii="Arial Narrow" w:hAnsi="Arial Narrow"/>
                <w:b/>
                <w:sz w:val="16"/>
              </w:rPr>
              <w:t>T</w:t>
            </w:r>
          </w:p>
        </w:tc>
        <w:tc>
          <w:tcPr>
            <w:tcW w:w="0" w:type="auto"/>
          </w:tcPr>
          <w:p w14:paraId="171F66AE" w14:textId="77777777" w:rsidR="002C0F97" w:rsidRDefault="002C0F97" w:rsidP="00040D95">
            <w:pPr>
              <w:rPr>
                <w:rFonts w:ascii="Arial Narrow" w:hAnsi="Arial Narrow"/>
                <w:b/>
                <w:sz w:val="16"/>
              </w:rPr>
            </w:pPr>
            <w:r>
              <w:rPr>
                <w:rFonts w:ascii="Arial Narrow" w:hAnsi="Arial Narrow"/>
                <w:b/>
                <w:sz w:val="16"/>
              </w:rPr>
              <w:t>N</w:t>
            </w:r>
          </w:p>
          <w:p w14:paraId="2AB2E53F" w14:textId="77777777" w:rsidR="002C0F97" w:rsidRDefault="002C0F97" w:rsidP="00040D95">
            <w:pPr>
              <w:rPr>
                <w:rFonts w:ascii="Arial Narrow" w:hAnsi="Arial Narrow"/>
                <w:b/>
                <w:sz w:val="16"/>
              </w:rPr>
            </w:pPr>
            <w:r>
              <w:rPr>
                <w:rFonts w:ascii="Arial Narrow" w:hAnsi="Arial Narrow"/>
                <w:b/>
                <w:sz w:val="16"/>
              </w:rPr>
              <w:t>E</w:t>
            </w:r>
          </w:p>
          <w:p w14:paraId="2C117908" w14:textId="77777777" w:rsidR="002C0F97" w:rsidRDefault="002C0F97" w:rsidP="00040D95">
            <w:pPr>
              <w:rPr>
                <w:rFonts w:ascii="Arial Narrow" w:hAnsi="Arial Narrow"/>
                <w:b/>
                <w:sz w:val="16"/>
              </w:rPr>
            </w:pPr>
            <w:r>
              <w:rPr>
                <w:rFonts w:ascii="Arial Narrow" w:hAnsi="Arial Narrow"/>
                <w:b/>
                <w:sz w:val="16"/>
              </w:rPr>
              <w:t>W</w:t>
            </w:r>
          </w:p>
        </w:tc>
        <w:tc>
          <w:tcPr>
            <w:tcW w:w="0" w:type="auto"/>
          </w:tcPr>
          <w:p w14:paraId="355CE4E6" w14:textId="77777777" w:rsidR="002C0F97" w:rsidRDefault="002C0F97" w:rsidP="00040D95">
            <w:pPr>
              <w:rPr>
                <w:rFonts w:ascii="Arial Narrow" w:hAnsi="Arial Narrow"/>
                <w:b/>
                <w:sz w:val="16"/>
              </w:rPr>
            </w:pPr>
            <w:r>
              <w:rPr>
                <w:rFonts w:ascii="Arial Narrow" w:hAnsi="Arial Narrow"/>
                <w:b/>
                <w:sz w:val="16"/>
              </w:rPr>
              <w:t>N</w:t>
            </w:r>
          </w:p>
          <w:p w14:paraId="47C61FD9" w14:textId="77777777" w:rsidR="002C0F97" w:rsidRDefault="002C0F97" w:rsidP="00040D95">
            <w:pPr>
              <w:rPr>
                <w:rFonts w:ascii="Arial Narrow" w:hAnsi="Arial Narrow"/>
                <w:b/>
                <w:sz w:val="16"/>
              </w:rPr>
            </w:pPr>
            <w:r>
              <w:rPr>
                <w:rFonts w:ascii="Arial Narrow" w:hAnsi="Arial Narrow"/>
                <w:b/>
                <w:sz w:val="16"/>
              </w:rPr>
              <w:t>E</w:t>
            </w:r>
          </w:p>
          <w:p w14:paraId="16C0AEF0" w14:textId="77777777" w:rsidR="002C0F97" w:rsidRDefault="002C0F97" w:rsidP="00040D95">
            <w:pPr>
              <w:rPr>
                <w:rFonts w:ascii="Arial Narrow" w:hAnsi="Arial Narrow"/>
                <w:b/>
                <w:sz w:val="16"/>
              </w:rPr>
            </w:pPr>
            <w:r>
              <w:rPr>
                <w:rFonts w:ascii="Arial Narrow" w:hAnsi="Arial Narrow"/>
                <w:b/>
                <w:sz w:val="16"/>
              </w:rPr>
              <w:t>T</w:t>
            </w:r>
          </w:p>
        </w:tc>
        <w:tc>
          <w:tcPr>
            <w:tcW w:w="0" w:type="auto"/>
          </w:tcPr>
          <w:p w14:paraId="7903DE43" w14:textId="77777777" w:rsidR="002C0F97" w:rsidRDefault="002C0F97" w:rsidP="00040D95">
            <w:pPr>
              <w:rPr>
                <w:rFonts w:ascii="Arial Narrow" w:hAnsi="Arial Narrow"/>
                <w:b/>
                <w:sz w:val="16"/>
              </w:rPr>
            </w:pPr>
            <w:r>
              <w:rPr>
                <w:rFonts w:ascii="Arial Narrow" w:hAnsi="Arial Narrow"/>
                <w:b/>
                <w:sz w:val="16"/>
              </w:rPr>
              <w:t>U</w:t>
            </w:r>
          </w:p>
          <w:p w14:paraId="2472AF92" w14:textId="77777777" w:rsidR="002C0F97" w:rsidRDefault="002C0F97" w:rsidP="00040D95">
            <w:pPr>
              <w:rPr>
                <w:rFonts w:ascii="Arial Narrow" w:hAnsi="Arial Narrow"/>
                <w:b/>
                <w:sz w:val="16"/>
              </w:rPr>
            </w:pPr>
            <w:r>
              <w:rPr>
                <w:rFonts w:ascii="Arial Narrow" w:hAnsi="Arial Narrow"/>
                <w:b/>
                <w:sz w:val="16"/>
              </w:rPr>
              <w:t>R</w:t>
            </w:r>
          </w:p>
          <w:p w14:paraId="5EC637FF" w14:textId="77777777" w:rsidR="002C0F97" w:rsidRDefault="002C0F97" w:rsidP="00040D95">
            <w:pPr>
              <w:rPr>
                <w:rFonts w:ascii="Arial Narrow" w:hAnsi="Arial Narrow"/>
                <w:b/>
                <w:sz w:val="16"/>
              </w:rPr>
            </w:pPr>
            <w:r>
              <w:rPr>
                <w:rFonts w:ascii="Arial Narrow" w:hAnsi="Arial Narrow"/>
                <w:b/>
                <w:sz w:val="16"/>
              </w:rPr>
              <w:t>G</w:t>
            </w:r>
          </w:p>
        </w:tc>
        <w:tc>
          <w:tcPr>
            <w:tcW w:w="0" w:type="auto"/>
          </w:tcPr>
          <w:p w14:paraId="755F282C" w14:textId="77777777" w:rsidR="002C0F97" w:rsidRDefault="002C0F97" w:rsidP="00040D95">
            <w:pPr>
              <w:rPr>
                <w:rFonts w:ascii="Arial Narrow" w:hAnsi="Arial Narrow"/>
                <w:b/>
                <w:sz w:val="16"/>
              </w:rPr>
            </w:pPr>
            <w:r>
              <w:rPr>
                <w:rFonts w:ascii="Arial Narrow" w:hAnsi="Arial Narrow"/>
                <w:b/>
                <w:sz w:val="16"/>
              </w:rPr>
              <w:t>I</w:t>
            </w:r>
          </w:p>
          <w:p w14:paraId="5E950775" w14:textId="77777777" w:rsidR="002C0F97" w:rsidRDefault="002C0F97" w:rsidP="00040D95">
            <w:pPr>
              <w:rPr>
                <w:rFonts w:ascii="Arial Narrow" w:hAnsi="Arial Narrow"/>
                <w:b/>
                <w:sz w:val="16"/>
              </w:rPr>
            </w:pPr>
            <w:r>
              <w:rPr>
                <w:rFonts w:ascii="Arial Narrow" w:hAnsi="Arial Narrow"/>
                <w:b/>
                <w:sz w:val="16"/>
              </w:rPr>
              <w:t>D</w:t>
            </w:r>
          </w:p>
          <w:p w14:paraId="164C0DDD" w14:textId="77777777" w:rsidR="002C0F97" w:rsidRDefault="002C0F97" w:rsidP="00040D95">
            <w:pPr>
              <w:rPr>
                <w:rFonts w:ascii="Arial Narrow" w:hAnsi="Arial Narrow"/>
                <w:b/>
                <w:sz w:val="16"/>
              </w:rPr>
            </w:pPr>
            <w:r>
              <w:rPr>
                <w:rFonts w:ascii="Arial Narrow" w:hAnsi="Arial Narrow"/>
                <w:b/>
                <w:sz w:val="16"/>
              </w:rPr>
              <w:t>R</w:t>
            </w:r>
          </w:p>
        </w:tc>
        <w:tc>
          <w:tcPr>
            <w:tcW w:w="0" w:type="auto"/>
          </w:tcPr>
          <w:p w14:paraId="7EBCA282" w14:textId="77777777" w:rsidR="002C0F97" w:rsidRDefault="002C0F97" w:rsidP="00040D95">
            <w:pPr>
              <w:rPr>
                <w:rFonts w:ascii="Arial Narrow" w:hAnsi="Arial Narrow"/>
                <w:b/>
                <w:sz w:val="16"/>
              </w:rPr>
            </w:pPr>
            <w:r>
              <w:rPr>
                <w:rFonts w:ascii="Arial Narrow" w:hAnsi="Arial Narrow"/>
                <w:b/>
                <w:sz w:val="16"/>
              </w:rPr>
              <w:t>E</w:t>
            </w:r>
          </w:p>
          <w:p w14:paraId="25B36384" w14:textId="77777777" w:rsidR="002C0F97" w:rsidRDefault="002C0F97" w:rsidP="00040D95">
            <w:pPr>
              <w:rPr>
                <w:rFonts w:ascii="Arial Narrow" w:hAnsi="Arial Narrow"/>
                <w:b/>
                <w:sz w:val="16"/>
              </w:rPr>
            </w:pPr>
            <w:r>
              <w:rPr>
                <w:rFonts w:ascii="Arial Narrow" w:hAnsi="Arial Narrow"/>
                <w:b/>
                <w:sz w:val="16"/>
              </w:rPr>
              <w:t>R</w:t>
            </w:r>
          </w:p>
          <w:p w14:paraId="6DFD9664" w14:textId="77777777" w:rsidR="002C0F97" w:rsidRDefault="002C0F97" w:rsidP="00040D95">
            <w:pPr>
              <w:rPr>
                <w:rFonts w:ascii="Arial Narrow" w:hAnsi="Arial Narrow"/>
                <w:b/>
                <w:sz w:val="16"/>
              </w:rPr>
            </w:pPr>
            <w:r>
              <w:rPr>
                <w:rFonts w:ascii="Arial Narrow" w:hAnsi="Arial Narrow"/>
                <w:b/>
                <w:sz w:val="16"/>
              </w:rPr>
              <w:t>T</w:t>
            </w:r>
          </w:p>
        </w:tc>
      </w:tr>
      <w:tr w:rsidR="002C0F97" w14:paraId="067B407F" w14:textId="77777777" w:rsidTr="00040D95">
        <w:tc>
          <w:tcPr>
            <w:tcW w:w="0" w:type="auto"/>
          </w:tcPr>
          <w:p w14:paraId="7B742175" w14:textId="77777777" w:rsidR="002C0F97" w:rsidRDefault="002C0F97" w:rsidP="00040D95">
            <w:pPr>
              <w:rPr>
                <w:rFonts w:ascii="Arial Narrow" w:hAnsi="Arial Narrow"/>
                <w:sz w:val="16"/>
              </w:rPr>
            </w:pPr>
            <w:r>
              <w:rPr>
                <w:rFonts w:ascii="Arial Narrow" w:hAnsi="Arial Narrow"/>
                <w:sz w:val="16"/>
              </w:rPr>
              <w:t>ISDN 10,20,30</w:t>
            </w:r>
          </w:p>
        </w:tc>
        <w:tc>
          <w:tcPr>
            <w:tcW w:w="0" w:type="auto"/>
          </w:tcPr>
          <w:p w14:paraId="31347214" w14:textId="77777777" w:rsidR="002C0F97" w:rsidRDefault="002C0F97" w:rsidP="00040D95">
            <w:pPr>
              <w:rPr>
                <w:rFonts w:ascii="Arial Narrow" w:hAnsi="Arial Narrow"/>
                <w:sz w:val="16"/>
              </w:rPr>
            </w:pPr>
            <w:r>
              <w:rPr>
                <w:rFonts w:ascii="Arial Narrow" w:hAnsi="Arial Narrow"/>
                <w:sz w:val="16"/>
              </w:rPr>
              <w:t>9</w:t>
            </w:r>
          </w:p>
        </w:tc>
        <w:tc>
          <w:tcPr>
            <w:tcW w:w="0" w:type="auto"/>
          </w:tcPr>
          <w:p w14:paraId="44092462" w14:textId="77777777" w:rsidR="002C0F97" w:rsidRDefault="002C0F97" w:rsidP="00040D95">
            <w:pPr>
              <w:rPr>
                <w:rFonts w:ascii="Arial Narrow" w:hAnsi="Arial Narrow"/>
                <w:sz w:val="16"/>
              </w:rPr>
            </w:pPr>
            <w:r>
              <w:rPr>
                <w:rFonts w:ascii="Arial Narrow" w:hAnsi="Arial Narrow"/>
                <w:sz w:val="16"/>
              </w:rPr>
              <w:t>9</w:t>
            </w:r>
          </w:p>
        </w:tc>
        <w:tc>
          <w:tcPr>
            <w:tcW w:w="0" w:type="auto"/>
          </w:tcPr>
          <w:p w14:paraId="2DC5A981" w14:textId="77777777" w:rsidR="002C0F97" w:rsidRDefault="002C0F97" w:rsidP="00040D95">
            <w:pPr>
              <w:rPr>
                <w:rFonts w:ascii="Arial Narrow" w:hAnsi="Arial Narrow"/>
                <w:sz w:val="16"/>
              </w:rPr>
            </w:pPr>
            <w:r>
              <w:rPr>
                <w:rFonts w:ascii="Arial Narrow" w:hAnsi="Arial Narrow"/>
                <w:sz w:val="16"/>
              </w:rPr>
              <w:t>9</w:t>
            </w:r>
          </w:p>
        </w:tc>
        <w:tc>
          <w:tcPr>
            <w:tcW w:w="0" w:type="auto"/>
          </w:tcPr>
          <w:p w14:paraId="130494E7" w14:textId="77777777" w:rsidR="002C0F97" w:rsidRDefault="002C0F97" w:rsidP="00040D95">
            <w:pPr>
              <w:rPr>
                <w:rFonts w:ascii="Arial Narrow" w:hAnsi="Arial Narrow"/>
                <w:sz w:val="16"/>
              </w:rPr>
            </w:pPr>
            <w:r>
              <w:rPr>
                <w:rFonts w:ascii="Arial Narrow" w:hAnsi="Arial Narrow"/>
                <w:sz w:val="16"/>
              </w:rPr>
              <w:t>9</w:t>
            </w:r>
          </w:p>
        </w:tc>
        <w:tc>
          <w:tcPr>
            <w:tcW w:w="0" w:type="auto"/>
          </w:tcPr>
          <w:p w14:paraId="31D12FFF" w14:textId="77777777" w:rsidR="002C0F97" w:rsidRDefault="002C0F97" w:rsidP="00040D95">
            <w:pPr>
              <w:rPr>
                <w:rFonts w:ascii="Arial Narrow" w:hAnsi="Arial Narrow"/>
                <w:sz w:val="16"/>
              </w:rPr>
            </w:pPr>
            <w:r>
              <w:rPr>
                <w:rFonts w:ascii="Arial Narrow" w:hAnsi="Arial Narrow"/>
                <w:sz w:val="16"/>
              </w:rPr>
              <w:t>9</w:t>
            </w:r>
          </w:p>
        </w:tc>
        <w:tc>
          <w:tcPr>
            <w:tcW w:w="0" w:type="auto"/>
          </w:tcPr>
          <w:p w14:paraId="412B0774" w14:textId="77777777" w:rsidR="002C0F97" w:rsidRDefault="002C0F97" w:rsidP="00040D95">
            <w:pPr>
              <w:rPr>
                <w:rFonts w:ascii="Arial Narrow" w:hAnsi="Arial Narrow"/>
                <w:sz w:val="16"/>
              </w:rPr>
            </w:pPr>
            <w:r>
              <w:rPr>
                <w:rFonts w:ascii="Arial Narrow" w:hAnsi="Arial Narrow"/>
                <w:sz w:val="16"/>
              </w:rPr>
              <w:t>19</w:t>
            </w:r>
          </w:p>
        </w:tc>
        <w:tc>
          <w:tcPr>
            <w:tcW w:w="0" w:type="auto"/>
          </w:tcPr>
          <w:p w14:paraId="2AC9C15D" w14:textId="77777777" w:rsidR="002C0F97" w:rsidRDefault="002C0F97" w:rsidP="00040D95">
            <w:pPr>
              <w:rPr>
                <w:rFonts w:ascii="Arial Narrow" w:hAnsi="Arial Narrow"/>
                <w:sz w:val="16"/>
              </w:rPr>
            </w:pPr>
            <w:r>
              <w:rPr>
                <w:rFonts w:ascii="Arial Narrow" w:hAnsi="Arial Narrow"/>
                <w:sz w:val="16"/>
              </w:rPr>
              <w:t>19</w:t>
            </w:r>
          </w:p>
        </w:tc>
        <w:tc>
          <w:tcPr>
            <w:tcW w:w="0" w:type="auto"/>
          </w:tcPr>
          <w:p w14:paraId="190BC68F" w14:textId="77777777" w:rsidR="002C0F97" w:rsidRDefault="002C0F97" w:rsidP="00040D95">
            <w:pPr>
              <w:rPr>
                <w:rFonts w:ascii="Arial Narrow" w:hAnsi="Arial Narrow"/>
                <w:sz w:val="16"/>
              </w:rPr>
            </w:pPr>
            <w:r>
              <w:rPr>
                <w:rFonts w:ascii="Arial Narrow" w:hAnsi="Arial Narrow"/>
                <w:sz w:val="16"/>
              </w:rPr>
              <w:t>19</w:t>
            </w:r>
          </w:p>
        </w:tc>
        <w:tc>
          <w:tcPr>
            <w:tcW w:w="0" w:type="auto"/>
          </w:tcPr>
          <w:p w14:paraId="73CD1125" w14:textId="77777777" w:rsidR="002C0F97" w:rsidRDefault="002C0F97" w:rsidP="00040D95">
            <w:pPr>
              <w:rPr>
                <w:rFonts w:ascii="Arial Narrow" w:hAnsi="Arial Narrow"/>
                <w:sz w:val="16"/>
              </w:rPr>
            </w:pPr>
            <w:r>
              <w:rPr>
                <w:rFonts w:ascii="Arial Narrow" w:hAnsi="Arial Narrow"/>
                <w:sz w:val="16"/>
              </w:rPr>
              <w:t>19</w:t>
            </w:r>
          </w:p>
        </w:tc>
        <w:tc>
          <w:tcPr>
            <w:tcW w:w="0" w:type="auto"/>
          </w:tcPr>
          <w:p w14:paraId="1D17B74C" w14:textId="77777777" w:rsidR="002C0F97" w:rsidRDefault="002C0F97" w:rsidP="00040D95">
            <w:pPr>
              <w:rPr>
                <w:rFonts w:ascii="Arial Narrow" w:hAnsi="Arial Narrow"/>
                <w:sz w:val="16"/>
              </w:rPr>
            </w:pPr>
            <w:r>
              <w:rPr>
                <w:rFonts w:ascii="Arial Narrow" w:hAnsi="Arial Narrow"/>
                <w:sz w:val="16"/>
              </w:rPr>
              <w:t>19</w:t>
            </w:r>
          </w:p>
        </w:tc>
        <w:tc>
          <w:tcPr>
            <w:tcW w:w="0" w:type="auto"/>
          </w:tcPr>
          <w:p w14:paraId="31DFA604" w14:textId="77777777" w:rsidR="002C0F97" w:rsidRDefault="002C0F97" w:rsidP="00040D95">
            <w:pPr>
              <w:rPr>
                <w:rFonts w:ascii="Arial Narrow" w:hAnsi="Arial Narrow"/>
                <w:sz w:val="16"/>
              </w:rPr>
            </w:pPr>
            <w:r>
              <w:rPr>
                <w:rFonts w:ascii="Arial Narrow" w:hAnsi="Arial Narrow"/>
                <w:sz w:val="16"/>
              </w:rPr>
              <w:t>5-8</w:t>
            </w:r>
          </w:p>
        </w:tc>
        <w:tc>
          <w:tcPr>
            <w:tcW w:w="0" w:type="auto"/>
          </w:tcPr>
          <w:p w14:paraId="6BF0C543" w14:textId="77777777" w:rsidR="002C0F97" w:rsidRDefault="002C0F97" w:rsidP="00040D95">
            <w:pPr>
              <w:rPr>
                <w:rFonts w:ascii="Arial Narrow" w:hAnsi="Arial Narrow"/>
                <w:sz w:val="16"/>
              </w:rPr>
            </w:pPr>
            <w:r>
              <w:rPr>
                <w:rFonts w:ascii="Arial Narrow" w:hAnsi="Arial Narrow"/>
                <w:sz w:val="16"/>
              </w:rPr>
              <w:t>5-8</w:t>
            </w:r>
          </w:p>
        </w:tc>
        <w:tc>
          <w:tcPr>
            <w:tcW w:w="0" w:type="auto"/>
          </w:tcPr>
          <w:p w14:paraId="0ECC8511" w14:textId="77777777" w:rsidR="002C0F97" w:rsidRDefault="002C0F97" w:rsidP="00040D95">
            <w:pPr>
              <w:rPr>
                <w:rFonts w:ascii="Arial Narrow" w:hAnsi="Arial Narrow"/>
                <w:sz w:val="16"/>
              </w:rPr>
            </w:pPr>
            <w:r>
              <w:rPr>
                <w:rFonts w:ascii="Arial Narrow" w:hAnsi="Arial Narrow"/>
                <w:sz w:val="16"/>
              </w:rPr>
              <w:t>5-8</w:t>
            </w:r>
          </w:p>
        </w:tc>
        <w:tc>
          <w:tcPr>
            <w:tcW w:w="0" w:type="auto"/>
          </w:tcPr>
          <w:p w14:paraId="57199C0A" w14:textId="77777777" w:rsidR="002C0F97" w:rsidRDefault="002C0F97" w:rsidP="00040D95">
            <w:pPr>
              <w:rPr>
                <w:rFonts w:ascii="Arial Narrow" w:hAnsi="Arial Narrow"/>
                <w:sz w:val="16"/>
              </w:rPr>
            </w:pPr>
            <w:r>
              <w:rPr>
                <w:rFonts w:ascii="Arial Narrow" w:hAnsi="Arial Narrow"/>
                <w:sz w:val="16"/>
              </w:rPr>
              <w:t>5-8</w:t>
            </w:r>
          </w:p>
        </w:tc>
        <w:tc>
          <w:tcPr>
            <w:tcW w:w="0" w:type="auto"/>
          </w:tcPr>
          <w:p w14:paraId="0C8414B0" w14:textId="77777777" w:rsidR="002C0F97" w:rsidRDefault="002C0F97" w:rsidP="00040D95">
            <w:pPr>
              <w:rPr>
                <w:rFonts w:ascii="Arial Narrow" w:hAnsi="Arial Narrow"/>
                <w:sz w:val="16"/>
              </w:rPr>
            </w:pPr>
            <w:r>
              <w:rPr>
                <w:rFonts w:ascii="Arial Narrow" w:hAnsi="Arial Narrow"/>
                <w:sz w:val="16"/>
              </w:rPr>
              <w:t>5-8</w:t>
            </w:r>
          </w:p>
        </w:tc>
        <w:tc>
          <w:tcPr>
            <w:tcW w:w="0" w:type="auto"/>
          </w:tcPr>
          <w:p w14:paraId="421A4A60" w14:textId="77777777" w:rsidR="002C0F97" w:rsidRDefault="002C0F97" w:rsidP="00040D95">
            <w:pPr>
              <w:rPr>
                <w:rFonts w:ascii="Arial Narrow" w:hAnsi="Arial Narrow"/>
                <w:sz w:val="16"/>
              </w:rPr>
            </w:pPr>
            <w:r>
              <w:rPr>
                <w:rFonts w:ascii="Arial Narrow" w:hAnsi="Arial Narrow"/>
                <w:sz w:val="16"/>
              </w:rPr>
              <w:t>13-18</w:t>
            </w:r>
          </w:p>
        </w:tc>
        <w:tc>
          <w:tcPr>
            <w:tcW w:w="0" w:type="auto"/>
          </w:tcPr>
          <w:p w14:paraId="05A425B0" w14:textId="77777777" w:rsidR="002C0F97" w:rsidRDefault="002C0F97" w:rsidP="00040D95">
            <w:pPr>
              <w:rPr>
                <w:rFonts w:ascii="Arial Narrow" w:hAnsi="Arial Narrow"/>
                <w:sz w:val="16"/>
              </w:rPr>
            </w:pPr>
            <w:r>
              <w:rPr>
                <w:rFonts w:ascii="Arial Narrow" w:hAnsi="Arial Narrow"/>
                <w:sz w:val="16"/>
              </w:rPr>
              <w:t>13-18</w:t>
            </w:r>
          </w:p>
        </w:tc>
        <w:tc>
          <w:tcPr>
            <w:tcW w:w="0" w:type="auto"/>
          </w:tcPr>
          <w:p w14:paraId="05467821" w14:textId="77777777" w:rsidR="002C0F97" w:rsidRDefault="002C0F97" w:rsidP="00040D95">
            <w:pPr>
              <w:rPr>
                <w:rFonts w:ascii="Arial Narrow" w:hAnsi="Arial Narrow"/>
                <w:sz w:val="16"/>
              </w:rPr>
            </w:pPr>
            <w:r>
              <w:rPr>
                <w:rFonts w:ascii="Arial Narrow" w:hAnsi="Arial Narrow"/>
                <w:sz w:val="16"/>
              </w:rPr>
              <w:t>13-18</w:t>
            </w:r>
          </w:p>
        </w:tc>
        <w:tc>
          <w:tcPr>
            <w:tcW w:w="0" w:type="auto"/>
          </w:tcPr>
          <w:p w14:paraId="7B7B3D63" w14:textId="77777777" w:rsidR="002C0F97" w:rsidRDefault="002C0F97" w:rsidP="00040D95">
            <w:pPr>
              <w:rPr>
                <w:rFonts w:ascii="Arial Narrow" w:hAnsi="Arial Narrow"/>
                <w:sz w:val="16"/>
              </w:rPr>
            </w:pPr>
            <w:r>
              <w:rPr>
                <w:rFonts w:ascii="Arial Narrow" w:hAnsi="Arial Narrow"/>
                <w:sz w:val="16"/>
              </w:rPr>
              <w:t>13-18</w:t>
            </w:r>
          </w:p>
        </w:tc>
        <w:tc>
          <w:tcPr>
            <w:tcW w:w="0" w:type="auto"/>
          </w:tcPr>
          <w:p w14:paraId="41EEF008" w14:textId="77777777" w:rsidR="002C0F97" w:rsidRDefault="002C0F97" w:rsidP="00040D95">
            <w:pPr>
              <w:rPr>
                <w:rFonts w:ascii="Arial Narrow" w:hAnsi="Arial Narrow"/>
                <w:sz w:val="16"/>
              </w:rPr>
            </w:pPr>
            <w:r>
              <w:rPr>
                <w:rFonts w:ascii="Arial Narrow" w:hAnsi="Arial Narrow"/>
                <w:sz w:val="16"/>
              </w:rPr>
              <w:t>13-18</w:t>
            </w:r>
          </w:p>
        </w:tc>
      </w:tr>
      <w:tr w:rsidR="002C0F97" w14:paraId="0A4A93D0" w14:textId="77777777" w:rsidTr="00040D95">
        <w:tc>
          <w:tcPr>
            <w:tcW w:w="0" w:type="auto"/>
          </w:tcPr>
          <w:p w14:paraId="4165F698" w14:textId="77777777" w:rsidR="002C0F97" w:rsidRDefault="002C0F97" w:rsidP="00040D95">
            <w:pPr>
              <w:rPr>
                <w:rFonts w:ascii="Arial Narrow" w:hAnsi="Arial Narrow"/>
                <w:sz w:val="16"/>
              </w:rPr>
            </w:pPr>
            <w:r>
              <w:rPr>
                <w:rFonts w:ascii="Arial Narrow" w:hAnsi="Arial Narrow"/>
                <w:sz w:val="16"/>
              </w:rPr>
              <w:t>IP WAN</w:t>
            </w:r>
          </w:p>
        </w:tc>
        <w:tc>
          <w:tcPr>
            <w:tcW w:w="0" w:type="auto"/>
          </w:tcPr>
          <w:p w14:paraId="7FB1F05E" w14:textId="77777777" w:rsidR="002C0F97" w:rsidRDefault="002C0F97" w:rsidP="00040D95">
            <w:pPr>
              <w:rPr>
                <w:rFonts w:ascii="Arial Narrow" w:hAnsi="Arial Narrow"/>
                <w:sz w:val="16"/>
              </w:rPr>
            </w:pPr>
            <w:r>
              <w:rPr>
                <w:rFonts w:ascii="Arial Narrow" w:hAnsi="Arial Narrow"/>
                <w:sz w:val="16"/>
              </w:rPr>
              <w:t>20</w:t>
            </w:r>
          </w:p>
        </w:tc>
        <w:tc>
          <w:tcPr>
            <w:tcW w:w="0" w:type="auto"/>
            <w:shd w:val="clear" w:color="auto" w:fill="000000"/>
          </w:tcPr>
          <w:p w14:paraId="685F4D78" w14:textId="77777777" w:rsidR="002C0F97" w:rsidRDefault="002C0F97" w:rsidP="00040D95">
            <w:pPr>
              <w:rPr>
                <w:rFonts w:ascii="Arial Narrow" w:hAnsi="Arial Narrow"/>
                <w:color w:val="FFFFFF"/>
                <w:sz w:val="16"/>
              </w:rPr>
            </w:pPr>
            <w:r>
              <w:rPr>
                <w:rFonts w:ascii="Arial Narrow" w:hAnsi="Arial Narrow"/>
                <w:sz w:val="16"/>
              </w:rPr>
              <w:t>N/A</w:t>
            </w:r>
          </w:p>
        </w:tc>
        <w:tc>
          <w:tcPr>
            <w:tcW w:w="0" w:type="auto"/>
          </w:tcPr>
          <w:p w14:paraId="2B2BD03C" w14:textId="77777777" w:rsidR="002C0F97" w:rsidRDefault="002C0F97" w:rsidP="00040D95">
            <w:pPr>
              <w:rPr>
                <w:rFonts w:ascii="Arial Narrow" w:hAnsi="Arial Narrow"/>
                <w:sz w:val="16"/>
              </w:rPr>
            </w:pPr>
            <w:r>
              <w:rPr>
                <w:rFonts w:ascii="Arial Narrow" w:hAnsi="Arial Narrow"/>
                <w:sz w:val="16"/>
              </w:rPr>
              <w:t>20</w:t>
            </w:r>
          </w:p>
        </w:tc>
        <w:tc>
          <w:tcPr>
            <w:tcW w:w="0" w:type="auto"/>
          </w:tcPr>
          <w:p w14:paraId="4AE046E4" w14:textId="77777777" w:rsidR="002C0F97" w:rsidRDefault="002C0F97" w:rsidP="00040D95">
            <w:pPr>
              <w:rPr>
                <w:rFonts w:ascii="Arial Narrow" w:hAnsi="Arial Narrow"/>
                <w:sz w:val="16"/>
              </w:rPr>
            </w:pPr>
            <w:r>
              <w:rPr>
                <w:rFonts w:ascii="Arial Narrow" w:hAnsi="Arial Narrow"/>
                <w:sz w:val="16"/>
              </w:rPr>
              <w:t>12</w:t>
            </w:r>
          </w:p>
        </w:tc>
        <w:tc>
          <w:tcPr>
            <w:tcW w:w="0" w:type="auto"/>
          </w:tcPr>
          <w:p w14:paraId="190C8268" w14:textId="77777777" w:rsidR="002C0F97" w:rsidRDefault="002C0F97" w:rsidP="00040D95">
            <w:pPr>
              <w:rPr>
                <w:rFonts w:ascii="Arial Narrow" w:hAnsi="Arial Narrow"/>
                <w:sz w:val="16"/>
              </w:rPr>
            </w:pPr>
            <w:r>
              <w:rPr>
                <w:rFonts w:ascii="Arial Narrow" w:hAnsi="Arial Narrow"/>
                <w:sz w:val="16"/>
              </w:rPr>
              <w:t>30</w:t>
            </w:r>
          </w:p>
        </w:tc>
        <w:tc>
          <w:tcPr>
            <w:tcW w:w="0" w:type="auto"/>
            <w:shd w:val="clear" w:color="auto" w:fill="000000"/>
          </w:tcPr>
          <w:p w14:paraId="0FF380A3"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B9AB12E"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488BDB85"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87164CB"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13493AA"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911CB62"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AB4345D"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E498B62"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674FFE7"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189F777"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54E7730F"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4E35F6C4"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748A1C3"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872602E"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6E069E1" w14:textId="77777777" w:rsidR="002C0F97" w:rsidRDefault="002C0F97" w:rsidP="00040D95">
            <w:pPr>
              <w:rPr>
                <w:rFonts w:ascii="Arial Narrow" w:hAnsi="Arial Narrow"/>
                <w:color w:val="FFFFFF"/>
                <w:sz w:val="16"/>
              </w:rPr>
            </w:pPr>
            <w:r>
              <w:rPr>
                <w:rFonts w:ascii="Arial Narrow" w:hAnsi="Arial Narrow"/>
                <w:color w:val="FFFFFF"/>
                <w:sz w:val="16"/>
              </w:rPr>
              <w:t>N/A</w:t>
            </w:r>
          </w:p>
        </w:tc>
      </w:tr>
      <w:tr w:rsidR="002C0F97" w14:paraId="00B09003" w14:textId="77777777" w:rsidTr="00040D95">
        <w:tc>
          <w:tcPr>
            <w:tcW w:w="0" w:type="auto"/>
          </w:tcPr>
          <w:p w14:paraId="6A155971" w14:textId="77777777" w:rsidR="002C0F97" w:rsidRDefault="002C0F97" w:rsidP="00040D95">
            <w:pPr>
              <w:rPr>
                <w:rFonts w:ascii="Arial Narrow" w:hAnsi="Arial Narrow"/>
                <w:sz w:val="16"/>
              </w:rPr>
            </w:pPr>
            <w:r>
              <w:rPr>
                <w:rFonts w:ascii="Arial Narrow" w:hAnsi="Arial Narrow"/>
                <w:sz w:val="16"/>
              </w:rPr>
              <w:t>Argent Dedicated 1</w:t>
            </w:r>
          </w:p>
        </w:tc>
        <w:tc>
          <w:tcPr>
            <w:tcW w:w="0" w:type="auto"/>
          </w:tcPr>
          <w:p w14:paraId="50153DCF" w14:textId="77777777" w:rsidR="002C0F97" w:rsidRDefault="002C0F97" w:rsidP="00040D95">
            <w:pPr>
              <w:rPr>
                <w:rFonts w:ascii="Arial Narrow" w:hAnsi="Arial Narrow"/>
                <w:sz w:val="16"/>
              </w:rPr>
            </w:pPr>
            <w:r>
              <w:rPr>
                <w:rFonts w:ascii="Arial Narrow" w:hAnsi="Arial Narrow"/>
                <w:sz w:val="16"/>
              </w:rPr>
              <w:t>10</w:t>
            </w:r>
          </w:p>
        </w:tc>
        <w:tc>
          <w:tcPr>
            <w:tcW w:w="0" w:type="auto"/>
            <w:shd w:val="clear" w:color="auto" w:fill="000000"/>
          </w:tcPr>
          <w:p w14:paraId="59F10E68" w14:textId="77777777" w:rsidR="002C0F97" w:rsidRDefault="002C0F97" w:rsidP="00040D95">
            <w:pPr>
              <w:rPr>
                <w:rFonts w:ascii="Arial Narrow" w:hAnsi="Arial Narrow"/>
                <w:sz w:val="16"/>
              </w:rPr>
            </w:pPr>
            <w:r>
              <w:rPr>
                <w:rFonts w:ascii="Arial Narrow" w:hAnsi="Arial Narrow"/>
                <w:color w:val="FFFFFF"/>
                <w:sz w:val="16"/>
              </w:rPr>
              <w:t>N/A</w:t>
            </w:r>
          </w:p>
        </w:tc>
        <w:tc>
          <w:tcPr>
            <w:tcW w:w="0" w:type="auto"/>
            <w:shd w:val="clear" w:color="auto" w:fill="000000"/>
          </w:tcPr>
          <w:p w14:paraId="0FC28E51" w14:textId="77777777" w:rsidR="002C0F97" w:rsidRDefault="002C0F97" w:rsidP="00040D95">
            <w:pPr>
              <w:rPr>
                <w:rFonts w:ascii="Arial Narrow" w:hAnsi="Arial Narrow"/>
                <w:b/>
                <w:sz w:val="16"/>
              </w:rPr>
            </w:pPr>
            <w:r>
              <w:rPr>
                <w:rFonts w:ascii="Arial Narrow" w:hAnsi="Arial Narrow"/>
                <w:color w:val="FFFFFF"/>
                <w:sz w:val="16"/>
              </w:rPr>
              <w:t>N/A</w:t>
            </w:r>
          </w:p>
        </w:tc>
        <w:tc>
          <w:tcPr>
            <w:tcW w:w="0" w:type="auto"/>
            <w:shd w:val="clear" w:color="auto" w:fill="000000"/>
          </w:tcPr>
          <w:p w14:paraId="35DA676F" w14:textId="77777777" w:rsidR="002C0F97" w:rsidRDefault="002C0F97" w:rsidP="00040D95">
            <w:pPr>
              <w:rPr>
                <w:rFonts w:ascii="Arial Narrow" w:hAnsi="Arial Narrow"/>
                <w:sz w:val="16"/>
              </w:rPr>
            </w:pPr>
            <w:r>
              <w:rPr>
                <w:rFonts w:ascii="Arial Narrow" w:hAnsi="Arial Narrow"/>
                <w:color w:val="FFFFFF"/>
                <w:sz w:val="16"/>
              </w:rPr>
              <w:t>N/A</w:t>
            </w:r>
          </w:p>
        </w:tc>
        <w:tc>
          <w:tcPr>
            <w:tcW w:w="0" w:type="auto"/>
          </w:tcPr>
          <w:p w14:paraId="16BED509" w14:textId="77777777" w:rsidR="002C0F97" w:rsidRDefault="002C0F97" w:rsidP="00040D95">
            <w:pPr>
              <w:rPr>
                <w:rFonts w:ascii="Arial Narrow" w:hAnsi="Arial Narrow"/>
                <w:sz w:val="16"/>
              </w:rPr>
            </w:pPr>
            <w:r>
              <w:rPr>
                <w:rFonts w:ascii="Arial Narrow" w:hAnsi="Arial Narrow"/>
                <w:sz w:val="16"/>
              </w:rPr>
              <w:t>3</w:t>
            </w:r>
          </w:p>
        </w:tc>
        <w:tc>
          <w:tcPr>
            <w:tcW w:w="0" w:type="auto"/>
            <w:shd w:val="clear" w:color="auto" w:fill="000000"/>
          </w:tcPr>
          <w:p w14:paraId="31FF673A"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E27F550"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4DFABE5A"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76556B1"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5BB8F87"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77E15F8"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B1DA288"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AF13AA3"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5363432D"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214E586"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6B606CC"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602F6DAA"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68EFD62"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69B5E4A"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17CED84" w14:textId="77777777" w:rsidR="002C0F97" w:rsidRDefault="002C0F97" w:rsidP="00040D95">
            <w:pPr>
              <w:rPr>
                <w:rFonts w:ascii="Arial Narrow" w:hAnsi="Arial Narrow"/>
                <w:color w:val="FFFFFF"/>
                <w:sz w:val="16"/>
              </w:rPr>
            </w:pPr>
            <w:r>
              <w:rPr>
                <w:rFonts w:ascii="Arial Narrow" w:hAnsi="Arial Narrow"/>
                <w:color w:val="FFFFFF"/>
                <w:sz w:val="16"/>
              </w:rPr>
              <w:t>N/A</w:t>
            </w:r>
          </w:p>
        </w:tc>
      </w:tr>
      <w:tr w:rsidR="002C0F97" w14:paraId="0D114BE2" w14:textId="77777777" w:rsidTr="00040D95">
        <w:tc>
          <w:tcPr>
            <w:tcW w:w="0" w:type="auto"/>
          </w:tcPr>
          <w:p w14:paraId="10917944" w14:textId="77777777" w:rsidR="002C0F97" w:rsidRDefault="002C0F97" w:rsidP="00040D95">
            <w:pPr>
              <w:rPr>
                <w:rFonts w:ascii="Arial Narrow" w:hAnsi="Arial Narrow"/>
                <w:sz w:val="16"/>
              </w:rPr>
            </w:pPr>
            <w:r>
              <w:rPr>
                <w:rFonts w:ascii="Arial Narrow" w:hAnsi="Arial Narrow"/>
                <w:sz w:val="16"/>
              </w:rPr>
              <w:t>Argent Connect</w:t>
            </w:r>
          </w:p>
        </w:tc>
        <w:tc>
          <w:tcPr>
            <w:tcW w:w="0" w:type="auto"/>
          </w:tcPr>
          <w:p w14:paraId="37E5E5B2" w14:textId="77777777" w:rsidR="002C0F97" w:rsidRDefault="002C0F97" w:rsidP="00040D95">
            <w:pPr>
              <w:rPr>
                <w:rFonts w:ascii="Arial Narrow" w:hAnsi="Arial Narrow"/>
                <w:sz w:val="16"/>
              </w:rPr>
            </w:pPr>
            <w:r>
              <w:rPr>
                <w:rFonts w:ascii="Arial Narrow" w:hAnsi="Arial Narrow"/>
                <w:sz w:val="16"/>
              </w:rPr>
              <w:t>10</w:t>
            </w:r>
          </w:p>
        </w:tc>
        <w:tc>
          <w:tcPr>
            <w:tcW w:w="0" w:type="auto"/>
          </w:tcPr>
          <w:p w14:paraId="09A9A14A" w14:textId="77777777" w:rsidR="002C0F97" w:rsidRDefault="002C0F97" w:rsidP="00040D95">
            <w:pPr>
              <w:rPr>
                <w:rFonts w:ascii="Arial Narrow" w:hAnsi="Arial Narrow"/>
                <w:sz w:val="16"/>
              </w:rPr>
            </w:pPr>
            <w:r>
              <w:rPr>
                <w:rFonts w:ascii="Arial Narrow" w:hAnsi="Arial Narrow"/>
                <w:sz w:val="16"/>
              </w:rPr>
              <w:t>3</w:t>
            </w:r>
          </w:p>
        </w:tc>
        <w:tc>
          <w:tcPr>
            <w:tcW w:w="0" w:type="auto"/>
            <w:shd w:val="clear" w:color="auto" w:fill="000000"/>
          </w:tcPr>
          <w:p w14:paraId="4B9D57EB" w14:textId="77777777" w:rsidR="002C0F97" w:rsidRDefault="002C0F97" w:rsidP="00040D95">
            <w:pPr>
              <w:rPr>
                <w:rFonts w:ascii="Arial Narrow" w:hAnsi="Arial Narrow"/>
                <w:sz w:val="16"/>
              </w:rPr>
            </w:pPr>
            <w:r>
              <w:rPr>
                <w:rFonts w:ascii="Arial Narrow" w:hAnsi="Arial Narrow"/>
                <w:color w:val="FFFFFF"/>
                <w:sz w:val="16"/>
              </w:rPr>
              <w:t>N/A</w:t>
            </w:r>
          </w:p>
        </w:tc>
        <w:tc>
          <w:tcPr>
            <w:tcW w:w="0" w:type="auto"/>
            <w:shd w:val="clear" w:color="auto" w:fill="000000"/>
          </w:tcPr>
          <w:p w14:paraId="6E42A983" w14:textId="77777777" w:rsidR="002C0F97" w:rsidRDefault="002C0F97" w:rsidP="00040D95">
            <w:pPr>
              <w:rPr>
                <w:rFonts w:ascii="Arial Narrow" w:hAnsi="Arial Narrow"/>
                <w:sz w:val="16"/>
              </w:rPr>
            </w:pPr>
            <w:r>
              <w:rPr>
                <w:rFonts w:ascii="Arial Narrow" w:hAnsi="Arial Narrow"/>
                <w:color w:val="FFFFFF"/>
                <w:sz w:val="16"/>
              </w:rPr>
              <w:t>N/A</w:t>
            </w:r>
          </w:p>
        </w:tc>
        <w:tc>
          <w:tcPr>
            <w:tcW w:w="0" w:type="auto"/>
          </w:tcPr>
          <w:p w14:paraId="0E6DE9F3" w14:textId="77777777" w:rsidR="002C0F97" w:rsidRDefault="002C0F97" w:rsidP="00040D95">
            <w:pPr>
              <w:rPr>
                <w:rFonts w:ascii="Arial Narrow" w:hAnsi="Arial Narrow"/>
                <w:sz w:val="16"/>
              </w:rPr>
            </w:pPr>
            <w:r>
              <w:rPr>
                <w:rFonts w:ascii="Arial Narrow" w:hAnsi="Arial Narrow"/>
                <w:sz w:val="16"/>
              </w:rPr>
              <w:t>3</w:t>
            </w:r>
          </w:p>
        </w:tc>
        <w:tc>
          <w:tcPr>
            <w:tcW w:w="0" w:type="auto"/>
            <w:shd w:val="clear" w:color="auto" w:fill="000000"/>
          </w:tcPr>
          <w:p w14:paraId="29B4BD5C"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5D14119"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7BB2B49"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27842C6"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5AA662B2"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C252C6B"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925E8F9"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E678C12"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57572DF"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5C490CE"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0F406BB"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CB2E9E2"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66C3548C"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6E8F7535"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0905B75" w14:textId="77777777" w:rsidR="002C0F97" w:rsidRDefault="002C0F97" w:rsidP="00040D95">
            <w:pPr>
              <w:rPr>
                <w:rFonts w:ascii="Arial Narrow" w:hAnsi="Arial Narrow"/>
                <w:color w:val="FFFFFF"/>
                <w:sz w:val="16"/>
              </w:rPr>
            </w:pPr>
            <w:r>
              <w:rPr>
                <w:rFonts w:ascii="Arial Narrow" w:hAnsi="Arial Narrow"/>
                <w:color w:val="FFFFFF"/>
                <w:sz w:val="16"/>
              </w:rPr>
              <w:t>N/A</w:t>
            </w:r>
          </w:p>
        </w:tc>
      </w:tr>
      <w:tr w:rsidR="002C0F97" w14:paraId="345C5D50" w14:textId="77777777" w:rsidTr="00040D95">
        <w:tc>
          <w:tcPr>
            <w:tcW w:w="0" w:type="auto"/>
          </w:tcPr>
          <w:p w14:paraId="6B98CF4D" w14:textId="77777777" w:rsidR="002C0F97" w:rsidRDefault="002C0F97" w:rsidP="00040D95">
            <w:pPr>
              <w:rPr>
                <w:rFonts w:ascii="Arial Narrow" w:hAnsi="Arial Narrow"/>
                <w:color w:val="FFFFFF"/>
                <w:sz w:val="16"/>
              </w:rPr>
            </w:pPr>
            <w:r>
              <w:rPr>
                <w:rFonts w:ascii="Arial Narrow" w:hAnsi="Arial Narrow"/>
                <w:sz w:val="16"/>
              </w:rPr>
              <w:t>Argent Dial Up</w:t>
            </w:r>
            <w:r>
              <w:rPr>
                <w:rFonts w:ascii="Arial Narrow" w:hAnsi="Arial Narrow"/>
                <w:color w:val="FFFFFF"/>
                <w:sz w:val="16"/>
              </w:rPr>
              <w:t xml:space="preserve"> A</w:t>
            </w:r>
          </w:p>
        </w:tc>
        <w:tc>
          <w:tcPr>
            <w:tcW w:w="0" w:type="auto"/>
          </w:tcPr>
          <w:p w14:paraId="6055B1A2" w14:textId="77777777" w:rsidR="002C0F97" w:rsidRDefault="002C0F97" w:rsidP="00040D95">
            <w:pPr>
              <w:rPr>
                <w:rFonts w:ascii="Arial Narrow" w:hAnsi="Arial Narrow"/>
                <w:color w:val="FFFFFF"/>
                <w:sz w:val="16"/>
              </w:rPr>
            </w:pPr>
            <w:r>
              <w:rPr>
                <w:rFonts w:ascii="Arial Narrow" w:hAnsi="Arial Narrow"/>
                <w:sz w:val="16"/>
              </w:rPr>
              <w:t>10</w:t>
            </w:r>
          </w:p>
        </w:tc>
        <w:tc>
          <w:tcPr>
            <w:tcW w:w="0" w:type="auto"/>
            <w:shd w:val="clear" w:color="auto" w:fill="000000"/>
          </w:tcPr>
          <w:p w14:paraId="528C8D03"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50A7AE9"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E1A4025"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tcPr>
          <w:p w14:paraId="401B9CE4" w14:textId="77777777" w:rsidR="002C0F97" w:rsidRDefault="002C0F97" w:rsidP="00040D95">
            <w:pPr>
              <w:rPr>
                <w:rFonts w:ascii="Arial Narrow" w:hAnsi="Arial Narrow"/>
                <w:sz w:val="16"/>
              </w:rPr>
            </w:pPr>
            <w:r>
              <w:rPr>
                <w:rFonts w:ascii="Arial Narrow" w:hAnsi="Arial Narrow"/>
                <w:sz w:val="16"/>
              </w:rPr>
              <w:t>5</w:t>
            </w:r>
          </w:p>
        </w:tc>
        <w:tc>
          <w:tcPr>
            <w:tcW w:w="0" w:type="auto"/>
            <w:shd w:val="clear" w:color="auto" w:fill="000000"/>
          </w:tcPr>
          <w:p w14:paraId="7E5E9B4F"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0E7926A7"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58CC9F5F"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D0ADD06"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64CDFD07"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4D70EB2E"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7FFB244A"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60AC3041"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48C413BE"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536299B"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9E6E106"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953621F"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2EE808EB"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16AAE80E" w14:textId="77777777" w:rsidR="002C0F97" w:rsidRDefault="002C0F97" w:rsidP="00040D95">
            <w:pPr>
              <w:rPr>
                <w:rFonts w:ascii="Arial Narrow" w:hAnsi="Arial Narrow"/>
                <w:color w:val="FFFFFF"/>
                <w:sz w:val="16"/>
              </w:rPr>
            </w:pPr>
            <w:r>
              <w:rPr>
                <w:rFonts w:ascii="Arial Narrow" w:hAnsi="Arial Narrow"/>
                <w:color w:val="FFFFFF"/>
                <w:sz w:val="16"/>
              </w:rPr>
              <w:t>N/A</w:t>
            </w:r>
          </w:p>
        </w:tc>
        <w:tc>
          <w:tcPr>
            <w:tcW w:w="0" w:type="auto"/>
            <w:shd w:val="clear" w:color="auto" w:fill="000000"/>
          </w:tcPr>
          <w:p w14:paraId="35951BE8" w14:textId="77777777" w:rsidR="002C0F97" w:rsidRDefault="002C0F97" w:rsidP="00040D95">
            <w:pPr>
              <w:rPr>
                <w:rFonts w:ascii="Arial Narrow" w:hAnsi="Arial Narrow"/>
                <w:color w:val="FFFFFF"/>
                <w:sz w:val="16"/>
              </w:rPr>
            </w:pPr>
            <w:r>
              <w:rPr>
                <w:rFonts w:ascii="Arial Narrow" w:hAnsi="Arial Narrow"/>
                <w:color w:val="FFFFFF"/>
                <w:sz w:val="16"/>
              </w:rPr>
              <w:t>N/A</w:t>
            </w:r>
          </w:p>
        </w:tc>
      </w:tr>
    </w:tbl>
    <w:p w14:paraId="56748B38" w14:textId="77777777" w:rsidR="002C0F97" w:rsidRDefault="002C0F97" w:rsidP="002C0F97">
      <w:pPr>
        <w:rPr>
          <w:snapToGrid w:val="0"/>
        </w:rPr>
      </w:pPr>
    </w:p>
    <w:p w14:paraId="500DD648" w14:textId="77777777" w:rsidR="002C0F97" w:rsidRDefault="002C0F97" w:rsidP="002C0F97">
      <w:pPr>
        <w:rPr>
          <w:snapToGrid w:val="0"/>
        </w:rPr>
      </w:pPr>
      <w:r>
        <w:rPr>
          <w:snapToGrid w:val="0"/>
        </w:rPr>
        <w:t xml:space="preserve">NEW means a new connection/special service on behalf of </w:t>
      </w:r>
      <w:r w:rsidR="003C4E8C">
        <w:rPr>
          <w:snapToGrid w:val="0"/>
        </w:rPr>
        <w:t>you</w:t>
      </w:r>
    </w:p>
    <w:p w14:paraId="3DE27A6C" w14:textId="77777777" w:rsidR="002C0F97" w:rsidRDefault="002C0F97" w:rsidP="002C0F97">
      <w:pPr>
        <w:rPr>
          <w:snapToGrid w:val="0"/>
        </w:rPr>
      </w:pPr>
      <w:r>
        <w:rPr>
          <w:snapToGrid w:val="0"/>
        </w:rPr>
        <w:t xml:space="preserve">NET means a temporary connection on behalf of </w:t>
      </w:r>
      <w:r w:rsidR="003C4E8C">
        <w:rPr>
          <w:snapToGrid w:val="0"/>
        </w:rPr>
        <w:t>you</w:t>
      </w:r>
    </w:p>
    <w:p w14:paraId="347F5B26" w14:textId="77777777" w:rsidR="002C0F97" w:rsidRDefault="002C0F97" w:rsidP="002C0F97">
      <w:pPr>
        <w:rPr>
          <w:snapToGrid w:val="0"/>
        </w:rPr>
      </w:pPr>
      <w:r>
        <w:rPr>
          <w:snapToGrid w:val="0"/>
        </w:rPr>
        <w:t xml:space="preserve">UGP means an upgrade provides connection for </w:t>
      </w:r>
      <w:r w:rsidR="003C4E8C">
        <w:rPr>
          <w:snapToGrid w:val="0"/>
        </w:rPr>
        <w:t xml:space="preserve">you </w:t>
      </w:r>
      <w:r>
        <w:rPr>
          <w:snapToGrid w:val="0"/>
        </w:rPr>
        <w:t>(usually to increase speed of service)</w:t>
      </w:r>
    </w:p>
    <w:p w14:paraId="14D89973" w14:textId="77777777" w:rsidR="002C0F97" w:rsidRDefault="002C0F97" w:rsidP="002C0F97">
      <w:pPr>
        <w:rPr>
          <w:snapToGrid w:val="0"/>
        </w:rPr>
      </w:pPr>
      <w:r>
        <w:rPr>
          <w:snapToGrid w:val="0"/>
        </w:rPr>
        <w:t>ERT means an external removal of a service to a new address</w:t>
      </w:r>
    </w:p>
    <w:p w14:paraId="1A6D365D" w14:textId="2231358E" w:rsidR="00745A99" w:rsidRDefault="002C0F97" w:rsidP="002C0F97">
      <w:pPr>
        <w:rPr>
          <w:snapToGrid w:val="0"/>
        </w:rPr>
      </w:pPr>
      <w:r>
        <w:rPr>
          <w:snapToGrid w:val="0"/>
        </w:rPr>
        <w:t>IDR means an indoor removal of a service/equipment within the same building/dwelling.</w:t>
      </w:r>
    </w:p>
    <w:p w14:paraId="53C62B2C" w14:textId="77777777" w:rsidR="002C0F97" w:rsidRDefault="002C0F97" w:rsidP="006F4897"/>
    <w:p w14:paraId="74732593" w14:textId="77777777" w:rsidR="002C0F97" w:rsidRPr="00D5644E" w:rsidRDefault="002C0F97" w:rsidP="002C0F97">
      <w:pPr>
        <w:pStyle w:val="Heading3"/>
        <w:numPr>
          <w:ilvl w:val="0"/>
          <w:numId w:val="0"/>
        </w:numPr>
        <w:rPr>
          <w:b/>
        </w:rPr>
      </w:pPr>
      <w:r>
        <w:rPr>
          <w:b/>
        </w:rPr>
        <w:t>TPC Rebate</w:t>
      </w:r>
    </w:p>
    <w:p w14:paraId="00757C81" w14:textId="57C02827" w:rsidR="002C0F97" w:rsidRDefault="002C0F97" w:rsidP="007C6130">
      <w:pPr>
        <w:pStyle w:val="Heading2"/>
      </w:pPr>
      <w:bookmarkStart w:id="35" w:name="_Ref448757432"/>
      <w:r w:rsidRPr="005D251E">
        <w:t xml:space="preserve">If </w:t>
      </w:r>
      <w:r w:rsidR="003C4E8C" w:rsidRPr="007C6130">
        <w:t>we</w:t>
      </w:r>
      <w:r w:rsidRPr="005D251E">
        <w:t xml:space="preserve"> fail to provide the selected service or product to </w:t>
      </w:r>
      <w:r w:rsidRPr="009F718D">
        <w:t>you</w:t>
      </w:r>
      <w:r w:rsidRPr="007C6130">
        <w:t xml:space="preserve"> </w:t>
      </w:r>
      <w:r w:rsidRPr="005D251E">
        <w:t xml:space="preserve">on the </w:t>
      </w:r>
      <w:r w:rsidRPr="007C6130">
        <w:t>Recorded Telstra Commitment Date</w:t>
      </w:r>
      <w:r w:rsidRPr="005D251E">
        <w:t>, you</w:t>
      </w:r>
      <w:r w:rsidRPr="009F718D">
        <w:t xml:space="preserve"> will be eligible to claim the Telstra Provisioning </w:t>
      </w:r>
      <w:r w:rsidR="009F718D" w:rsidRPr="008C7D45">
        <w:t xml:space="preserve">Commitment </w:t>
      </w:r>
      <w:r w:rsidRPr="009F718D">
        <w:t>rebates for the affected service</w:t>
      </w:r>
      <w:r>
        <w:t xml:space="preserve"> or product (“</w:t>
      </w:r>
      <w:r w:rsidRPr="007C6130">
        <w:rPr>
          <w:b/>
        </w:rPr>
        <w:t>TPC Rebate</w:t>
      </w:r>
      <w:r>
        <w:t>”).</w:t>
      </w:r>
      <w:bookmarkEnd w:id="35"/>
    </w:p>
    <w:p w14:paraId="36361D55" w14:textId="7FC01AE3" w:rsidR="002C0F97" w:rsidRDefault="002C0F97" w:rsidP="007C6130">
      <w:pPr>
        <w:pStyle w:val="Heading2"/>
      </w:pPr>
      <w:r>
        <w:lastRenderedPageBreak/>
        <w:t xml:space="preserve">Only the services and products listed in </w:t>
      </w:r>
      <w:r w:rsidR="003C4E8C" w:rsidRPr="00D5644E">
        <w:t xml:space="preserve">clauses </w:t>
      </w:r>
      <w:r w:rsidR="003C4E8C" w:rsidRPr="00D5644E">
        <w:fldChar w:fldCharType="begin"/>
      </w:r>
      <w:r w:rsidR="003C4E8C" w:rsidRPr="00D5644E">
        <w:instrText xml:space="preserve"> REF _Ref448756690 \r \h  \* MERGEFORMAT </w:instrText>
      </w:r>
      <w:r w:rsidR="003C4E8C" w:rsidRPr="00D5644E">
        <w:fldChar w:fldCharType="separate"/>
      </w:r>
      <w:r w:rsidR="00CA259E">
        <w:rPr>
          <w:b/>
          <w:bCs w:val="0"/>
          <w:lang w:val="en-US"/>
        </w:rPr>
        <w:t>Error! Reference source not found.</w:t>
      </w:r>
      <w:r w:rsidR="003C4E8C" w:rsidRPr="00D5644E">
        <w:fldChar w:fldCharType="end"/>
      </w:r>
      <w:r w:rsidR="003C4E8C" w:rsidRPr="00D5644E">
        <w:t xml:space="preserve"> to </w:t>
      </w:r>
      <w:r w:rsidR="003C4E8C" w:rsidRPr="00D5644E">
        <w:fldChar w:fldCharType="begin"/>
      </w:r>
      <w:r w:rsidR="003C4E8C" w:rsidRPr="00D5644E">
        <w:instrText xml:space="preserve"> REF _Ref448757490 \r \h </w:instrText>
      </w:r>
      <w:r w:rsidR="003C4E8C">
        <w:instrText xml:space="preserve"> \* MERGEFORMAT </w:instrText>
      </w:r>
      <w:r w:rsidR="003C4E8C" w:rsidRPr="00D5644E">
        <w:fldChar w:fldCharType="separate"/>
      </w:r>
      <w:r w:rsidR="00CA259E">
        <w:t>7.19</w:t>
      </w:r>
      <w:r w:rsidR="003C4E8C" w:rsidRPr="00D5644E">
        <w:fldChar w:fldCharType="end"/>
      </w:r>
      <w:r w:rsidR="003C4E8C">
        <w:t xml:space="preserve"> </w:t>
      </w:r>
      <w:r>
        <w:t xml:space="preserve">are eligible for a </w:t>
      </w:r>
      <w:r w:rsidRPr="007C6130">
        <w:t>TPC Rebate</w:t>
      </w:r>
      <w:r>
        <w:t>.</w:t>
      </w:r>
    </w:p>
    <w:p w14:paraId="55100FC2" w14:textId="77777777" w:rsidR="002C0F97" w:rsidRDefault="002C0F97" w:rsidP="007C6130">
      <w:pPr>
        <w:pStyle w:val="Heading2"/>
      </w:pPr>
      <w:r w:rsidRPr="007C6130">
        <w:t xml:space="preserve">TPC Rebates </w:t>
      </w:r>
      <w:r>
        <w:t>are only payable against each single service or product that we</w:t>
      </w:r>
      <w:r w:rsidRPr="007C6130">
        <w:t xml:space="preserve"> </w:t>
      </w:r>
      <w:r>
        <w:t xml:space="preserve">fail to provide on the </w:t>
      </w:r>
      <w:r w:rsidRPr="007C6130">
        <w:t>Recorded Telstra Commitment Date</w:t>
      </w:r>
      <w:r>
        <w:t>. In cases where:</w:t>
      </w:r>
    </w:p>
    <w:p w14:paraId="64396E86" w14:textId="77777777" w:rsidR="002C0F97" w:rsidRDefault="002C0F97" w:rsidP="007C6130">
      <w:pPr>
        <w:pStyle w:val="Heading3"/>
      </w:pPr>
      <w:bookmarkStart w:id="36" w:name="_Ref448758083"/>
      <w:r>
        <w:t>multiple services or products are requested from us on the same service order, the TPC Rebate is only applicable for service/s where we have not met the Recorded Telstra Commitment Date to a maximum of 5 services per service order.</w:t>
      </w:r>
      <w:bookmarkEnd w:id="36"/>
      <w:r>
        <w:t xml:space="preserve"> </w:t>
      </w:r>
    </w:p>
    <w:p w14:paraId="0A51FDD9" w14:textId="77777777" w:rsidR="002C0F97" w:rsidRDefault="002C0F97" w:rsidP="007C6130">
      <w:pPr>
        <w:pStyle w:val="Heading3"/>
      </w:pPr>
      <w:r>
        <w:t xml:space="preserve">we have failed to provide the service or product by the </w:t>
      </w:r>
      <w:r w:rsidRPr="007C6130">
        <w:t xml:space="preserve">Recorded Telstra Commitment Date </w:t>
      </w:r>
      <w:r>
        <w:t xml:space="preserve">for the </w:t>
      </w:r>
      <w:r w:rsidRPr="007C6130">
        <w:t xml:space="preserve">Standard TPC </w:t>
      </w:r>
      <w:r>
        <w:t xml:space="preserve">and </w:t>
      </w:r>
      <w:r w:rsidRPr="007C6130">
        <w:t xml:space="preserve">Enhanced TPC, </w:t>
      </w:r>
      <w:r>
        <w:t xml:space="preserve">where you have formally applied for an </w:t>
      </w:r>
      <w:r w:rsidRPr="007C6130">
        <w:t xml:space="preserve">Enhanced TPC </w:t>
      </w:r>
      <w:r>
        <w:t xml:space="preserve">at the point of sale, you are eligible to claim an </w:t>
      </w:r>
      <w:r w:rsidRPr="007C6130">
        <w:t xml:space="preserve">Enhanced TPC Rebate </w:t>
      </w:r>
      <w:r>
        <w:t xml:space="preserve">and a </w:t>
      </w:r>
      <w:r w:rsidRPr="007C6130">
        <w:t xml:space="preserve">Standard TPC Rebate </w:t>
      </w:r>
      <w:r>
        <w:t xml:space="preserve">for the same service or product. </w:t>
      </w:r>
    </w:p>
    <w:p w14:paraId="06842848" w14:textId="77777777" w:rsidR="002C0F97" w:rsidRPr="00D5644E" w:rsidRDefault="002C0F97" w:rsidP="002C0F97">
      <w:pPr>
        <w:pStyle w:val="Heading3"/>
        <w:numPr>
          <w:ilvl w:val="0"/>
          <w:numId w:val="0"/>
        </w:numPr>
        <w:rPr>
          <w:b/>
        </w:rPr>
      </w:pPr>
      <w:r>
        <w:rPr>
          <w:b/>
        </w:rPr>
        <w:t>How to claim for a TPC Rebate</w:t>
      </w:r>
    </w:p>
    <w:p w14:paraId="1709F959" w14:textId="77777777" w:rsidR="002C0F97" w:rsidRDefault="002C0F97" w:rsidP="007C6130">
      <w:pPr>
        <w:pStyle w:val="Heading2"/>
      </w:pPr>
      <w:r>
        <w:t>In order to be eligible to make a claim</w:t>
      </w:r>
      <w:r w:rsidR="009F718D">
        <w:t xml:space="preserve"> to</w:t>
      </w:r>
      <w:r>
        <w:t xml:space="preserve"> us</w:t>
      </w:r>
      <w:r w:rsidRPr="007C6130">
        <w:t xml:space="preserve"> </w:t>
      </w:r>
      <w:r>
        <w:t xml:space="preserve">for a </w:t>
      </w:r>
      <w:r w:rsidRPr="007C6130">
        <w:t xml:space="preserve">TPC Rebate, </w:t>
      </w:r>
      <w:r>
        <w:t xml:space="preserve">you </w:t>
      </w:r>
      <w:r w:rsidRPr="007C6130">
        <w:t>must:</w:t>
      </w:r>
    </w:p>
    <w:p w14:paraId="74AF7EBB" w14:textId="77777777" w:rsidR="002C0F97" w:rsidRPr="00686DBF" w:rsidRDefault="002C0F97" w:rsidP="007C6130">
      <w:pPr>
        <w:pStyle w:val="Heading3"/>
      </w:pPr>
      <w:r>
        <w:t xml:space="preserve">formally apply for a </w:t>
      </w:r>
      <w:r w:rsidRPr="007C6130">
        <w:t xml:space="preserve">TPC Rebate </w:t>
      </w:r>
      <w:r>
        <w:t xml:space="preserve">to </w:t>
      </w:r>
      <w:r w:rsidR="009F1D8E">
        <w:t>us</w:t>
      </w:r>
      <w:r>
        <w:t xml:space="preserve"> </w:t>
      </w:r>
      <w:r w:rsidRPr="00686DBF">
        <w:t xml:space="preserve">using a </w:t>
      </w:r>
      <w:r w:rsidRPr="007C6130">
        <w:t>Rebate Application Form</w:t>
      </w:r>
      <w:r w:rsidRPr="00686DBF">
        <w:t>; and</w:t>
      </w:r>
    </w:p>
    <w:p w14:paraId="0B9DBD01" w14:textId="77777777" w:rsidR="002C0F97" w:rsidRDefault="002C0F97" w:rsidP="007C6130">
      <w:pPr>
        <w:pStyle w:val="Heading3"/>
      </w:pPr>
      <w:r w:rsidRPr="00686DBF">
        <w:t xml:space="preserve">apply for a </w:t>
      </w:r>
      <w:r w:rsidRPr="007C6130">
        <w:t xml:space="preserve">TPC Rebate </w:t>
      </w:r>
      <w:r w:rsidRPr="00686DBF">
        <w:t>within 30 Calendar Days of</w:t>
      </w:r>
      <w:r>
        <w:t xml:space="preserve"> the date of invoice for the affected service.</w:t>
      </w:r>
    </w:p>
    <w:p w14:paraId="3D688696" w14:textId="77777777" w:rsidR="002C0F97" w:rsidRDefault="009F1D8E" w:rsidP="007C6130">
      <w:pPr>
        <w:pStyle w:val="Heading2"/>
      </w:pPr>
      <w:r>
        <w:t>We</w:t>
      </w:r>
      <w:r w:rsidR="002C0F97">
        <w:t xml:space="preserve"> will use </w:t>
      </w:r>
      <w:r>
        <w:t>our</w:t>
      </w:r>
      <w:r w:rsidR="002C0F97">
        <w:t xml:space="preserve"> reasonable endeavours to resolve a </w:t>
      </w:r>
      <w:r w:rsidR="002C0F97" w:rsidRPr="007C6130">
        <w:t>TPC</w:t>
      </w:r>
      <w:r w:rsidR="002C0F97">
        <w:t xml:space="preserve"> Rebate claim within 30 </w:t>
      </w:r>
      <w:r w:rsidR="002C0F97" w:rsidRPr="007C6130">
        <w:t>Business Days</w:t>
      </w:r>
      <w:r w:rsidR="002C0F97">
        <w:t xml:space="preserve"> from the date of receipt of a </w:t>
      </w:r>
      <w:r w:rsidR="002C0F97" w:rsidRPr="007C6130">
        <w:t xml:space="preserve">Rebate Application Form </w:t>
      </w:r>
      <w:r>
        <w:t>from you</w:t>
      </w:r>
      <w:r w:rsidR="002C0F97" w:rsidRPr="007C6130">
        <w:t>.</w:t>
      </w:r>
    </w:p>
    <w:p w14:paraId="6DFFFD4F" w14:textId="77777777" w:rsidR="009F1D8E" w:rsidRPr="00D5644E" w:rsidRDefault="009F1D8E" w:rsidP="009F1D8E">
      <w:pPr>
        <w:pStyle w:val="Heading3"/>
        <w:numPr>
          <w:ilvl w:val="0"/>
          <w:numId w:val="0"/>
        </w:numPr>
        <w:rPr>
          <w:b/>
        </w:rPr>
      </w:pPr>
      <w:r>
        <w:rPr>
          <w:b/>
        </w:rPr>
        <w:t>How to calculate a TPC Rebate</w:t>
      </w:r>
    </w:p>
    <w:p w14:paraId="10A5B138" w14:textId="7B6C4037" w:rsidR="009F1D8E" w:rsidRDefault="009F1D8E" w:rsidP="009F1D8E">
      <w:pPr>
        <w:pStyle w:val="Heading2"/>
      </w:pPr>
      <w:bookmarkStart w:id="37" w:name="_Ref448758187"/>
      <w:r>
        <w:t xml:space="preserve">The amount of </w:t>
      </w:r>
      <w:r w:rsidRPr="005D251E">
        <w:t xml:space="preserve">the </w:t>
      </w:r>
      <w:r w:rsidRPr="007C6130">
        <w:t xml:space="preserve">TPC Rebate </w:t>
      </w:r>
      <w:r w:rsidRPr="005D251E">
        <w:t xml:space="preserve">payable is calculated using a sliding scale according to the length of the delay past the </w:t>
      </w:r>
      <w:r w:rsidRPr="007C6130">
        <w:t>Recorded Telstra Commitment Date</w:t>
      </w:r>
      <w:r>
        <w:rPr>
          <w:i/>
        </w:rPr>
        <w:t xml:space="preserve"> </w:t>
      </w:r>
      <w:r>
        <w:t xml:space="preserve">and the amount of the first monthly access fee or installation charge in the case of Argent Dial up, for each affected service or product as set out in clause </w:t>
      </w:r>
      <w:r w:rsidR="00431474">
        <w:fldChar w:fldCharType="begin"/>
      </w:r>
      <w:r w:rsidR="00431474">
        <w:instrText xml:space="preserve"> REF _Ref448758083 \w \h </w:instrText>
      </w:r>
      <w:r w:rsidR="00431474">
        <w:fldChar w:fldCharType="separate"/>
      </w:r>
      <w:r w:rsidR="00CA259E">
        <w:t>7.22(a)</w:t>
      </w:r>
      <w:r w:rsidR="00431474">
        <w:fldChar w:fldCharType="end"/>
      </w:r>
      <w:r>
        <w:t>.</w:t>
      </w:r>
      <w:bookmarkEnd w:id="37"/>
    </w:p>
    <w:p w14:paraId="3F8C6C03" w14:textId="77E98F1A" w:rsidR="009F1D8E" w:rsidRDefault="009F1D8E" w:rsidP="007C6130">
      <w:pPr>
        <w:pStyle w:val="Heading2"/>
      </w:pPr>
      <w:bookmarkStart w:id="38" w:name="_Ref448758189"/>
      <w:r>
        <w:t xml:space="preserve">The amount of the </w:t>
      </w:r>
      <w:r w:rsidRPr="007C6130">
        <w:t xml:space="preserve">Enhanced TPC Rebate </w:t>
      </w:r>
      <w:r>
        <w:t xml:space="preserve">payable is calculated at 100% of the </w:t>
      </w:r>
      <w:r w:rsidRPr="007C6130">
        <w:t xml:space="preserve">Enhanced TPC Fee </w:t>
      </w:r>
      <w:r>
        <w:t>paid by you</w:t>
      </w:r>
      <w:r w:rsidRPr="007C6130">
        <w:t xml:space="preserve"> </w:t>
      </w:r>
      <w:r>
        <w:t>at the point of sale.</w:t>
      </w:r>
      <w:bookmarkEnd w:id="38"/>
    </w:p>
    <w:p w14:paraId="0918918D" w14:textId="6F7BB35A" w:rsidR="009F1D8E" w:rsidRDefault="009F1D8E" w:rsidP="009F1D8E">
      <w:pPr>
        <w:pStyle w:val="Heading2"/>
      </w:pPr>
      <w:bookmarkStart w:id="39" w:name="_Ref448757035"/>
      <w:r w:rsidRPr="009F1D8E">
        <w:t xml:space="preserve">If </w:t>
      </w:r>
      <w:r>
        <w:t>you apply</w:t>
      </w:r>
      <w:r w:rsidRPr="009F1D8E">
        <w:t xml:space="preserve"> </w:t>
      </w:r>
      <w:r w:rsidRPr="005D251E">
        <w:t>for a</w:t>
      </w:r>
      <w:r w:rsidRPr="007C6130">
        <w:t xml:space="preserve"> Standard</w:t>
      </w:r>
      <w:r w:rsidRPr="005D251E">
        <w:t xml:space="preserve"> </w:t>
      </w:r>
      <w:r w:rsidRPr="007C6130">
        <w:t xml:space="preserve">TPC Rebate </w:t>
      </w:r>
      <w:r w:rsidRPr="005D251E">
        <w:t xml:space="preserve">using the </w:t>
      </w:r>
      <w:r w:rsidRPr="007C6130">
        <w:t xml:space="preserve">Rebate Application Form </w:t>
      </w:r>
      <w:r w:rsidRPr="005D251E">
        <w:t xml:space="preserve">and </w:t>
      </w:r>
      <w:r w:rsidRPr="007C6130">
        <w:t xml:space="preserve">we </w:t>
      </w:r>
      <w:r w:rsidRPr="005D251E">
        <w:t xml:space="preserve">investigate the claim and accept </w:t>
      </w:r>
      <w:r w:rsidRPr="009F718D">
        <w:t>your</w:t>
      </w:r>
      <w:r w:rsidRPr="007C6130">
        <w:t xml:space="preserve"> Rebate Application Form</w:t>
      </w:r>
      <w:r w:rsidRPr="005D251E">
        <w:t xml:space="preserve">, </w:t>
      </w:r>
      <w:r w:rsidRPr="007C6130">
        <w:t xml:space="preserve">we </w:t>
      </w:r>
      <w:r w:rsidRPr="005D251E">
        <w:t xml:space="preserve">will provide the following </w:t>
      </w:r>
      <w:r w:rsidRPr="007C6130">
        <w:t>TPC Rebates</w:t>
      </w:r>
      <w:r w:rsidRPr="009F1D8E">
        <w:t>:</w:t>
      </w:r>
      <w:bookmarkEnd w:id="39"/>
    </w:p>
    <w:tbl>
      <w:tblPr>
        <w:tblW w:w="8897"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2173"/>
        <w:gridCol w:w="2173"/>
        <w:gridCol w:w="2458"/>
      </w:tblGrid>
      <w:tr w:rsidR="009F1D8E" w:rsidRPr="009F1D8E" w14:paraId="2743B578" w14:textId="77777777" w:rsidTr="007C6130">
        <w:tc>
          <w:tcPr>
            <w:tcW w:w="2093" w:type="dxa"/>
            <w:shd w:val="pct35" w:color="auto" w:fill="FFFFFF"/>
          </w:tcPr>
          <w:p w14:paraId="53586F73" w14:textId="77777777" w:rsidR="009F1D8E" w:rsidRPr="009F1D8E" w:rsidRDefault="009F1D8E" w:rsidP="007C6130">
            <w:pPr>
              <w:pStyle w:val="Heading2"/>
              <w:numPr>
                <w:ilvl w:val="0"/>
                <w:numId w:val="0"/>
              </w:numPr>
              <w:rPr>
                <w:b/>
              </w:rPr>
            </w:pPr>
            <w:r w:rsidRPr="009F1D8E">
              <w:rPr>
                <w:b/>
              </w:rPr>
              <w:t>Delay</w:t>
            </w:r>
          </w:p>
        </w:tc>
        <w:tc>
          <w:tcPr>
            <w:tcW w:w="2173" w:type="dxa"/>
            <w:shd w:val="pct35" w:color="auto" w:fill="FFFFFF"/>
          </w:tcPr>
          <w:p w14:paraId="02B88325" w14:textId="77777777" w:rsidR="009F1D8E" w:rsidRPr="009F1D8E" w:rsidRDefault="009F1D8E" w:rsidP="007C6130">
            <w:pPr>
              <w:pStyle w:val="Heading2"/>
              <w:numPr>
                <w:ilvl w:val="0"/>
                <w:numId w:val="0"/>
              </w:numPr>
              <w:rPr>
                <w:b/>
              </w:rPr>
            </w:pPr>
            <w:r w:rsidRPr="009F1D8E">
              <w:rPr>
                <w:b/>
              </w:rPr>
              <w:t xml:space="preserve">Service Activated 1 – 5 </w:t>
            </w:r>
            <w:r w:rsidRPr="009F1D8E">
              <w:rPr>
                <w:b/>
                <w:i/>
              </w:rPr>
              <w:t>Business Days</w:t>
            </w:r>
            <w:r w:rsidRPr="009F1D8E">
              <w:rPr>
                <w:b/>
              </w:rPr>
              <w:t xml:space="preserve"> past the agreed delivery date</w:t>
            </w:r>
          </w:p>
        </w:tc>
        <w:tc>
          <w:tcPr>
            <w:tcW w:w="2173" w:type="dxa"/>
            <w:shd w:val="pct35" w:color="auto" w:fill="FFFFFF"/>
          </w:tcPr>
          <w:p w14:paraId="7B8BD949" w14:textId="77777777" w:rsidR="009F1D8E" w:rsidRPr="009F1D8E" w:rsidRDefault="009F1D8E" w:rsidP="007C6130">
            <w:pPr>
              <w:pStyle w:val="Heading2"/>
              <w:numPr>
                <w:ilvl w:val="0"/>
                <w:numId w:val="0"/>
              </w:numPr>
              <w:rPr>
                <w:b/>
              </w:rPr>
            </w:pPr>
            <w:r w:rsidRPr="009F1D8E">
              <w:rPr>
                <w:b/>
              </w:rPr>
              <w:t xml:space="preserve">Service Activated 6 – 10 </w:t>
            </w:r>
            <w:r w:rsidRPr="009F1D8E">
              <w:rPr>
                <w:b/>
                <w:i/>
              </w:rPr>
              <w:t>Business Days</w:t>
            </w:r>
            <w:r w:rsidRPr="009F1D8E">
              <w:rPr>
                <w:b/>
              </w:rPr>
              <w:t xml:space="preserve"> past the agreed delivery date</w:t>
            </w:r>
          </w:p>
        </w:tc>
        <w:tc>
          <w:tcPr>
            <w:tcW w:w="2458" w:type="dxa"/>
            <w:shd w:val="pct35" w:color="auto" w:fill="FFFFFF"/>
          </w:tcPr>
          <w:p w14:paraId="3F1BC43A" w14:textId="77777777" w:rsidR="009F1D8E" w:rsidRPr="009F1D8E" w:rsidRDefault="009F1D8E" w:rsidP="007C6130">
            <w:pPr>
              <w:pStyle w:val="Heading2"/>
              <w:numPr>
                <w:ilvl w:val="0"/>
                <w:numId w:val="0"/>
              </w:numPr>
              <w:rPr>
                <w:b/>
              </w:rPr>
            </w:pPr>
            <w:r w:rsidRPr="009F1D8E">
              <w:rPr>
                <w:b/>
              </w:rPr>
              <w:t xml:space="preserve">Service Activated Over 11 </w:t>
            </w:r>
            <w:r w:rsidRPr="009F1D8E">
              <w:rPr>
                <w:b/>
                <w:i/>
              </w:rPr>
              <w:t>Business Days</w:t>
            </w:r>
            <w:r w:rsidRPr="009F1D8E">
              <w:rPr>
                <w:b/>
              </w:rPr>
              <w:t xml:space="preserve"> past the agreed delivery date</w:t>
            </w:r>
          </w:p>
        </w:tc>
      </w:tr>
      <w:tr w:rsidR="009F1D8E" w:rsidRPr="009F1D8E" w14:paraId="2E964A64" w14:textId="77777777" w:rsidTr="007C6130">
        <w:tc>
          <w:tcPr>
            <w:tcW w:w="2093" w:type="dxa"/>
          </w:tcPr>
          <w:p w14:paraId="6B95929C" w14:textId="77777777" w:rsidR="009F1D8E" w:rsidRPr="009F1D8E" w:rsidRDefault="009F1D8E" w:rsidP="007C6130">
            <w:pPr>
              <w:pStyle w:val="Heading2"/>
              <w:numPr>
                <w:ilvl w:val="0"/>
                <w:numId w:val="0"/>
              </w:numPr>
            </w:pPr>
            <w:r w:rsidRPr="009F1D8E">
              <w:t xml:space="preserve">Percentages (payable) of the first monthly access fee or the </w:t>
            </w:r>
            <w:r w:rsidRPr="009F1D8E">
              <w:lastRenderedPageBreak/>
              <w:t>installation fee in the case of Argent Dial up.</w:t>
            </w:r>
          </w:p>
        </w:tc>
        <w:tc>
          <w:tcPr>
            <w:tcW w:w="2173" w:type="dxa"/>
          </w:tcPr>
          <w:p w14:paraId="64265897" w14:textId="77777777" w:rsidR="009F1D8E" w:rsidRPr="009F1D8E" w:rsidRDefault="009F1D8E" w:rsidP="007C6130">
            <w:pPr>
              <w:pStyle w:val="Heading2"/>
              <w:numPr>
                <w:ilvl w:val="0"/>
                <w:numId w:val="0"/>
              </w:numPr>
            </w:pPr>
            <w:r w:rsidRPr="009F1D8E">
              <w:lastRenderedPageBreak/>
              <w:t xml:space="preserve">A 25% STPC Rebate of the first monthly access fee or installation fee in the </w:t>
            </w:r>
            <w:r w:rsidRPr="009F1D8E">
              <w:lastRenderedPageBreak/>
              <w:t>case of Argent Dial Up</w:t>
            </w:r>
          </w:p>
        </w:tc>
        <w:tc>
          <w:tcPr>
            <w:tcW w:w="2173" w:type="dxa"/>
          </w:tcPr>
          <w:p w14:paraId="2E2184AE" w14:textId="77777777" w:rsidR="009F1D8E" w:rsidRPr="009F1D8E" w:rsidRDefault="009F1D8E" w:rsidP="007C6130">
            <w:pPr>
              <w:pStyle w:val="Heading2"/>
              <w:numPr>
                <w:ilvl w:val="0"/>
                <w:numId w:val="0"/>
              </w:numPr>
            </w:pPr>
            <w:r w:rsidRPr="009F1D8E">
              <w:lastRenderedPageBreak/>
              <w:t xml:space="preserve">A 50% STPC Rebate of the first monthly access fee or installation fee in the </w:t>
            </w:r>
            <w:r w:rsidRPr="009F1D8E">
              <w:lastRenderedPageBreak/>
              <w:t>case of Argent Dial Up</w:t>
            </w:r>
          </w:p>
        </w:tc>
        <w:tc>
          <w:tcPr>
            <w:tcW w:w="2458" w:type="dxa"/>
          </w:tcPr>
          <w:p w14:paraId="56EBC94C" w14:textId="77777777" w:rsidR="009F1D8E" w:rsidRPr="009F1D8E" w:rsidRDefault="009F1D8E" w:rsidP="007C6130">
            <w:pPr>
              <w:pStyle w:val="Heading2"/>
              <w:numPr>
                <w:ilvl w:val="0"/>
                <w:numId w:val="0"/>
              </w:numPr>
            </w:pPr>
            <w:r w:rsidRPr="009F1D8E">
              <w:lastRenderedPageBreak/>
              <w:t xml:space="preserve">A 100% STPC Rebate of the first monthly access fee or </w:t>
            </w:r>
            <w:r w:rsidRPr="009F1D8E">
              <w:lastRenderedPageBreak/>
              <w:t>installation fee in the case of Argent Dial Up</w:t>
            </w:r>
          </w:p>
        </w:tc>
      </w:tr>
    </w:tbl>
    <w:p w14:paraId="1B7D7A09" w14:textId="77777777" w:rsidR="000B65BD" w:rsidRDefault="000B65BD" w:rsidP="007C6130">
      <w:pPr>
        <w:pStyle w:val="Heading2"/>
        <w:numPr>
          <w:ilvl w:val="0"/>
          <w:numId w:val="0"/>
        </w:numPr>
        <w:ind w:left="737"/>
      </w:pPr>
    </w:p>
    <w:p w14:paraId="54D27893" w14:textId="1E436B70" w:rsidR="009F1D8E" w:rsidRPr="009F1D8E" w:rsidRDefault="009F1D8E" w:rsidP="007C6130">
      <w:pPr>
        <w:pStyle w:val="Heading2"/>
        <w:numPr>
          <w:ilvl w:val="0"/>
          <w:numId w:val="0"/>
        </w:numPr>
        <w:ind w:left="737"/>
      </w:pPr>
      <w:r w:rsidRPr="009F1D8E">
        <w:t xml:space="preserve">The </w:t>
      </w:r>
      <w:r w:rsidRPr="005D251E">
        <w:t xml:space="preserve">maximum amount payable in respect of a </w:t>
      </w:r>
      <w:r w:rsidRPr="007C6130">
        <w:t xml:space="preserve">TPC Rebate </w:t>
      </w:r>
      <w:r w:rsidRPr="005D251E">
        <w:t>shall not exceed 100% o</w:t>
      </w:r>
      <w:r w:rsidRPr="009F718D">
        <w:t xml:space="preserve">f the first monthly access fee or installation charge in the case of Argent Dial up, for the affected service or product for which a </w:t>
      </w:r>
      <w:r w:rsidRPr="007C6130">
        <w:t xml:space="preserve">TPC Rebate </w:t>
      </w:r>
      <w:r w:rsidRPr="005D251E">
        <w:t>is</w:t>
      </w:r>
      <w:r w:rsidRPr="009F1D8E">
        <w:t xml:space="preserve"> being claimed against. </w:t>
      </w:r>
    </w:p>
    <w:p w14:paraId="29689557" w14:textId="77777777" w:rsidR="009F1D8E" w:rsidRPr="005D251E" w:rsidRDefault="009F1D8E" w:rsidP="009F1D8E">
      <w:pPr>
        <w:pStyle w:val="Heading2"/>
      </w:pPr>
      <w:r w:rsidRPr="005D251E">
        <w:t xml:space="preserve">Where </w:t>
      </w:r>
      <w:r w:rsidRPr="007C6130">
        <w:t>TPC Rebate</w:t>
      </w:r>
      <w:r w:rsidRPr="005D251E">
        <w:t xml:space="preserve"> are paid they apply in lieu of any other rebate that would otherwise apply to the affected service or product.</w:t>
      </w:r>
    </w:p>
    <w:p w14:paraId="2C3600B3" w14:textId="77777777" w:rsidR="009F1D8E" w:rsidRPr="005D251E" w:rsidRDefault="009157EB" w:rsidP="009F1D8E">
      <w:pPr>
        <w:pStyle w:val="Heading2"/>
      </w:pPr>
      <w:r>
        <w:t>Our</w:t>
      </w:r>
      <w:r w:rsidR="009F1D8E" w:rsidRPr="005D251E">
        <w:t xml:space="preserve"> liability for failing to meet:</w:t>
      </w:r>
    </w:p>
    <w:p w14:paraId="2EC5A18E" w14:textId="2A8D79E8" w:rsidR="009F1D8E" w:rsidRPr="005D251E" w:rsidRDefault="009F1D8E" w:rsidP="007C6130">
      <w:pPr>
        <w:pStyle w:val="Heading3"/>
      </w:pPr>
      <w:r w:rsidRPr="005D251E">
        <w:t xml:space="preserve">the </w:t>
      </w:r>
      <w:r w:rsidRPr="007C6130">
        <w:t xml:space="preserve">Standard TPC, </w:t>
      </w:r>
      <w:r w:rsidRPr="005D251E">
        <w:t xml:space="preserve">is the relevant </w:t>
      </w:r>
      <w:r w:rsidRPr="007C6130">
        <w:t xml:space="preserve">Standard TPC Rebate </w:t>
      </w:r>
      <w:r w:rsidRPr="005D251E">
        <w:t xml:space="preserve">as set out in clause </w:t>
      </w:r>
      <w:r w:rsidR="00431474">
        <w:fldChar w:fldCharType="begin"/>
      </w:r>
      <w:r w:rsidR="00431474">
        <w:instrText xml:space="preserve"> REF _Ref448758187 \w \h </w:instrText>
      </w:r>
      <w:r w:rsidR="00431474">
        <w:fldChar w:fldCharType="separate"/>
      </w:r>
      <w:r w:rsidR="00CA259E">
        <w:t>7.25</w:t>
      </w:r>
      <w:r w:rsidR="00431474">
        <w:fldChar w:fldCharType="end"/>
      </w:r>
      <w:r w:rsidR="00431474">
        <w:t xml:space="preserve"> and </w:t>
      </w:r>
      <w:r w:rsidR="00431474">
        <w:fldChar w:fldCharType="begin"/>
      </w:r>
      <w:r w:rsidR="00431474">
        <w:instrText xml:space="preserve"> REF _Ref448757035 \w \h </w:instrText>
      </w:r>
      <w:r w:rsidR="00431474">
        <w:fldChar w:fldCharType="separate"/>
      </w:r>
      <w:r w:rsidR="00CA259E">
        <w:t>7.27</w:t>
      </w:r>
      <w:r w:rsidR="00431474">
        <w:fldChar w:fldCharType="end"/>
      </w:r>
      <w:r w:rsidR="00431474">
        <w:t>; and</w:t>
      </w:r>
    </w:p>
    <w:p w14:paraId="6ED385D9" w14:textId="2DD684F9" w:rsidR="009F1D8E" w:rsidRPr="005D251E" w:rsidRDefault="009F1D8E" w:rsidP="007C6130">
      <w:pPr>
        <w:pStyle w:val="Heading3"/>
      </w:pPr>
      <w:r w:rsidRPr="005D251E">
        <w:t xml:space="preserve">the </w:t>
      </w:r>
      <w:r w:rsidRPr="007C6130">
        <w:t xml:space="preserve">Enhanced TPC, </w:t>
      </w:r>
      <w:r w:rsidRPr="005D251E">
        <w:t xml:space="preserve">is the relevant </w:t>
      </w:r>
      <w:r w:rsidRPr="007C6130">
        <w:t xml:space="preserve">Enhanced TPC Rebate </w:t>
      </w:r>
      <w:r w:rsidRPr="005D251E">
        <w:t xml:space="preserve">as set out in clause </w:t>
      </w:r>
      <w:r w:rsidR="00431474">
        <w:fldChar w:fldCharType="begin"/>
      </w:r>
      <w:r w:rsidR="00431474">
        <w:instrText xml:space="preserve"> REF _Ref448758189 \w \h </w:instrText>
      </w:r>
      <w:r w:rsidR="00431474">
        <w:fldChar w:fldCharType="separate"/>
      </w:r>
      <w:r w:rsidR="00CA259E">
        <w:t>7.26</w:t>
      </w:r>
      <w:r w:rsidR="00431474">
        <w:fldChar w:fldCharType="end"/>
      </w:r>
    </w:p>
    <w:p w14:paraId="43C2B7B0" w14:textId="77777777" w:rsidR="009F1D8E" w:rsidRPr="009F1D8E" w:rsidRDefault="009F1D8E" w:rsidP="007C6130">
      <w:pPr>
        <w:pStyle w:val="Heading2"/>
        <w:numPr>
          <w:ilvl w:val="0"/>
          <w:numId w:val="0"/>
        </w:numPr>
        <w:ind w:left="737"/>
      </w:pPr>
      <w:r w:rsidRPr="005D251E">
        <w:t xml:space="preserve">otherwise Telstra’s liability is limited as set out in </w:t>
      </w:r>
      <w:hyperlink r:id="rId24" w:history="1">
        <w:r w:rsidR="00431474" w:rsidRPr="0015492F">
          <w:rPr>
            <w:rStyle w:val="Hyperlink"/>
            <w:szCs w:val="23"/>
          </w:rPr>
          <w:t>the General Terms of Our Customer Terms</w:t>
        </w:r>
      </w:hyperlink>
      <w:r w:rsidRPr="009F1D8E">
        <w:t>.</w:t>
      </w:r>
    </w:p>
    <w:p w14:paraId="200DBD78" w14:textId="77777777" w:rsidR="009F1D8E" w:rsidRPr="009F718D" w:rsidRDefault="009F1D8E" w:rsidP="007C6130">
      <w:pPr>
        <w:pStyle w:val="Heading3"/>
        <w:numPr>
          <w:ilvl w:val="0"/>
          <w:numId w:val="0"/>
        </w:numPr>
        <w:rPr>
          <w:b/>
        </w:rPr>
      </w:pPr>
      <w:r w:rsidRPr="005D251E">
        <w:rPr>
          <w:b/>
        </w:rPr>
        <w:t xml:space="preserve">TPC </w:t>
      </w:r>
      <w:r w:rsidR="00943798" w:rsidRPr="005D251E">
        <w:rPr>
          <w:b/>
        </w:rPr>
        <w:t>Rebate exclusions</w:t>
      </w:r>
    </w:p>
    <w:p w14:paraId="4A2A78F6" w14:textId="34A62E8B" w:rsidR="009F1D8E" w:rsidRPr="009F1D8E" w:rsidRDefault="009F1D8E" w:rsidP="009F1D8E">
      <w:pPr>
        <w:pStyle w:val="Heading2"/>
      </w:pPr>
      <w:bookmarkStart w:id="40" w:name="_Ref448757002"/>
      <w:r w:rsidRPr="007C6130">
        <w:t xml:space="preserve">TPC Rebates </w:t>
      </w:r>
      <w:r w:rsidRPr="005D251E">
        <w:t xml:space="preserve">will not be paid if the reason that </w:t>
      </w:r>
      <w:r w:rsidR="00D4087B" w:rsidRPr="005D251E">
        <w:t>w</w:t>
      </w:r>
      <w:r w:rsidR="00D4087B" w:rsidRPr="009F718D">
        <w:t>e</w:t>
      </w:r>
      <w:r w:rsidRPr="009F718D">
        <w:t xml:space="preserve"> did not meet the </w:t>
      </w:r>
      <w:r w:rsidRPr="007C6130">
        <w:t xml:space="preserve">Telstra Provisioning Commitments </w:t>
      </w:r>
      <w:r w:rsidRPr="005D251E">
        <w:t xml:space="preserve">is caused by an act beyond </w:t>
      </w:r>
      <w:r w:rsidR="00D4087B" w:rsidRPr="007C6130">
        <w:t>our</w:t>
      </w:r>
      <w:r w:rsidRPr="007C6130">
        <w:t xml:space="preserve"> </w:t>
      </w:r>
      <w:r w:rsidRPr="005D251E">
        <w:t xml:space="preserve">reasonable control.  In particular, </w:t>
      </w:r>
      <w:r w:rsidR="00D4087B" w:rsidRPr="007C6130">
        <w:t>we</w:t>
      </w:r>
      <w:r w:rsidRPr="007C6130">
        <w:t xml:space="preserve"> </w:t>
      </w:r>
      <w:r w:rsidR="00D4087B" w:rsidRPr="005D251E">
        <w:t>are</w:t>
      </w:r>
      <w:r w:rsidRPr="009F718D">
        <w:t xml:space="preserve"> not obliged to meet the </w:t>
      </w:r>
      <w:r w:rsidRPr="007C6130">
        <w:t xml:space="preserve">Telstra Provisioning Commitment </w:t>
      </w:r>
      <w:r w:rsidRPr="005D251E">
        <w:t>where</w:t>
      </w:r>
      <w:r w:rsidRPr="009F1D8E">
        <w:t>:</w:t>
      </w:r>
      <w:bookmarkEnd w:id="40"/>
    </w:p>
    <w:p w14:paraId="5A6F6370" w14:textId="77777777" w:rsidR="009F1D8E" w:rsidRPr="005D251E" w:rsidRDefault="009F1D8E" w:rsidP="007C6130">
      <w:pPr>
        <w:pStyle w:val="Heading3"/>
      </w:pPr>
      <w:r w:rsidRPr="005D251E">
        <w:t xml:space="preserve">negligence or wilful damage is caused by </w:t>
      </w:r>
      <w:r w:rsidR="00D4087B">
        <w:t>you</w:t>
      </w:r>
      <w:r w:rsidRPr="007C6130">
        <w:t xml:space="preserve"> </w:t>
      </w:r>
      <w:r w:rsidRPr="005D251E">
        <w:t>or a third party;</w:t>
      </w:r>
    </w:p>
    <w:p w14:paraId="7E469301" w14:textId="77777777" w:rsidR="009F1D8E" w:rsidRPr="005D251E" w:rsidRDefault="009F1D8E" w:rsidP="007C6130">
      <w:pPr>
        <w:pStyle w:val="Heading3"/>
      </w:pPr>
      <w:r w:rsidRPr="005D251E">
        <w:t xml:space="preserve">a </w:t>
      </w:r>
      <w:r w:rsidRPr="007C6130">
        <w:t xml:space="preserve">Force Majeure Event </w:t>
      </w:r>
      <w:r w:rsidRPr="005D251E">
        <w:t>occurs;</w:t>
      </w:r>
    </w:p>
    <w:p w14:paraId="74828CF7" w14:textId="77777777" w:rsidR="009F1D8E" w:rsidRPr="005D251E" w:rsidRDefault="009F1D8E" w:rsidP="007C6130">
      <w:pPr>
        <w:pStyle w:val="Heading3"/>
      </w:pPr>
      <w:r w:rsidRPr="005D251E">
        <w:t xml:space="preserve">a </w:t>
      </w:r>
      <w:r w:rsidRPr="007C6130">
        <w:t xml:space="preserve">Regulatory Event </w:t>
      </w:r>
      <w:r w:rsidRPr="005D251E">
        <w:t>occurs;</w:t>
      </w:r>
    </w:p>
    <w:p w14:paraId="4F66C675" w14:textId="77777777" w:rsidR="009F1D8E" w:rsidRPr="009F718D" w:rsidRDefault="009F1D8E" w:rsidP="007C6130">
      <w:pPr>
        <w:pStyle w:val="Heading3"/>
      </w:pPr>
      <w:r w:rsidRPr="009F718D">
        <w:t>there is unavailability or delay in the availability of software, equipment or transport;</w:t>
      </w:r>
    </w:p>
    <w:p w14:paraId="34D8518B" w14:textId="77777777" w:rsidR="009F1D8E" w:rsidRPr="009F718D" w:rsidRDefault="009F1D8E" w:rsidP="007C6130">
      <w:pPr>
        <w:pStyle w:val="Heading3"/>
      </w:pPr>
      <w:r w:rsidRPr="009F718D">
        <w:t>government approvals, consents, permits or licences are required;</w:t>
      </w:r>
    </w:p>
    <w:p w14:paraId="69BD0F92" w14:textId="77777777" w:rsidR="00943798" w:rsidRDefault="009F1D8E" w:rsidP="007C6130">
      <w:pPr>
        <w:pStyle w:val="Heading3"/>
      </w:pPr>
      <w:r w:rsidRPr="00686DBF">
        <w:t xml:space="preserve">the original </w:t>
      </w:r>
      <w:r w:rsidRPr="007C6130">
        <w:t xml:space="preserve">Recorded Telstra Commitment Date </w:t>
      </w:r>
      <w:r w:rsidRPr="005D251E">
        <w:t xml:space="preserve">is missed as a result of </w:t>
      </w:r>
      <w:r w:rsidRPr="007C6130">
        <w:t>Customer Caused Delay</w:t>
      </w:r>
      <w:r w:rsidR="00943798">
        <w:t>;</w:t>
      </w:r>
    </w:p>
    <w:p w14:paraId="150B3839" w14:textId="77777777" w:rsidR="009F1D8E" w:rsidRPr="005D251E" w:rsidRDefault="009F1D8E" w:rsidP="007C6130">
      <w:pPr>
        <w:pStyle w:val="Heading3"/>
        <w:numPr>
          <w:ilvl w:val="0"/>
          <w:numId w:val="0"/>
        </w:numPr>
        <w:ind w:left="1474"/>
      </w:pPr>
      <w:r w:rsidRPr="005D251E">
        <w:t xml:space="preserve">Note: in this circumstance the </w:t>
      </w:r>
      <w:r w:rsidRPr="007C6130">
        <w:t xml:space="preserve">Recorded Telstra Commitment Date </w:t>
      </w:r>
      <w:r w:rsidRPr="005D251E">
        <w:t xml:space="preserve">will be changed to reflect the date of the new commitment to </w:t>
      </w:r>
      <w:r w:rsidR="0012412D">
        <w:t>you</w:t>
      </w:r>
      <w:r w:rsidRPr="007C6130">
        <w:t xml:space="preserve"> </w:t>
      </w:r>
      <w:r w:rsidRPr="005D251E">
        <w:t xml:space="preserve">that resulted from the delay in </w:t>
      </w:r>
      <w:r w:rsidR="0012412D">
        <w:t xml:space="preserve">your </w:t>
      </w:r>
      <w:r w:rsidRPr="005D251E">
        <w:t>readiness to have the service provided.</w:t>
      </w:r>
    </w:p>
    <w:p w14:paraId="6A789090" w14:textId="77777777" w:rsidR="009F1D8E" w:rsidRPr="005D251E" w:rsidRDefault="009F1D8E" w:rsidP="007C6130">
      <w:pPr>
        <w:pStyle w:val="Heading3"/>
      </w:pPr>
      <w:r w:rsidRPr="005D251E">
        <w:t xml:space="preserve">the service is categorised by </w:t>
      </w:r>
      <w:r w:rsidR="0012412D">
        <w:t>us</w:t>
      </w:r>
      <w:r w:rsidRPr="007C6130">
        <w:t xml:space="preserve"> </w:t>
      </w:r>
      <w:r w:rsidRPr="005D251E">
        <w:t xml:space="preserve">as wideband CAT 2 to 4; </w:t>
      </w:r>
    </w:p>
    <w:p w14:paraId="2E4EC472" w14:textId="77777777" w:rsidR="009F1D8E" w:rsidRPr="00686DBF" w:rsidRDefault="009F1D8E" w:rsidP="007C6130">
      <w:pPr>
        <w:pStyle w:val="Heading3"/>
      </w:pPr>
      <w:r w:rsidRPr="009F718D">
        <w:t xml:space="preserve">the service is governed by the CSG Exemptions as set out in the Legislated Customer Service Guarantee for Standard Telephone Services. Refer </w:t>
      </w:r>
      <w:r w:rsidRPr="009F718D">
        <w:br/>
      </w:r>
      <w:hyperlink r:id="rId25" w:history="1">
        <w:r w:rsidRPr="007C6130">
          <w:t>http://www.telstra.com.au/csg/teleserv.htm</w:t>
        </w:r>
      </w:hyperlink>
    </w:p>
    <w:p w14:paraId="1ED324FB" w14:textId="77777777" w:rsidR="009F1D8E" w:rsidRPr="009F718D" w:rsidRDefault="009F1D8E" w:rsidP="007C6130">
      <w:pPr>
        <w:pStyle w:val="Heading3"/>
      </w:pPr>
      <w:r w:rsidRPr="00686DBF">
        <w:lastRenderedPageBreak/>
        <w:t xml:space="preserve">existing </w:t>
      </w:r>
      <w:r w:rsidRPr="007C6130">
        <w:t xml:space="preserve">Telstra </w:t>
      </w:r>
      <w:r w:rsidRPr="005D251E">
        <w:t xml:space="preserve">infrastructure was not in place to support the narrowband </w:t>
      </w:r>
      <w:r w:rsidRPr="009F718D">
        <w:t>activation requirements,</w:t>
      </w:r>
    </w:p>
    <w:p w14:paraId="253E6350" w14:textId="77777777" w:rsidR="009F1D8E" w:rsidRPr="005D251E" w:rsidRDefault="009F1D8E" w:rsidP="007C6130">
      <w:pPr>
        <w:pStyle w:val="Heading2"/>
        <w:numPr>
          <w:ilvl w:val="0"/>
          <w:numId w:val="0"/>
        </w:numPr>
        <w:ind w:firstLine="737"/>
      </w:pPr>
      <w:r w:rsidRPr="009F718D">
        <w:t xml:space="preserve">and </w:t>
      </w:r>
      <w:r w:rsidR="0012412D" w:rsidRPr="007C6130">
        <w:t xml:space="preserve">we are </w:t>
      </w:r>
      <w:r w:rsidRPr="005D251E">
        <w:t xml:space="preserve">not obliged to pay </w:t>
      </w:r>
      <w:r w:rsidRPr="007C6130">
        <w:t xml:space="preserve">TPC Rebates </w:t>
      </w:r>
      <w:r w:rsidRPr="005D251E">
        <w:t>where:</w:t>
      </w:r>
    </w:p>
    <w:p w14:paraId="6574BB64" w14:textId="77777777" w:rsidR="009F1D8E" w:rsidRPr="005D251E" w:rsidRDefault="009F1D8E" w:rsidP="007C6130">
      <w:pPr>
        <w:pStyle w:val="Heading3"/>
      </w:pPr>
      <w:r w:rsidRPr="009F718D">
        <w:t xml:space="preserve">the service is installed prior to the </w:t>
      </w:r>
      <w:r w:rsidRPr="007C6130">
        <w:t>Recorded Telstra Commitment Date</w:t>
      </w:r>
      <w:r w:rsidRPr="005D251E">
        <w:t>;</w:t>
      </w:r>
    </w:p>
    <w:p w14:paraId="4A45E888" w14:textId="77777777" w:rsidR="009F1D8E" w:rsidRPr="009F718D" w:rsidRDefault="009F1D8E" w:rsidP="007C6130">
      <w:pPr>
        <w:pStyle w:val="Heading3"/>
      </w:pPr>
      <w:r w:rsidRPr="009F718D">
        <w:t>th</w:t>
      </w:r>
      <w:r w:rsidR="00943798" w:rsidRPr="009F718D">
        <w:t>e</w:t>
      </w:r>
      <w:r w:rsidRPr="009F718D">
        <w:t xml:space="preserve"> </w:t>
      </w:r>
      <w:r w:rsidRPr="007C6130">
        <w:t xml:space="preserve">Customer </w:t>
      </w:r>
      <w:r w:rsidRPr="005D251E">
        <w:t xml:space="preserve">has already claimed </w:t>
      </w:r>
      <w:r w:rsidRPr="007C6130">
        <w:t xml:space="preserve">TPC Rebates </w:t>
      </w:r>
      <w:r w:rsidRPr="005D251E">
        <w:t>on an</w:t>
      </w:r>
      <w:r w:rsidRPr="009F718D">
        <w:t xml:space="preserve"> affected service; and</w:t>
      </w:r>
    </w:p>
    <w:p w14:paraId="76F69740" w14:textId="2AE3AEDF" w:rsidR="009F1D8E" w:rsidRPr="005D251E" w:rsidRDefault="009F718D" w:rsidP="007C6130">
      <w:pPr>
        <w:pStyle w:val="Heading2"/>
        <w:numPr>
          <w:ilvl w:val="0"/>
          <w:numId w:val="0"/>
        </w:numPr>
        <w:ind w:left="737"/>
      </w:pPr>
      <w:bookmarkStart w:id="41" w:name="_Ref448757435"/>
      <w:r>
        <w:t>t</w:t>
      </w:r>
      <w:r w:rsidR="009F1D8E" w:rsidRPr="009F718D">
        <w:t xml:space="preserve">he </w:t>
      </w:r>
      <w:r w:rsidR="009F1D8E" w:rsidRPr="007C6130">
        <w:t xml:space="preserve">Enhanced TPC Rebate </w:t>
      </w:r>
      <w:r w:rsidR="009F1D8E" w:rsidRPr="005D251E">
        <w:t xml:space="preserve">will not be paid for the </w:t>
      </w:r>
      <w:r w:rsidR="009F1D8E" w:rsidRPr="007C6130">
        <w:t xml:space="preserve">Enhanced TPC </w:t>
      </w:r>
      <w:r w:rsidR="009F1D8E" w:rsidRPr="005D251E">
        <w:t>if:</w:t>
      </w:r>
      <w:bookmarkEnd w:id="41"/>
    </w:p>
    <w:p w14:paraId="6D155707" w14:textId="77777777" w:rsidR="009F1D8E" w:rsidRPr="005D251E" w:rsidRDefault="009A02BE" w:rsidP="007C6130">
      <w:pPr>
        <w:pStyle w:val="Heading3"/>
      </w:pPr>
      <w:r w:rsidRPr="009F718D">
        <w:t>you</w:t>
      </w:r>
      <w:r w:rsidR="009F1D8E" w:rsidRPr="007C6130">
        <w:t xml:space="preserve"> </w:t>
      </w:r>
      <w:r w:rsidR="009F1D8E" w:rsidRPr="005D251E">
        <w:t xml:space="preserve">did not formally apply to </w:t>
      </w:r>
      <w:r w:rsidRPr="007C6130">
        <w:t>us</w:t>
      </w:r>
      <w:r w:rsidR="009F1D8E" w:rsidRPr="007C6130">
        <w:t xml:space="preserve"> </w:t>
      </w:r>
      <w:r w:rsidR="009F1D8E" w:rsidRPr="005D251E">
        <w:t xml:space="preserve">for the </w:t>
      </w:r>
      <w:r w:rsidR="009F1D8E" w:rsidRPr="007C6130">
        <w:t xml:space="preserve">Enhanced TPC </w:t>
      </w:r>
      <w:r w:rsidR="009F1D8E" w:rsidRPr="005D251E">
        <w:t>at the point of sale;</w:t>
      </w:r>
    </w:p>
    <w:p w14:paraId="66B88D38" w14:textId="77777777" w:rsidR="009F1D8E" w:rsidRPr="009F718D" w:rsidRDefault="009F1D8E" w:rsidP="007C6130">
      <w:pPr>
        <w:pStyle w:val="Heading3"/>
      </w:pPr>
      <w:r w:rsidRPr="009F718D">
        <w:t xml:space="preserve">the activation process has commenced and a </w:t>
      </w:r>
      <w:r w:rsidRPr="007C6130">
        <w:t xml:space="preserve">Standard TPC </w:t>
      </w:r>
      <w:r w:rsidRPr="005D251E">
        <w:t>has already be</w:t>
      </w:r>
      <w:r w:rsidRPr="009F718D">
        <w:t>en agreed;</w:t>
      </w:r>
    </w:p>
    <w:p w14:paraId="510E89EA" w14:textId="77777777" w:rsidR="009F1D8E" w:rsidRPr="005D251E" w:rsidRDefault="009F1D8E" w:rsidP="007C6130">
      <w:pPr>
        <w:pStyle w:val="Heading3"/>
      </w:pPr>
      <w:r w:rsidRPr="009F718D">
        <w:t xml:space="preserve">the number of in scope services ordered by </w:t>
      </w:r>
      <w:r w:rsidR="009A02BE" w:rsidRPr="009F718D">
        <w:t>you</w:t>
      </w:r>
      <w:r w:rsidRPr="007C6130">
        <w:t xml:space="preserve"> </w:t>
      </w:r>
      <w:r w:rsidRPr="005D251E">
        <w:t>exceeds 5 services at a single site within one calendar month; and</w:t>
      </w:r>
    </w:p>
    <w:p w14:paraId="35CDB76A" w14:textId="77777777" w:rsidR="00DF1AE0" w:rsidRPr="009F718D" w:rsidRDefault="009F1D8E" w:rsidP="007C6130">
      <w:pPr>
        <w:pStyle w:val="Heading3"/>
      </w:pPr>
      <w:r w:rsidRPr="009F718D">
        <w:t xml:space="preserve">the activation activities ordered by </w:t>
      </w:r>
      <w:r w:rsidR="009A02BE" w:rsidRPr="009F718D">
        <w:t>you</w:t>
      </w:r>
      <w:r w:rsidRPr="007C6130">
        <w:t xml:space="preserve"> </w:t>
      </w:r>
      <w:r w:rsidRPr="005D251E">
        <w:t xml:space="preserve">requires </w:t>
      </w:r>
      <w:r w:rsidR="009A02BE" w:rsidRPr="007C6130">
        <w:t>us</w:t>
      </w:r>
      <w:r w:rsidRPr="007C6130">
        <w:t xml:space="preserve"> </w:t>
      </w:r>
      <w:r w:rsidRPr="005D251E">
        <w:t>to attend to more than 5 separate sites.</w:t>
      </w:r>
    </w:p>
    <w:sectPr w:rsidR="00DF1AE0" w:rsidRPr="009F718D" w:rsidSect="007C6130">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B9D3" w14:textId="77777777" w:rsidR="009C4DD8" w:rsidRDefault="009C4DD8">
      <w:r>
        <w:separator/>
      </w:r>
    </w:p>
  </w:endnote>
  <w:endnote w:type="continuationSeparator" w:id="0">
    <w:p w14:paraId="025008E2" w14:textId="77777777" w:rsidR="009C4DD8" w:rsidRDefault="009C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rmony Text">
    <w:panose1 w:val="020B0400000000000000"/>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A794" w14:textId="3BB72545" w:rsidR="00354397" w:rsidRPr="00D82AF7" w:rsidRDefault="005E3A18">
    <w:pPr>
      <w:pStyle w:val="Footer"/>
      <w:framePr w:wrap="around" w:vAnchor="text" w:hAnchor="margin" w:xAlign="right" w:y="1"/>
      <w:rPr>
        <w:rStyle w:val="PageNumber"/>
      </w:rPr>
    </w:pPr>
    <w:r>
      <w:rPr>
        <w:noProof/>
      </w:rPr>
      <mc:AlternateContent>
        <mc:Choice Requires="wps">
          <w:drawing>
            <wp:anchor distT="0" distB="0" distL="0" distR="0" simplePos="0" relativeHeight="251666944" behindDoc="0" locked="0" layoutInCell="1" allowOverlap="1" wp14:anchorId="7C1DA2A7" wp14:editId="673B650D">
              <wp:simplePos x="635" y="635"/>
              <wp:positionH relativeFrom="page">
                <wp:align>center</wp:align>
              </wp:positionH>
              <wp:positionV relativeFrom="page">
                <wp:align>bottom</wp:align>
              </wp:positionV>
              <wp:extent cx="407670" cy="345440"/>
              <wp:effectExtent l="0" t="0" r="11430" b="0"/>
              <wp:wrapNone/>
              <wp:docPr id="20150289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5C71C728" w14:textId="13F23ECC" w:rsidR="005E3A18" w:rsidRPr="005E3A18" w:rsidRDefault="005E3A18" w:rsidP="005E3A18">
                          <w:pPr>
                            <w:rPr>
                              <w:rFonts w:ascii="Calibri" w:eastAsia="Calibri" w:hAnsi="Calibri" w:cs="Calibri"/>
                              <w:noProof/>
                              <w:color w:val="000000"/>
                              <w:sz w:val="20"/>
                            </w:rPr>
                          </w:pPr>
                          <w:r w:rsidRPr="005E3A1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A2A7" id="_x0000_t202" coordsize="21600,21600" o:spt="202" path="m,l,21600r21600,l21600,xe">
              <v:stroke joinstyle="miter"/>
              <v:path gradientshapeok="t" o:connecttype="rect"/>
            </v:shapetype>
            <v:shape id="Text Box 6" o:spid="_x0000_s1027" type="#_x0000_t202" alt="General" style="position:absolute;margin-left:0;margin-top:0;width:32.1pt;height:27.2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5C71C728" w14:textId="13F23ECC" w:rsidR="005E3A18" w:rsidRPr="005E3A18" w:rsidRDefault="005E3A18" w:rsidP="005E3A18">
                    <w:pPr>
                      <w:rPr>
                        <w:rFonts w:ascii="Calibri" w:eastAsia="Calibri" w:hAnsi="Calibri" w:cs="Calibri"/>
                        <w:noProof/>
                        <w:color w:val="000000"/>
                        <w:sz w:val="20"/>
                      </w:rPr>
                    </w:pPr>
                    <w:r w:rsidRPr="005E3A18">
                      <w:rPr>
                        <w:rFonts w:ascii="Calibri" w:eastAsia="Calibri" w:hAnsi="Calibri" w:cs="Calibri"/>
                        <w:noProof/>
                        <w:color w:val="000000"/>
                        <w:sz w:val="20"/>
                      </w:rPr>
                      <w:t>General</w:t>
                    </w:r>
                  </w:p>
                </w:txbxContent>
              </v:textbox>
              <w10:wrap anchorx="page" anchory="page"/>
            </v:shape>
          </w:pict>
        </mc:Fallback>
      </mc:AlternateContent>
    </w:r>
    <w:r w:rsidR="00354397" w:rsidRPr="00D82AF7">
      <w:rPr>
        <w:rStyle w:val="PageNumber"/>
      </w:rPr>
      <w:fldChar w:fldCharType="begin"/>
    </w:r>
    <w:r w:rsidR="00354397" w:rsidRPr="00D82AF7">
      <w:rPr>
        <w:rStyle w:val="PageNumber"/>
      </w:rPr>
      <w:instrText xml:space="preserve">PAGE  </w:instrText>
    </w:r>
    <w:r w:rsidR="00354397" w:rsidRPr="00D82AF7">
      <w:rPr>
        <w:rStyle w:val="PageNumber"/>
      </w:rPr>
      <w:fldChar w:fldCharType="separate"/>
    </w:r>
    <w:r w:rsidR="00354397">
      <w:rPr>
        <w:rStyle w:val="PageNumber"/>
        <w:noProof/>
      </w:rPr>
      <w:t>25</w:t>
    </w:r>
    <w:r w:rsidR="00354397" w:rsidRPr="00D82AF7">
      <w:rPr>
        <w:rStyle w:val="PageNumber"/>
      </w:rPr>
      <w:fldChar w:fldCharType="end"/>
    </w:r>
  </w:p>
  <w:p w14:paraId="5EC883B3" w14:textId="77777777" w:rsidR="00354397" w:rsidRPr="00D82AF7" w:rsidRDefault="003543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4805" w14:textId="4FCFEEC7" w:rsidR="00354397" w:rsidRPr="004F4EE8" w:rsidRDefault="00354397" w:rsidP="00BA4E7D">
    <w:pPr>
      <w:pStyle w:val="Footer"/>
      <w:ind w:right="360"/>
      <w:rPr>
        <w:noProof/>
        <w:sz w:val="18"/>
        <w:szCs w:val="18"/>
      </w:rPr>
    </w:pPr>
    <w:r w:rsidRPr="004F4EE8">
      <w:rPr>
        <w:noProof/>
        <w:sz w:val="18"/>
        <w:szCs w:val="18"/>
        <w:lang w:eastAsia="en-AU"/>
      </w:rPr>
      <w:drawing>
        <wp:anchor distT="0" distB="0" distL="114300" distR="114300" simplePos="0" relativeHeight="251664896" behindDoc="0" locked="0" layoutInCell="1" allowOverlap="1" wp14:anchorId="733B9E7F" wp14:editId="77081DEF">
          <wp:simplePos x="0" y="0"/>
          <wp:positionH relativeFrom="column">
            <wp:posOffset>5061857</wp:posOffset>
          </wp:positionH>
          <wp:positionV relativeFrom="line">
            <wp:posOffset>32657</wp:posOffset>
          </wp:positionV>
          <wp:extent cx="1046480" cy="452120"/>
          <wp:effectExtent l="0" t="0" r="1270" b="5080"/>
          <wp:wrapNone/>
          <wp:docPr id="6"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EE8">
      <w:rPr>
        <w:noProof/>
        <w:sz w:val="18"/>
        <w:szCs w:val="18"/>
      </w:rPr>
      <w:t xml:space="preserve">Standard Restoration, SLA Premium and Telstra Provisioning Commitment section </w:t>
    </w:r>
  </w:p>
  <w:p w14:paraId="64C6B1B2" w14:textId="0965CA22" w:rsidR="00354397" w:rsidRPr="004F4EE8" w:rsidRDefault="00354397" w:rsidP="00BA4E7D">
    <w:pPr>
      <w:pStyle w:val="Footer"/>
      <w:ind w:right="360"/>
      <w:rPr>
        <w:sz w:val="18"/>
        <w:szCs w:val="18"/>
      </w:rPr>
    </w:pPr>
    <w:r w:rsidRPr="004F4EE8">
      <w:rPr>
        <w:sz w:val="18"/>
        <w:szCs w:val="18"/>
      </w:rPr>
      <w:t xml:space="preserve">was last changed on </w:t>
    </w:r>
    <w:r w:rsidR="00897159">
      <w:rPr>
        <w:sz w:val="18"/>
        <w:szCs w:val="18"/>
      </w:rPr>
      <w:t>01</w:t>
    </w:r>
    <w:r w:rsidR="002525C7">
      <w:rPr>
        <w:sz w:val="18"/>
        <w:szCs w:val="18"/>
      </w:rPr>
      <w:t xml:space="preserve">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3A21" w14:textId="553CF24F" w:rsidR="005E3A18" w:rsidRDefault="005E3A18">
    <w:pPr>
      <w:pStyle w:val="Footer"/>
    </w:pPr>
    <w:r>
      <w:rPr>
        <w:noProof/>
      </w:rPr>
      <mc:AlternateContent>
        <mc:Choice Requires="wps">
          <w:drawing>
            <wp:anchor distT="0" distB="0" distL="0" distR="0" simplePos="0" relativeHeight="251665920" behindDoc="0" locked="0" layoutInCell="1" allowOverlap="1" wp14:anchorId="1E28AC13" wp14:editId="3DF2521E">
              <wp:simplePos x="635" y="635"/>
              <wp:positionH relativeFrom="page">
                <wp:align>center</wp:align>
              </wp:positionH>
              <wp:positionV relativeFrom="page">
                <wp:align>bottom</wp:align>
              </wp:positionV>
              <wp:extent cx="407670" cy="345440"/>
              <wp:effectExtent l="0" t="0" r="11430" b="0"/>
              <wp:wrapNone/>
              <wp:docPr id="825720017"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01335FBF" w14:textId="2AECDBB5" w:rsidR="005E3A18" w:rsidRPr="005E3A18" w:rsidRDefault="005E3A18" w:rsidP="005E3A18">
                          <w:pPr>
                            <w:rPr>
                              <w:rFonts w:ascii="Calibri" w:eastAsia="Calibri" w:hAnsi="Calibri" w:cs="Calibri"/>
                              <w:noProof/>
                              <w:color w:val="000000"/>
                              <w:sz w:val="20"/>
                            </w:rPr>
                          </w:pPr>
                          <w:r w:rsidRPr="005E3A1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8AC13" id="_x0000_t202" coordsize="21600,21600" o:spt="202" path="m,l,21600r21600,l21600,xe">
              <v:stroke joinstyle="miter"/>
              <v:path gradientshapeok="t" o:connecttype="rect"/>
            </v:shapetype>
            <v:shape id="Text Box 5" o:spid="_x0000_s1029" type="#_x0000_t202" alt="General" style="position:absolute;margin-left:0;margin-top:0;width:32.1pt;height:27.2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vg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LNx+kLKg9YytKRb2fkqkHrtXD+WVgQjGkh&#10;Wv+Eo2qpzzmdLM5qsj/+5g/5wB1RznoIJucaiuas/abBR9DWaNjRKKIx/Zxep4jrXXdPkOEUL8LI&#10;aMJrfTualaXuFXJehkYICS3RLufFaN77o3LxHKRaLmMSZGSEX+uNkaF0gCtg+TK8CmtOgHsw9Uij&#10;mkT2BvdjbrjpzHLngX4kJUB7BPKEOCQYuTo9l6DxX/9j1uVRL34C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uV5vgDgIAABwE&#10;AAAOAAAAAAAAAAAAAAAAAC4CAABkcnMvZTJvRG9jLnhtbFBLAQItABQABgAIAAAAIQCO42552gAA&#10;AAMBAAAPAAAAAAAAAAAAAAAAAGgEAABkcnMvZG93bnJldi54bWxQSwUGAAAAAAQABADzAAAAbwUA&#10;AAAA&#10;" filled="f" stroked="f">
              <v:textbox style="mso-fit-shape-to-text:t" inset="0,0,0,15pt">
                <w:txbxContent>
                  <w:p w14:paraId="01335FBF" w14:textId="2AECDBB5" w:rsidR="005E3A18" w:rsidRPr="005E3A18" w:rsidRDefault="005E3A18" w:rsidP="005E3A18">
                    <w:pPr>
                      <w:rPr>
                        <w:rFonts w:ascii="Calibri" w:eastAsia="Calibri" w:hAnsi="Calibri" w:cs="Calibri"/>
                        <w:noProof/>
                        <w:color w:val="000000"/>
                        <w:sz w:val="20"/>
                      </w:rPr>
                    </w:pPr>
                    <w:r w:rsidRPr="005E3A18">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5A4E" w14:textId="77777777" w:rsidR="009C4DD8" w:rsidRDefault="009C4DD8">
      <w:r>
        <w:separator/>
      </w:r>
    </w:p>
  </w:footnote>
  <w:footnote w:type="continuationSeparator" w:id="0">
    <w:p w14:paraId="751EFD96" w14:textId="77777777" w:rsidR="009C4DD8" w:rsidRDefault="009C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4B2B" w14:textId="77777777" w:rsidR="00354397" w:rsidRPr="00D82AF7" w:rsidRDefault="00354397" w:rsidP="00174CAC">
    <w:pPr>
      <w:pStyle w:val="Header"/>
      <w:tabs>
        <w:tab w:val="right" w:pos="8505"/>
      </w:tabs>
      <w:rPr>
        <w:rStyle w:val="PageNumber"/>
        <w:rFonts w:ascii="Courier New" w:hAnsi="Courier New" w:cs="Courier New"/>
        <w:color w:val="FF0000"/>
        <w:sz w:val="4"/>
      </w:rPr>
    </w:pPr>
  </w:p>
  <w:p w14:paraId="7E4BAAE7" w14:textId="77777777" w:rsidR="00354397" w:rsidRPr="00D82AF7" w:rsidRDefault="00354397">
    <w:pPr>
      <w:pStyle w:val="Header"/>
      <w:tabs>
        <w:tab w:val="right" w:pos="8505"/>
      </w:tabs>
      <w:rPr>
        <w:rStyle w:val="PageNumber"/>
      </w:rPr>
    </w:pPr>
    <w:r w:rsidRPr="00D82AF7">
      <w:rPr>
        <w:rFonts w:ascii="Times New Roman" w:hAnsi="Times New Roman"/>
        <w:noProof/>
        <w:lang w:eastAsia="en-AU"/>
      </w:rPr>
      <mc:AlternateContent>
        <mc:Choice Requires="wps">
          <w:drawing>
            <wp:anchor distT="0" distB="0" distL="114300" distR="114300" simplePos="0" relativeHeight="251656704" behindDoc="0" locked="0" layoutInCell="0" allowOverlap="1" wp14:anchorId="69F29D26" wp14:editId="1B83B2B1">
              <wp:simplePos x="0" y="0"/>
              <wp:positionH relativeFrom="column">
                <wp:posOffset>2498090</wp:posOffset>
              </wp:positionH>
              <wp:positionV relativeFrom="paragraph">
                <wp:posOffset>-1347470</wp:posOffset>
              </wp:positionV>
              <wp:extent cx="2835275" cy="5492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86ECA" w14:textId="77777777" w:rsidR="00354397" w:rsidRDefault="00354397">
                          <w:pPr>
                            <w:jc w:val="right"/>
                            <w:rPr>
                              <w:rFonts w:ascii="Arial" w:hAnsi="Arial"/>
                              <w:sz w:val="18"/>
                            </w:rPr>
                          </w:pPr>
                          <w:r>
                            <w:rPr>
                              <w:rFonts w:ascii="Arial" w:hAnsi="Arial"/>
                              <w:sz w:val="18"/>
                            </w:rPr>
                            <w:t>DRAFT [NO.]: [Date]</w:t>
                          </w:r>
                        </w:p>
                        <w:p w14:paraId="232F0D22" w14:textId="77777777" w:rsidR="00354397" w:rsidRDefault="0035439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9D26" id="Rectangle 2" o:spid="_x0000_s1026"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D286ECA" w14:textId="77777777" w:rsidR="00354397" w:rsidRDefault="00354397">
                    <w:pPr>
                      <w:jc w:val="right"/>
                      <w:rPr>
                        <w:rFonts w:ascii="Arial" w:hAnsi="Arial"/>
                        <w:sz w:val="18"/>
                      </w:rPr>
                    </w:pPr>
                    <w:r>
                      <w:rPr>
                        <w:rFonts w:ascii="Arial" w:hAnsi="Arial"/>
                        <w:sz w:val="18"/>
                      </w:rPr>
                      <w:t>DRAFT [NO.]: [Date]</w:t>
                    </w:r>
                  </w:p>
                  <w:p w14:paraId="232F0D22" w14:textId="77777777" w:rsidR="00354397" w:rsidRDefault="00354397">
                    <w:pPr>
                      <w:jc w:val="right"/>
                      <w:rPr>
                        <w:rFonts w:ascii="Arial" w:hAnsi="Arial"/>
                        <w:sz w:val="18"/>
                      </w:rPr>
                    </w:pPr>
                    <w:r>
                      <w:rPr>
                        <w:rFonts w:ascii="Arial" w:hAnsi="Arial"/>
                        <w:sz w:val="18"/>
                      </w:rPr>
                      <w:t>Marked to show changes from draft [No.]: [Date]</w:t>
                    </w:r>
                  </w:p>
                </w:txbxContent>
              </v:textbox>
            </v:rect>
          </w:pict>
        </mc:Fallback>
      </mc:AlternateContent>
    </w:r>
    <w:r w:rsidRPr="00D82AF7">
      <w:rPr>
        <w:rStyle w:val="PageNumber"/>
      </w:rPr>
      <w:t>Our Customer Terms</w:t>
    </w:r>
    <w:r w:rsidRPr="00D82AF7">
      <w:rPr>
        <w:rStyle w:val="PageNumber"/>
        <w:szCs w:val="36"/>
      </w:rPr>
      <w:tab/>
    </w:r>
    <w:r w:rsidRPr="00D82AF7">
      <w:rPr>
        <w:rStyle w:val="PageNumber"/>
        <w:b w:val="0"/>
        <w:bCs/>
        <w:sz w:val="20"/>
      </w:rPr>
      <w:t xml:space="preserve">Page </w:t>
    </w:r>
    <w:r w:rsidRPr="00D82AF7">
      <w:rPr>
        <w:rStyle w:val="PageNumber"/>
        <w:b w:val="0"/>
        <w:bCs/>
        <w:sz w:val="20"/>
      </w:rPr>
      <w:fldChar w:fldCharType="begin"/>
    </w:r>
    <w:r w:rsidRPr="00D82AF7">
      <w:rPr>
        <w:rStyle w:val="PageNumber"/>
        <w:b w:val="0"/>
        <w:bCs/>
        <w:sz w:val="20"/>
      </w:rPr>
      <w:instrText xml:space="preserve"> PAGE </w:instrText>
    </w:r>
    <w:r w:rsidRPr="00D82AF7">
      <w:rPr>
        <w:rStyle w:val="PageNumber"/>
        <w:b w:val="0"/>
        <w:bCs/>
        <w:sz w:val="20"/>
      </w:rPr>
      <w:fldChar w:fldCharType="separate"/>
    </w:r>
    <w:r>
      <w:rPr>
        <w:rStyle w:val="PageNumber"/>
        <w:b w:val="0"/>
        <w:bCs/>
        <w:noProof/>
        <w:sz w:val="20"/>
      </w:rPr>
      <w:t>3</w:t>
    </w:r>
    <w:r w:rsidRPr="00D82AF7">
      <w:rPr>
        <w:rStyle w:val="PageNumber"/>
        <w:b w:val="0"/>
        <w:bCs/>
        <w:sz w:val="20"/>
      </w:rPr>
      <w:fldChar w:fldCharType="end"/>
    </w:r>
    <w:r w:rsidRPr="00D82AF7">
      <w:rPr>
        <w:rStyle w:val="PageNumber"/>
        <w:b w:val="0"/>
        <w:bCs/>
        <w:sz w:val="20"/>
      </w:rPr>
      <w:t xml:space="preserve"> of </w:t>
    </w:r>
    <w:r w:rsidRPr="00D82AF7">
      <w:rPr>
        <w:rStyle w:val="PageNumber"/>
        <w:b w:val="0"/>
        <w:bCs/>
        <w:sz w:val="20"/>
      </w:rPr>
      <w:fldChar w:fldCharType="begin"/>
    </w:r>
    <w:r w:rsidRPr="00D82AF7">
      <w:rPr>
        <w:rStyle w:val="PageNumber"/>
        <w:b w:val="0"/>
        <w:bCs/>
        <w:sz w:val="20"/>
      </w:rPr>
      <w:instrText xml:space="preserve"> NUMPAGES </w:instrText>
    </w:r>
    <w:r w:rsidRPr="00D82AF7">
      <w:rPr>
        <w:rStyle w:val="PageNumber"/>
        <w:b w:val="0"/>
        <w:bCs/>
        <w:sz w:val="20"/>
      </w:rPr>
      <w:fldChar w:fldCharType="separate"/>
    </w:r>
    <w:r>
      <w:rPr>
        <w:rStyle w:val="PageNumber"/>
        <w:b w:val="0"/>
        <w:bCs/>
        <w:noProof/>
        <w:sz w:val="20"/>
      </w:rPr>
      <w:t>24</w:t>
    </w:r>
    <w:r w:rsidRPr="00D82AF7">
      <w:rPr>
        <w:rStyle w:val="PageNumber"/>
        <w:b w:val="0"/>
        <w:bCs/>
        <w:sz w:val="20"/>
      </w:rPr>
      <w:fldChar w:fldCharType="end"/>
    </w:r>
  </w:p>
  <w:p w14:paraId="37E84A8B" w14:textId="77777777" w:rsidR="00354397" w:rsidRPr="00D82AF7" w:rsidRDefault="00354397" w:rsidP="0088669F">
    <w:pPr>
      <w:pStyle w:val="Headersub"/>
      <w:spacing w:after="360"/>
      <w:rPr>
        <w:rStyle w:val="PageNumber"/>
        <w:szCs w:val="36"/>
      </w:rPr>
    </w:pPr>
    <w:bookmarkStart w:id="0" w:name="OLE_LINK3"/>
    <w:r>
      <w:rPr>
        <w:rStyle w:val="PageNumber"/>
        <w:szCs w:val="36"/>
      </w:rPr>
      <w:t>Standard Restoration, SLA Premium, and Telstra Provisioning Commitment</w:t>
    </w:r>
    <w:r w:rsidRPr="00D82AF7">
      <w:rPr>
        <w:rStyle w:val="PageNumber"/>
        <w:szCs w:val="36"/>
      </w:rPr>
      <w:t xml:space="preserve"> section</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8712" w14:textId="77777777" w:rsidR="00354397" w:rsidRPr="00D82AF7" w:rsidRDefault="00354397" w:rsidP="00174CAC">
    <w:pPr>
      <w:pStyle w:val="Header"/>
      <w:pBdr>
        <w:bottom w:val="single" w:sz="8" w:space="1" w:color="auto"/>
      </w:pBdr>
      <w:tabs>
        <w:tab w:val="right" w:pos="8505"/>
      </w:tabs>
      <w:rPr>
        <w:rStyle w:val="PageNumber"/>
        <w:rFonts w:ascii="Courier New" w:hAnsi="Courier New" w:cs="Courier New"/>
        <w:color w:val="FF0000"/>
        <w:sz w:val="4"/>
        <w:szCs w:val="36"/>
      </w:rPr>
    </w:pPr>
  </w:p>
  <w:p w14:paraId="545388B1" w14:textId="77777777" w:rsidR="00354397" w:rsidRPr="00D82AF7" w:rsidRDefault="00354397">
    <w:pPr>
      <w:pStyle w:val="Header"/>
      <w:pBdr>
        <w:bottom w:val="single" w:sz="8" w:space="1" w:color="auto"/>
      </w:pBdr>
      <w:tabs>
        <w:tab w:val="right" w:pos="8505"/>
      </w:tabs>
      <w:rPr>
        <w:rStyle w:val="PageNumber"/>
        <w:szCs w:val="36"/>
      </w:rPr>
    </w:pPr>
    <w:r w:rsidRPr="00D82AF7">
      <w:rPr>
        <w:rFonts w:ascii="Times New Roman" w:hAnsi="Times New Roman"/>
        <w:noProof/>
        <w:szCs w:val="36"/>
        <w:lang w:eastAsia="en-AU"/>
      </w:rPr>
      <mc:AlternateContent>
        <mc:Choice Requires="wps">
          <w:drawing>
            <wp:anchor distT="0" distB="0" distL="114300" distR="114300" simplePos="0" relativeHeight="251655680" behindDoc="0" locked="0" layoutInCell="0" allowOverlap="1" wp14:anchorId="1668AC23" wp14:editId="48A06772">
              <wp:simplePos x="0" y="0"/>
              <wp:positionH relativeFrom="column">
                <wp:posOffset>2498090</wp:posOffset>
              </wp:positionH>
              <wp:positionV relativeFrom="paragraph">
                <wp:posOffset>-1347470</wp:posOffset>
              </wp:positionV>
              <wp:extent cx="2835275" cy="54927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499F70" w14:textId="77777777" w:rsidR="00354397" w:rsidRDefault="00354397">
                          <w:pPr>
                            <w:jc w:val="right"/>
                            <w:rPr>
                              <w:rFonts w:ascii="Arial" w:hAnsi="Arial"/>
                              <w:sz w:val="18"/>
                            </w:rPr>
                          </w:pPr>
                          <w:r>
                            <w:rPr>
                              <w:rFonts w:ascii="Arial" w:hAnsi="Arial"/>
                              <w:sz w:val="18"/>
                            </w:rPr>
                            <w:t>DRAFT [NO.]: [Date]</w:t>
                          </w:r>
                        </w:p>
                        <w:p w14:paraId="147657D1" w14:textId="77777777" w:rsidR="00354397" w:rsidRDefault="0035439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8AC23" id="Rectangle 1" o:spid="_x0000_s1028"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25499F70" w14:textId="77777777" w:rsidR="00354397" w:rsidRDefault="00354397">
                    <w:pPr>
                      <w:jc w:val="right"/>
                      <w:rPr>
                        <w:rFonts w:ascii="Arial" w:hAnsi="Arial"/>
                        <w:sz w:val="18"/>
                      </w:rPr>
                    </w:pPr>
                    <w:r>
                      <w:rPr>
                        <w:rFonts w:ascii="Arial" w:hAnsi="Arial"/>
                        <w:sz w:val="18"/>
                      </w:rPr>
                      <w:t>DRAFT [NO.]: [Date]</w:t>
                    </w:r>
                  </w:p>
                  <w:p w14:paraId="147657D1" w14:textId="77777777" w:rsidR="00354397" w:rsidRDefault="00354397">
                    <w:pPr>
                      <w:jc w:val="right"/>
                      <w:rPr>
                        <w:rFonts w:ascii="Arial" w:hAnsi="Arial"/>
                        <w:sz w:val="18"/>
                      </w:rPr>
                    </w:pPr>
                    <w:r>
                      <w:rPr>
                        <w:rFonts w:ascii="Arial" w:hAnsi="Arial"/>
                        <w:sz w:val="18"/>
                      </w:rPr>
                      <w:t>Marked to show changes from draft [No.]: [Date]</w:t>
                    </w:r>
                  </w:p>
                </w:txbxContent>
              </v:textbox>
            </v:rect>
          </w:pict>
        </mc:Fallback>
      </mc:AlternateContent>
    </w:r>
    <w:r w:rsidRPr="00D82AF7">
      <w:rPr>
        <w:rStyle w:val="PageNumber"/>
        <w:szCs w:val="36"/>
      </w:rPr>
      <w:t>Our Customer Terms</w:t>
    </w:r>
  </w:p>
  <w:p w14:paraId="23AFCF43" w14:textId="77777777" w:rsidR="00354397" w:rsidRPr="00D82AF7" w:rsidRDefault="00354397">
    <w:pPr>
      <w:pStyle w:val="Header"/>
      <w:pBdr>
        <w:bottom w:val="single" w:sz="8" w:space="1" w:color="auto"/>
      </w:pBdr>
      <w:tabs>
        <w:tab w:val="right" w:pos="8505"/>
      </w:tabs>
      <w:rPr>
        <w:rStyle w:val="PageNumber"/>
        <w:b w:val="0"/>
        <w:bCs/>
        <w:szCs w:val="36"/>
      </w:rPr>
    </w:pPr>
    <w:r w:rsidRPr="00D82AF7">
      <w:rPr>
        <w:rStyle w:val="PageNumber"/>
        <w:b w:val="0"/>
        <w:bCs/>
        <w:szCs w:val="36"/>
      </w:rPr>
      <w:t>General Terms</w:t>
    </w:r>
  </w:p>
  <w:p w14:paraId="2AAEF277" w14:textId="77777777" w:rsidR="00354397" w:rsidRPr="00D82AF7" w:rsidRDefault="00354397">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0791" w14:textId="77777777" w:rsidR="00354397" w:rsidRPr="00D82AF7" w:rsidRDefault="00354397" w:rsidP="00174CAC">
    <w:pPr>
      <w:pStyle w:val="Header"/>
      <w:tabs>
        <w:tab w:val="right" w:pos="8505"/>
      </w:tabs>
      <w:rPr>
        <w:rStyle w:val="PageNumber"/>
        <w:rFonts w:ascii="Courier New" w:hAnsi="Courier New" w:cs="Courier New"/>
        <w:color w:val="FF0000"/>
        <w:sz w:val="4"/>
      </w:rPr>
    </w:pPr>
  </w:p>
  <w:p w14:paraId="688D1C24" w14:textId="77777777" w:rsidR="00354397" w:rsidRPr="00D82AF7" w:rsidRDefault="00354397">
    <w:pPr>
      <w:pStyle w:val="Header"/>
      <w:tabs>
        <w:tab w:val="right" w:pos="8505"/>
      </w:tabs>
      <w:rPr>
        <w:rStyle w:val="PageNumber"/>
        <w:sz w:val="28"/>
        <w:szCs w:val="28"/>
      </w:rPr>
    </w:pPr>
    <w:r w:rsidRPr="002825ED">
      <w:rPr>
        <w:rFonts w:ascii="Times New Roman" w:hAnsi="Times New Roman"/>
        <w:noProof/>
        <w:sz w:val="28"/>
        <w:szCs w:val="28"/>
        <w:lang w:eastAsia="en-AU"/>
      </w:rPr>
      <mc:AlternateContent>
        <mc:Choice Requires="wps">
          <w:drawing>
            <wp:anchor distT="0" distB="0" distL="114300" distR="114300" simplePos="0" relativeHeight="251659776" behindDoc="0" locked="0" layoutInCell="0" allowOverlap="1" wp14:anchorId="4CAD6B1D" wp14:editId="33F30430">
              <wp:simplePos x="0" y="0"/>
              <wp:positionH relativeFrom="column">
                <wp:posOffset>2498090</wp:posOffset>
              </wp:positionH>
              <wp:positionV relativeFrom="paragraph">
                <wp:posOffset>-1347470</wp:posOffset>
              </wp:positionV>
              <wp:extent cx="2835275" cy="54927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3CE1" w14:textId="77777777" w:rsidR="00354397" w:rsidRDefault="00354397">
                          <w:pPr>
                            <w:jc w:val="right"/>
                            <w:rPr>
                              <w:rFonts w:ascii="Arial" w:hAnsi="Arial"/>
                              <w:sz w:val="18"/>
                            </w:rPr>
                          </w:pPr>
                          <w:r>
                            <w:rPr>
                              <w:rFonts w:ascii="Arial" w:hAnsi="Arial"/>
                              <w:sz w:val="18"/>
                            </w:rPr>
                            <w:t>DRAFT [NO.]: [Date]</w:t>
                          </w:r>
                        </w:p>
                        <w:p w14:paraId="62865A21" w14:textId="77777777" w:rsidR="00354397" w:rsidRDefault="0035439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D6B1D" id="Rectangle 10" o:spid="_x0000_s1030" style="position:absolute;margin-left:196.7pt;margin-top:-106.1pt;width:223.2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5E223CE1" w14:textId="77777777" w:rsidR="00354397" w:rsidRDefault="00354397">
                    <w:pPr>
                      <w:jc w:val="right"/>
                      <w:rPr>
                        <w:rFonts w:ascii="Arial" w:hAnsi="Arial"/>
                        <w:sz w:val="18"/>
                      </w:rPr>
                    </w:pPr>
                    <w:r>
                      <w:rPr>
                        <w:rFonts w:ascii="Arial" w:hAnsi="Arial"/>
                        <w:sz w:val="18"/>
                      </w:rPr>
                      <w:t>DRAFT [NO.]: [Date]</w:t>
                    </w:r>
                  </w:p>
                  <w:p w14:paraId="62865A21" w14:textId="77777777" w:rsidR="00354397" w:rsidRDefault="00354397">
                    <w:pPr>
                      <w:jc w:val="right"/>
                      <w:rPr>
                        <w:rFonts w:ascii="Arial" w:hAnsi="Arial"/>
                        <w:sz w:val="18"/>
                      </w:rPr>
                    </w:pPr>
                    <w:r>
                      <w:rPr>
                        <w:rFonts w:ascii="Arial" w:hAnsi="Arial"/>
                        <w:sz w:val="18"/>
                      </w:rPr>
                      <w:t>Marked to show changes from draft [No.]: [Date]</w:t>
                    </w:r>
                  </w:p>
                </w:txbxContent>
              </v:textbox>
            </v:rect>
          </w:pict>
        </mc:Fallback>
      </mc:AlternateContent>
    </w:r>
    <w:r w:rsidRPr="00D82AF7">
      <w:rPr>
        <w:rStyle w:val="PageNumber"/>
        <w:sz w:val="28"/>
        <w:szCs w:val="28"/>
      </w:rPr>
      <w:t>Our Customer Terms</w:t>
    </w:r>
    <w:r w:rsidRPr="00D82AF7">
      <w:rPr>
        <w:rStyle w:val="PageNumber"/>
        <w:sz w:val="28"/>
        <w:szCs w:val="28"/>
      </w:rPr>
      <w:tab/>
    </w:r>
    <w:r w:rsidRPr="00D82AF7">
      <w:rPr>
        <w:rStyle w:val="PageNumber"/>
        <w:b w:val="0"/>
        <w:bCs/>
        <w:sz w:val="28"/>
        <w:szCs w:val="28"/>
      </w:rPr>
      <w:t xml:space="preserve">Page </w:t>
    </w:r>
    <w:r w:rsidRPr="00D82AF7">
      <w:rPr>
        <w:rStyle w:val="PageNumber"/>
        <w:b w:val="0"/>
        <w:bCs/>
        <w:sz w:val="28"/>
        <w:szCs w:val="28"/>
      </w:rPr>
      <w:fldChar w:fldCharType="begin"/>
    </w:r>
    <w:r w:rsidRPr="00D82AF7">
      <w:rPr>
        <w:rStyle w:val="PageNumber"/>
        <w:b w:val="0"/>
        <w:bCs/>
        <w:sz w:val="28"/>
        <w:szCs w:val="28"/>
      </w:rPr>
      <w:instrText xml:space="preserve"> PAGE </w:instrText>
    </w:r>
    <w:r w:rsidRPr="00D82AF7">
      <w:rPr>
        <w:rStyle w:val="PageNumber"/>
        <w:b w:val="0"/>
        <w:bCs/>
        <w:sz w:val="28"/>
        <w:szCs w:val="28"/>
      </w:rPr>
      <w:fldChar w:fldCharType="separate"/>
    </w:r>
    <w:r>
      <w:rPr>
        <w:rStyle w:val="PageNumber"/>
        <w:b w:val="0"/>
        <w:bCs/>
        <w:noProof/>
        <w:sz w:val="28"/>
        <w:szCs w:val="28"/>
      </w:rPr>
      <w:t>11</w:t>
    </w:r>
    <w:r w:rsidRPr="00D82AF7">
      <w:rPr>
        <w:rStyle w:val="PageNumber"/>
        <w:b w:val="0"/>
        <w:bCs/>
        <w:sz w:val="28"/>
        <w:szCs w:val="28"/>
      </w:rPr>
      <w:fldChar w:fldCharType="end"/>
    </w:r>
    <w:r w:rsidRPr="00D82AF7">
      <w:rPr>
        <w:rStyle w:val="PageNumber"/>
        <w:b w:val="0"/>
        <w:bCs/>
        <w:sz w:val="28"/>
        <w:szCs w:val="28"/>
      </w:rPr>
      <w:t xml:space="preserve"> of </w:t>
    </w:r>
    <w:r w:rsidRPr="00D82AF7">
      <w:rPr>
        <w:rStyle w:val="PageNumber"/>
        <w:b w:val="0"/>
        <w:bCs/>
        <w:sz w:val="28"/>
        <w:szCs w:val="28"/>
      </w:rPr>
      <w:fldChar w:fldCharType="begin"/>
    </w:r>
    <w:r w:rsidRPr="00D82AF7">
      <w:rPr>
        <w:rStyle w:val="PageNumber"/>
        <w:b w:val="0"/>
        <w:bCs/>
        <w:sz w:val="28"/>
        <w:szCs w:val="28"/>
      </w:rPr>
      <w:instrText xml:space="preserve"> NUMPAGES </w:instrText>
    </w:r>
    <w:r w:rsidRPr="00D82AF7">
      <w:rPr>
        <w:rStyle w:val="PageNumber"/>
        <w:b w:val="0"/>
        <w:bCs/>
        <w:sz w:val="28"/>
        <w:szCs w:val="28"/>
      </w:rPr>
      <w:fldChar w:fldCharType="separate"/>
    </w:r>
    <w:r>
      <w:rPr>
        <w:rStyle w:val="PageNumber"/>
        <w:b w:val="0"/>
        <w:bCs/>
        <w:noProof/>
        <w:sz w:val="28"/>
        <w:szCs w:val="28"/>
      </w:rPr>
      <w:t>24</w:t>
    </w:r>
    <w:r w:rsidRPr="00D82AF7">
      <w:rPr>
        <w:rStyle w:val="PageNumber"/>
        <w:b w:val="0"/>
        <w:bCs/>
        <w:sz w:val="28"/>
        <w:szCs w:val="28"/>
      </w:rPr>
      <w:fldChar w:fldCharType="end"/>
    </w:r>
  </w:p>
  <w:p w14:paraId="087D8273" w14:textId="77777777" w:rsidR="00354397" w:rsidRPr="00D82AF7" w:rsidRDefault="00354397" w:rsidP="00AF641E">
    <w:pPr>
      <w:pStyle w:val="Headersub"/>
      <w:spacing w:after="120"/>
      <w:rPr>
        <w:rStyle w:val="PageNumber"/>
        <w:sz w:val="28"/>
        <w:szCs w:val="28"/>
      </w:rPr>
    </w:pPr>
    <w:r>
      <w:rPr>
        <w:rStyle w:val="PageNumber"/>
        <w:sz w:val="28"/>
        <w:szCs w:val="28"/>
      </w:rPr>
      <w:t>Standard Restoration, SLA Premium</w:t>
    </w:r>
    <w:r w:rsidRPr="00D82AF7">
      <w:rPr>
        <w:rStyle w:val="PageNumber"/>
        <w:sz w:val="28"/>
        <w:szCs w:val="28"/>
      </w:rPr>
      <w:t xml:space="preserve"> </w:t>
    </w:r>
    <w:r>
      <w:rPr>
        <w:rStyle w:val="PageNumber"/>
        <w:sz w:val="28"/>
        <w:szCs w:val="28"/>
      </w:rPr>
      <w:t xml:space="preserve">and Telstra Provisioning Commitment </w:t>
    </w:r>
    <w:r w:rsidRPr="00D82AF7">
      <w:rPr>
        <w:rStyle w:val="PageNumber"/>
        <w:sz w:val="28"/>
        <w:szCs w:val="28"/>
      </w:rPr>
      <w:t>section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E00E" w14:textId="77777777" w:rsidR="00354397" w:rsidRPr="00D82AF7" w:rsidRDefault="00354397" w:rsidP="00174CAC">
    <w:pPr>
      <w:pStyle w:val="Header"/>
      <w:tabs>
        <w:tab w:val="right" w:pos="8505"/>
      </w:tabs>
      <w:rPr>
        <w:rStyle w:val="PageNumber"/>
        <w:rFonts w:ascii="Courier New" w:hAnsi="Courier New" w:cs="Courier New"/>
        <w:color w:val="FF0000"/>
        <w:sz w:val="4"/>
      </w:rPr>
    </w:pPr>
  </w:p>
  <w:p w14:paraId="2B7349DC" w14:textId="77777777" w:rsidR="00354397" w:rsidRPr="00D82AF7" w:rsidRDefault="00354397">
    <w:pPr>
      <w:pStyle w:val="Header"/>
      <w:tabs>
        <w:tab w:val="right" w:pos="8505"/>
      </w:tabs>
      <w:rPr>
        <w:rStyle w:val="PageNumber"/>
        <w:sz w:val="28"/>
        <w:szCs w:val="28"/>
      </w:rPr>
    </w:pPr>
    <w:r w:rsidRPr="00D82AF7">
      <w:rPr>
        <w:rFonts w:ascii="Times New Roman" w:hAnsi="Times New Roman"/>
        <w:noProof/>
        <w:sz w:val="28"/>
        <w:szCs w:val="28"/>
        <w:lang w:eastAsia="en-AU"/>
      </w:rPr>
      <mc:AlternateContent>
        <mc:Choice Requires="wps">
          <w:drawing>
            <wp:anchor distT="0" distB="0" distL="114300" distR="114300" simplePos="0" relativeHeight="251657728" behindDoc="0" locked="0" layoutInCell="0" allowOverlap="1" wp14:anchorId="0CF47850" wp14:editId="19B8447F">
              <wp:simplePos x="0" y="0"/>
              <wp:positionH relativeFrom="column">
                <wp:posOffset>2498090</wp:posOffset>
              </wp:positionH>
              <wp:positionV relativeFrom="paragraph">
                <wp:posOffset>-1347470</wp:posOffset>
              </wp:positionV>
              <wp:extent cx="2835275" cy="54927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F431B" w14:textId="77777777" w:rsidR="00354397" w:rsidRDefault="00354397">
                          <w:pPr>
                            <w:jc w:val="right"/>
                            <w:rPr>
                              <w:rFonts w:ascii="Arial" w:hAnsi="Arial"/>
                              <w:sz w:val="18"/>
                            </w:rPr>
                          </w:pPr>
                          <w:r>
                            <w:rPr>
                              <w:rFonts w:ascii="Arial" w:hAnsi="Arial"/>
                              <w:sz w:val="18"/>
                            </w:rPr>
                            <w:t>DRAFT [NO.]: [Date]</w:t>
                          </w:r>
                        </w:p>
                        <w:p w14:paraId="352E462A" w14:textId="77777777" w:rsidR="00354397" w:rsidRDefault="0035439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47850" id="Rectangle 7" o:spid="_x0000_s1031"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T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yu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v0yuU9kBAACsAwAADgAAAAAAAAAAAAAAAAAuAgAAZHJzL2Uyb0RvYy54bWxQSwECLQAUAAYA&#10;CAAAACEAJoVEG+MAAAANAQAADwAAAAAAAAAAAAAAAAAzBAAAZHJzL2Rvd25yZXYueG1sUEsFBgAA&#10;AAAEAAQA8wAAAEMFAAAAAA==&#10;" o:allowincell="f" filled="f" stroked="f">
              <v:textbox inset="1pt,1pt,1pt,1pt">
                <w:txbxContent>
                  <w:p w14:paraId="492F431B" w14:textId="77777777" w:rsidR="00354397" w:rsidRDefault="00354397">
                    <w:pPr>
                      <w:jc w:val="right"/>
                      <w:rPr>
                        <w:rFonts w:ascii="Arial" w:hAnsi="Arial"/>
                        <w:sz w:val="18"/>
                      </w:rPr>
                    </w:pPr>
                    <w:r>
                      <w:rPr>
                        <w:rFonts w:ascii="Arial" w:hAnsi="Arial"/>
                        <w:sz w:val="18"/>
                      </w:rPr>
                      <w:t>DRAFT [NO.]: [Date]</w:t>
                    </w:r>
                  </w:p>
                  <w:p w14:paraId="352E462A" w14:textId="77777777" w:rsidR="00354397" w:rsidRDefault="00354397">
                    <w:pPr>
                      <w:jc w:val="right"/>
                      <w:rPr>
                        <w:rFonts w:ascii="Arial" w:hAnsi="Arial"/>
                        <w:sz w:val="18"/>
                      </w:rPr>
                    </w:pPr>
                    <w:r>
                      <w:rPr>
                        <w:rFonts w:ascii="Arial" w:hAnsi="Arial"/>
                        <w:sz w:val="18"/>
                      </w:rPr>
                      <w:t>Marked to show changes from draft [No.]: [Date]</w:t>
                    </w:r>
                  </w:p>
                </w:txbxContent>
              </v:textbox>
            </v:rect>
          </w:pict>
        </mc:Fallback>
      </mc:AlternateContent>
    </w:r>
    <w:r w:rsidRPr="00D82AF7">
      <w:rPr>
        <w:rStyle w:val="PageNumber"/>
        <w:sz w:val="28"/>
        <w:szCs w:val="28"/>
      </w:rPr>
      <w:t>Our Customer Terms</w:t>
    </w:r>
    <w:r w:rsidRPr="00D82AF7">
      <w:rPr>
        <w:rStyle w:val="PageNumber"/>
        <w:sz w:val="28"/>
        <w:szCs w:val="28"/>
      </w:rPr>
      <w:tab/>
    </w:r>
    <w:r w:rsidRPr="00D82AF7">
      <w:rPr>
        <w:rStyle w:val="PageNumber"/>
        <w:b w:val="0"/>
        <w:bCs/>
        <w:sz w:val="28"/>
        <w:szCs w:val="28"/>
      </w:rPr>
      <w:t xml:space="preserve">Page </w:t>
    </w:r>
    <w:r w:rsidRPr="00D82AF7">
      <w:rPr>
        <w:rStyle w:val="PageNumber"/>
        <w:b w:val="0"/>
        <w:bCs/>
        <w:sz w:val="28"/>
        <w:szCs w:val="28"/>
      </w:rPr>
      <w:fldChar w:fldCharType="begin"/>
    </w:r>
    <w:r w:rsidRPr="00D82AF7">
      <w:rPr>
        <w:rStyle w:val="PageNumber"/>
        <w:b w:val="0"/>
        <w:bCs/>
        <w:sz w:val="28"/>
        <w:szCs w:val="28"/>
      </w:rPr>
      <w:instrText xml:space="preserve"> PAGE </w:instrText>
    </w:r>
    <w:r w:rsidRPr="00D82AF7">
      <w:rPr>
        <w:rStyle w:val="PageNumber"/>
        <w:b w:val="0"/>
        <w:bCs/>
        <w:sz w:val="28"/>
        <w:szCs w:val="28"/>
      </w:rPr>
      <w:fldChar w:fldCharType="separate"/>
    </w:r>
    <w:r>
      <w:rPr>
        <w:rStyle w:val="PageNumber"/>
        <w:b w:val="0"/>
        <w:bCs/>
        <w:noProof/>
        <w:sz w:val="28"/>
        <w:szCs w:val="28"/>
      </w:rPr>
      <w:t>13</w:t>
    </w:r>
    <w:r w:rsidRPr="00D82AF7">
      <w:rPr>
        <w:rStyle w:val="PageNumber"/>
        <w:b w:val="0"/>
        <w:bCs/>
        <w:sz w:val="28"/>
        <w:szCs w:val="28"/>
      </w:rPr>
      <w:fldChar w:fldCharType="end"/>
    </w:r>
    <w:r w:rsidRPr="00D82AF7">
      <w:rPr>
        <w:rStyle w:val="PageNumber"/>
        <w:b w:val="0"/>
        <w:bCs/>
        <w:sz w:val="28"/>
        <w:szCs w:val="28"/>
      </w:rPr>
      <w:t xml:space="preserve"> of </w:t>
    </w:r>
    <w:r w:rsidRPr="00D82AF7">
      <w:rPr>
        <w:rStyle w:val="PageNumber"/>
        <w:b w:val="0"/>
        <w:bCs/>
        <w:sz w:val="28"/>
        <w:szCs w:val="28"/>
      </w:rPr>
      <w:fldChar w:fldCharType="begin"/>
    </w:r>
    <w:r w:rsidRPr="00D82AF7">
      <w:rPr>
        <w:rStyle w:val="PageNumber"/>
        <w:b w:val="0"/>
        <w:bCs/>
        <w:sz w:val="28"/>
        <w:szCs w:val="28"/>
      </w:rPr>
      <w:instrText xml:space="preserve"> NUMPAGES </w:instrText>
    </w:r>
    <w:r w:rsidRPr="00D82AF7">
      <w:rPr>
        <w:rStyle w:val="PageNumber"/>
        <w:b w:val="0"/>
        <w:bCs/>
        <w:sz w:val="28"/>
        <w:szCs w:val="28"/>
      </w:rPr>
      <w:fldChar w:fldCharType="separate"/>
    </w:r>
    <w:r>
      <w:rPr>
        <w:rStyle w:val="PageNumber"/>
        <w:b w:val="0"/>
        <w:bCs/>
        <w:noProof/>
        <w:sz w:val="28"/>
        <w:szCs w:val="28"/>
      </w:rPr>
      <w:t>24</w:t>
    </w:r>
    <w:r w:rsidRPr="00D82AF7">
      <w:rPr>
        <w:rStyle w:val="PageNumber"/>
        <w:b w:val="0"/>
        <w:bCs/>
        <w:sz w:val="28"/>
        <w:szCs w:val="28"/>
      </w:rPr>
      <w:fldChar w:fldCharType="end"/>
    </w:r>
  </w:p>
  <w:p w14:paraId="00E54F6C" w14:textId="77777777" w:rsidR="00354397" w:rsidRPr="00D82AF7" w:rsidRDefault="00354397" w:rsidP="00AF641E">
    <w:pPr>
      <w:pStyle w:val="Headersub"/>
      <w:spacing w:after="120"/>
      <w:rPr>
        <w:rStyle w:val="PageNumber"/>
        <w:sz w:val="28"/>
        <w:szCs w:val="28"/>
      </w:rPr>
    </w:pPr>
    <w:r>
      <w:rPr>
        <w:rStyle w:val="PageNumber"/>
        <w:sz w:val="28"/>
        <w:szCs w:val="28"/>
      </w:rPr>
      <w:t>Standard Restoration, SLA Premium</w:t>
    </w:r>
    <w:r w:rsidRPr="00D82AF7">
      <w:rPr>
        <w:rStyle w:val="PageNumber"/>
        <w:sz w:val="28"/>
        <w:szCs w:val="28"/>
      </w:rPr>
      <w:t xml:space="preserve"> </w:t>
    </w:r>
    <w:r>
      <w:rPr>
        <w:rStyle w:val="PageNumber"/>
        <w:sz w:val="28"/>
        <w:szCs w:val="28"/>
      </w:rPr>
      <w:t xml:space="preserve">and Telstra Provisioning Commitment </w:t>
    </w:r>
    <w:r w:rsidRPr="00D82AF7">
      <w:rPr>
        <w:rStyle w:val="PageNumber"/>
        <w:sz w:val="28"/>
        <w:szCs w:val="28"/>
      </w:rPr>
      <w:t>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07FE"/>
    <w:multiLevelType w:val="singleLevel"/>
    <w:tmpl w:val="4DD8ABEC"/>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07FE4BFD"/>
    <w:multiLevelType w:val="multilevel"/>
    <w:tmpl w:val="B6D47438"/>
    <w:lvl w:ilvl="0">
      <w:start w:val="16"/>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375094"/>
    <w:multiLevelType w:val="multilevel"/>
    <w:tmpl w:val="2DBE18C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rPr>
    </w:lvl>
    <w:lvl w:ilvl="2">
      <w:start w:val="1"/>
      <w:numFmt w:val="lowerLetter"/>
      <w:pStyle w:val="Heading3"/>
      <w:lvlText w:val="(%3)"/>
      <w:lvlJc w:val="left"/>
      <w:pPr>
        <w:tabs>
          <w:tab w:val="num" w:pos="0"/>
        </w:tabs>
        <w:ind w:left="1474" w:hanging="737"/>
      </w:pPr>
      <w:rPr>
        <w:rFonts w:hint="default"/>
        <w:b w:val="0"/>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4" w15:restartNumberingAfterBreak="0">
    <w:nsid w:val="0B200751"/>
    <w:multiLevelType w:val="singleLevel"/>
    <w:tmpl w:val="5C98A1A0"/>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0B555DA3"/>
    <w:multiLevelType w:val="singleLevel"/>
    <w:tmpl w:val="88409DEC"/>
    <w:lvl w:ilvl="0">
      <w:start w:val="1"/>
      <w:numFmt w:val="bullet"/>
      <w:lvlText w:val=""/>
      <w:lvlJc w:val="left"/>
      <w:pPr>
        <w:tabs>
          <w:tab w:val="num" w:pos="737"/>
        </w:tabs>
        <w:ind w:left="737" w:hanging="737"/>
      </w:pPr>
      <w:rPr>
        <w:rFonts w:ascii="Symbol" w:hAnsi="Symbol" w:hint="default"/>
      </w:rPr>
    </w:lvl>
  </w:abstractNum>
  <w:abstractNum w:abstractNumId="6" w15:restartNumberingAfterBreak="0">
    <w:nsid w:val="15A9352C"/>
    <w:multiLevelType w:val="multilevel"/>
    <w:tmpl w:val="11D6A42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24964205"/>
    <w:multiLevelType w:val="multilevel"/>
    <w:tmpl w:val="1B4A6686"/>
    <w:lvl w:ilvl="0">
      <w:start w:val="16"/>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94C7203"/>
    <w:multiLevelType w:val="hybridMultilevel"/>
    <w:tmpl w:val="40289BB2"/>
    <w:lvl w:ilvl="0" w:tplc="0C09000F">
      <w:start w:val="1"/>
      <w:numFmt w:val="decimal"/>
      <w:lvlText w:val="%1."/>
      <w:lvlJc w:val="left"/>
      <w:pPr>
        <w:ind w:left="2194" w:hanging="360"/>
      </w:p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9" w15:restartNumberingAfterBreak="0">
    <w:nsid w:val="2A582582"/>
    <w:multiLevelType w:val="multilevel"/>
    <w:tmpl w:val="EA08CF9C"/>
    <w:lvl w:ilvl="0">
      <w:start w:val="2"/>
      <w:numFmt w:val="lowerRoman"/>
      <w:lvlText w:val="(%1)"/>
      <w:lvlJc w:val="left"/>
      <w:pPr>
        <w:tabs>
          <w:tab w:val="num" w:pos="2160"/>
        </w:tabs>
        <w:ind w:left="2160" w:hanging="720"/>
      </w:pPr>
      <w:rPr>
        <w:rFonts w:hint="default"/>
      </w:rPr>
    </w:lvl>
    <w:lvl w:ilvl="1">
      <w:start w:val="1"/>
      <w:numFmt w:val="lowerLetter"/>
      <w:lvlText w:val="(%2)"/>
      <w:lvlJc w:val="left"/>
      <w:pPr>
        <w:tabs>
          <w:tab w:val="num" w:pos="2880"/>
        </w:tabs>
        <w:ind w:left="2880" w:hanging="720"/>
      </w:pPr>
      <w:rPr>
        <w:rFonts w:hint="default"/>
        <w:b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15:restartNumberingAfterBreak="0">
    <w:nsid w:val="2D886B8F"/>
    <w:multiLevelType w:val="multilevel"/>
    <w:tmpl w:val="F0102A16"/>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30567F61"/>
    <w:multiLevelType w:val="singleLevel"/>
    <w:tmpl w:val="745427CE"/>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36F04E4F"/>
    <w:multiLevelType w:val="hybridMultilevel"/>
    <w:tmpl w:val="71F67D3A"/>
    <w:lvl w:ilvl="0" w:tplc="2452DF8A">
      <w:start w:val="1"/>
      <w:numFmt w:val="lowerLetter"/>
      <w:lvlText w:val="(%1)"/>
      <w:lvlJc w:val="left"/>
      <w:pPr>
        <w:ind w:left="2194" w:hanging="360"/>
      </w:pPr>
      <w:rPr>
        <w:rFonts w:hint="default"/>
      </w:rPr>
    </w:lvl>
    <w:lvl w:ilvl="1" w:tplc="034AA1A2">
      <w:start w:val="1"/>
      <w:numFmt w:val="lowerRoman"/>
      <w:lvlText w:val="(%2)"/>
      <w:lvlJc w:val="right"/>
      <w:pPr>
        <w:ind w:left="2914" w:hanging="360"/>
      </w:pPr>
      <w:rPr>
        <w:rFonts w:hint="default"/>
      </w:r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3" w15:restartNumberingAfterBreak="0">
    <w:nsid w:val="38E31818"/>
    <w:multiLevelType w:val="singleLevel"/>
    <w:tmpl w:val="E42CEE38"/>
    <w:lvl w:ilvl="0">
      <w:start w:val="1"/>
      <w:numFmt w:val="bullet"/>
      <w:lvlText w:val=""/>
      <w:lvlJc w:val="left"/>
      <w:pPr>
        <w:tabs>
          <w:tab w:val="num" w:pos="737"/>
        </w:tabs>
        <w:ind w:left="737" w:hanging="737"/>
      </w:pPr>
      <w:rPr>
        <w:rFonts w:ascii="Symbol" w:hAnsi="Symbol" w:hint="default"/>
      </w:rPr>
    </w:lvl>
  </w:abstractNum>
  <w:abstractNum w:abstractNumId="14" w15:restartNumberingAfterBreak="0">
    <w:nsid w:val="3BFD27C4"/>
    <w:multiLevelType w:val="multilevel"/>
    <w:tmpl w:val="72CEE328"/>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4F897BDB"/>
    <w:multiLevelType w:val="multilevel"/>
    <w:tmpl w:val="FA1CB386"/>
    <w:lvl w:ilvl="0">
      <w:start w:val="1"/>
      <w:numFmt w:val="decimal"/>
      <w:lvlText w:val="%1"/>
      <w:lvlJc w:val="left"/>
      <w:pPr>
        <w:tabs>
          <w:tab w:val="num" w:pos="737"/>
        </w:tabs>
        <w:ind w:left="737" w:hanging="737"/>
      </w:pPr>
      <w:rPr>
        <w:rFonts w:hint="default"/>
      </w:rPr>
    </w:lvl>
    <w:lvl w:ilvl="1">
      <w:start w:val="1"/>
      <w:numFmt w:val="decimal"/>
      <w:pStyle w:val="Style1"/>
      <w:lvlText w:val="%1.%2"/>
      <w:lvlJc w:val="left"/>
      <w:pPr>
        <w:tabs>
          <w:tab w:val="num" w:pos="737"/>
        </w:tabs>
        <w:ind w:left="737" w:hanging="737"/>
      </w:pPr>
      <w:rPr>
        <w:rFonts w:hint="default"/>
      </w:rPr>
    </w:lvl>
    <w:lvl w:ilvl="2">
      <w:start w:val="1"/>
      <w:numFmt w:val="decimal"/>
      <w:lvlText w:val="%1.%2.%3"/>
      <w:lvlJc w:val="left"/>
      <w:pPr>
        <w:tabs>
          <w:tab w:val="num" w:pos="1457"/>
        </w:tabs>
        <w:ind w:left="737" w:firstLine="0"/>
      </w:pPr>
      <w:rPr>
        <w:rFonts w:hint="default"/>
      </w:rPr>
    </w:lvl>
    <w:lvl w:ilvl="3">
      <w:start w:val="1"/>
      <w:numFmt w:val="lowerLetter"/>
      <w:lvlText w:val="(%4)"/>
      <w:lvlJc w:val="left"/>
      <w:pPr>
        <w:tabs>
          <w:tab w:val="num" w:pos="183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737" w:firstLine="0"/>
      </w:pPr>
      <w:rPr>
        <w:rFonts w:hint="default"/>
      </w:rPr>
    </w:lvl>
    <w:lvl w:ilvl="8">
      <w:start w:val="1"/>
      <w:numFmt w:val="lowerRoman"/>
      <w:lvlText w:val="(%9)"/>
      <w:lvlJc w:val="left"/>
      <w:pPr>
        <w:tabs>
          <w:tab w:val="num" w:pos="2194"/>
        </w:tabs>
        <w:ind w:left="737" w:firstLine="737"/>
      </w:pPr>
      <w:rPr>
        <w:rFonts w:hint="default"/>
      </w:rPr>
    </w:lvl>
  </w:abstractNum>
  <w:abstractNum w:abstractNumId="17" w15:restartNumberingAfterBreak="0">
    <w:nsid w:val="50370D49"/>
    <w:multiLevelType w:val="singleLevel"/>
    <w:tmpl w:val="4BA21442"/>
    <w:lvl w:ilvl="0">
      <w:start w:val="1"/>
      <w:numFmt w:val="bullet"/>
      <w:lvlText w:val=""/>
      <w:lvlJc w:val="left"/>
      <w:pPr>
        <w:tabs>
          <w:tab w:val="num" w:pos="737"/>
        </w:tabs>
        <w:ind w:left="737" w:hanging="737"/>
      </w:pPr>
      <w:rPr>
        <w:rFonts w:ascii="Symbol" w:hAnsi="Symbol" w:hint="default"/>
      </w:rPr>
    </w:lvl>
  </w:abstractNum>
  <w:abstractNum w:abstractNumId="18" w15:restartNumberingAfterBreak="0">
    <w:nsid w:val="51AA3E2C"/>
    <w:multiLevelType w:val="multilevel"/>
    <w:tmpl w:val="CADCFC58"/>
    <w:lvl w:ilvl="0">
      <w:start w:val="1"/>
      <w:numFmt w:val="lowerLetter"/>
      <w:lvlText w:val="(%1)"/>
      <w:lvlJc w:val="left"/>
      <w:pPr>
        <w:tabs>
          <w:tab w:val="num" w:pos="2160"/>
        </w:tabs>
        <w:ind w:left="2160" w:hanging="720"/>
      </w:pPr>
      <w:rPr>
        <w:rFonts w:ascii="Times New Roman" w:eastAsia="Times New Roman" w:hAnsi="Times New Roman" w:cs="Times New Roman"/>
        <w:i w:val="0"/>
      </w:rPr>
    </w:lvl>
    <w:lvl w:ilvl="1">
      <w:start w:val="1"/>
      <w:numFmt w:val="lowerLetter"/>
      <w:lvlText w:val="(%2)"/>
      <w:lvlJc w:val="left"/>
      <w:pPr>
        <w:tabs>
          <w:tab w:val="num" w:pos="2880"/>
        </w:tabs>
        <w:ind w:left="2880" w:hanging="720"/>
      </w:pPr>
      <w:rPr>
        <w:rFonts w:hint="default"/>
        <w:b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15:restartNumberingAfterBreak="0">
    <w:nsid w:val="55F31BA4"/>
    <w:multiLevelType w:val="singleLevel"/>
    <w:tmpl w:val="B8DC6A8A"/>
    <w:lvl w:ilvl="0">
      <w:start w:val="1"/>
      <w:numFmt w:val="bullet"/>
      <w:lvlText w:val=""/>
      <w:lvlJc w:val="left"/>
      <w:pPr>
        <w:tabs>
          <w:tab w:val="num" w:pos="737"/>
        </w:tabs>
        <w:ind w:left="737" w:hanging="737"/>
      </w:pPr>
      <w:rPr>
        <w:rFonts w:ascii="Symbol" w:hAnsi="Symbol" w:hint="default"/>
      </w:rPr>
    </w:lvl>
  </w:abstractNum>
  <w:abstractNum w:abstractNumId="20" w15:restartNumberingAfterBreak="0">
    <w:nsid w:val="57535B1D"/>
    <w:multiLevelType w:val="singleLevel"/>
    <w:tmpl w:val="BD6A1AE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7FE784F"/>
    <w:multiLevelType w:val="multilevel"/>
    <w:tmpl w:val="EA08CF9C"/>
    <w:lvl w:ilvl="0">
      <w:start w:val="2"/>
      <w:numFmt w:val="lowerRoman"/>
      <w:lvlText w:val="(%1)"/>
      <w:lvlJc w:val="left"/>
      <w:pPr>
        <w:tabs>
          <w:tab w:val="num" w:pos="2160"/>
        </w:tabs>
        <w:ind w:left="2160" w:hanging="720"/>
      </w:pPr>
      <w:rPr>
        <w:rFonts w:hint="default"/>
      </w:rPr>
    </w:lvl>
    <w:lvl w:ilvl="1">
      <w:start w:val="1"/>
      <w:numFmt w:val="lowerLetter"/>
      <w:lvlText w:val="(%2)"/>
      <w:lvlJc w:val="left"/>
      <w:pPr>
        <w:tabs>
          <w:tab w:val="num" w:pos="2880"/>
        </w:tabs>
        <w:ind w:left="2880" w:hanging="720"/>
      </w:pPr>
      <w:rPr>
        <w:rFonts w:hint="default"/>
        <w:b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15:restartNumberingAfterBreak="0">
    <w:nsid w:val="5A7040A6"/>
    <w:multiLevelType w:val="multilevel"/>
    <w:tmpl w:val="A38CAE96"/>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0503ACB"/>
    <w:multiLevelType w:val="multilevel"/>
    <w:tmpl w:val="C3005600"/>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6575773"/>
    <w:multiLevelType w:val="hybridMultilevel"/>
    <w:tmpl w:val="61E02B34"/>
    <w:lvl w:ilvl="0" w:tplc="D2940C14">
      <w:start w:val="1"/>
      <w:numFmt w:val="bullet"/>
      <w:pStyle w:val="ResponseBullet"/>
      <w:lvlText w:val=""/>
      <w:lvlJc w:val="left"/>
      <w:pPr>
        <w:tabs>
          <w:tab w:val="num" w:pos="993"/>
        </w:tabs>
        <w:ind w:left="993" w:hanging="425"/>
      </w:pPr>
      <w:rPr>
        <w:rFonts w:ascii="Wingdings" w:hAnsi="Wingdings" w:hint="default"/>
      </w:rPr>
    </w:lvl>
    <w:lvl w:ilvl="1" w:tplc="D6981D5C">
      <w:start w:val="1"/>
      <w:numFmt w:val="decimal"/>
      <w:lvlText w:val="%2."/>
      <w:lvlJc w:val="left"/>
      <w:pPr>
        <w:tabs>
          <w:tab w:val="num" w:pos="1440"/>
        </w:tabs>
        <w:ind w:left="1440" w:hanging="360"/>
      </w:pPr>
    </w:lvl>
    <w:lvl w:ilvl="2" w:tplc="D44E4222">
      <w:start w:val="2"/>
      <w:numFmt w:val="bullet"/>
      <w:lvlText w:val="-"/>
      <w:lvlJc w:val="left"/>
      <w:pPr>
        <w:tabs>
          <w:tab w:val="num" w:pos="2160"/>
        </w:tabs>
        <w:ind w:left="2160" w:hanging="360"/>
      </w:pPr>
      <w:rPr>
        <w:rFonts w:ascii="Times New Roman" w:eastAsia="Times New Roman" w:hAnsi="Times New Roman" w:cs="Times New Roman" w:hint="default"/>
      </w:rPr>
    </w:lvl>
    <w:lvl w:ilvl="3" w:tplc="80E08E24" w:tentative="1">
      <w:start w:val="1"/>
      <w:numFmt w:val="bullet"/>
      <w:lvlText w:val=""/>
      <w:lvlJc w:val="left"/>
      <w:pPr>
        <w:tabs>
          <w:tab w:val="num" w:pos="2880"/>
        </w:tabs>
        <w:ind w:left="2880" w:hanging="360"/>
      </w:pPr>
      <w:rPr>
        <w:rFonts w:ascii="Symbol" w:hAnsi="Symbol" w:hint="default"/>
      </w:rPr>
    </w:lvl>
    <w:lvl w:ilvl="4" w:tplc="7512BCB6" w:tentative="1">
      <w:start w:val="1"/>
      <w:numFmt w:val="bullet"/>
      <w:lvlText w:val="o"/>
      <w:lvlJc w:val="left"/>
      <w:pPr>
        <w:tabs>
          <w:tab w:val="num" w:pos="3600"/>
        </w:tabs>
        <w:ind w:left="3600" w:hanging="360"/>
      </w:pPr>
      <w:rPr>
        <w:rFonts w:ascii="Courier New" w:hAnsi="Courier New" w:hint="default"/>
      </w:rPr>
    </w:lvl>
    <w:lvl w:ilvl="5" w:tplc="4290FC36" w:tentative="1">
      <w:start w:val="1"/>
      <w:numFmt w:val="bullet"/>
      <w:lvlText w:val=""/>
      <w:lvlJc w:val="left"/>
      <w:pPr>
        <w:tabs>
          <w:tab w:val="num" w:pos="4320"/>
        </w:tabs>
        <w:ind w:left="4320" w:hanging="360"/>
      </w:pPr>
      <w:rPr>
        <w:rFonts w:ascii="Wingdings" w:hAnsi="Wingdings" w:hint="default"/>
      </w:rPr>
    </w:lvl>
    <w:lvl w:ilvl="6" w:tplc="6194D0A8" w:tentative="1">
      <w:start w:val="1"/>
      <w:numFmt w:val="bullet"/>
      <w:lvlText w:val=""/>
      <w:lvlJc w:val="left"/>
      <w:pPr>
        <w:tabs>
          <w:tab w:val="num" w:pos="5040"/>
        </w:tabs>
        <w:ind w:left="5040" w:hanging="360"/>
      </w:pPr>
      <w:rPr>
        <w:rFonts w:ascii="Symbol" w:hAnsi="Symbol" w:hint="default"/>
      </w:rPr>
    </w:lvl>
    <w:lvl w:ilvl="7" w:tplc="77CEC050" w:tentative="1">
      <w:start w:val="1"/>
      <w:numFmt w:val="bullet"/>
      <w:lvlText w:val="o"/>
      <w:lvlJc w:val="left"/>
      <w:pPr>
        <w:tabs>
          <w:tab w:val="num" w:pos="5760"/>
        </w:tabs>
        <w:ind w:left="5760" w:hanging="360"/>
      </w:pPr>
      <w:rPr>
        <w:rFonts w:ascii="Courier New" w:hAnsi="Courier New" w:hint="default"/>
      </w:rPr>
    </w:lvl>
    <w:lvl w:ilvl="8" w:tplc="6E7AA4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11D10"/>
    <w:multiLevelType w:val="multilevel"/>
    <w:tmpl w:val="A3DA8540"/>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8" w15:restartNumberingAfterBreak="0">
    <w:nsid w:val="78337CA5"/>
    <w:multiLevelType w:val="multilevel"/>
    <w:tmpl w:val="4F30518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C3F4FC9"/>
    <w:multiLevelType w:val="multilevel"/>
    <w:tmpl w:val="214A9542"/>
    <w:lvl w:ilvl="0">
      <w:start w:val="1"/>
      <w:numFmt w:val="lowerLetter"/>
      <w:lvlText w:val="(%1)"/>
      <w:lvlJc w:val="left"/>
      <w:pPr>
        <w:tabs>
          <w:tab w:val="num" w:pos="1444"/>
        </w:tabs>
        <w:ind w:left="1444" w:hanging="735"/>
      </w:pPr>
      <w:rPr>
        <w:rFonts w:hint="default"/>
      </w:rPr>
    </w:lvl>
    <w:lvl w:ilvl="1">
      <w:start w:val="1"/>
      <w:numFmt w:val="lowerRoman"/>
      <w:lvlText w:val="(%2)"/>
      <w:lvlJc w:val="left"/>
      <w:pPr>
        <w:tabs>
          <w:tab w:val="num" w:pos="2149"/>
        </w:tabs>
        <w:ind w:left="2149" w:hanging="72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15:restartNumberingAfterBreak="0">
    <w:nsid w:val="7E1242EA"/>
    <w:multiLevelType w:val="multilevel"/>
    <w:tmpl w:val="D0329E64"/>
    <w:lvl w:ilvl="0">
      <w:start w:val="1"/>
      <w:numFmt w:val="lowerLetter"/>
      <w:lvlText w:val="(%1)"/>
      <w:lvlJc w:val="left"/>
      <w:pPr>
        <w:tabs>
          <w:tab w:val="num" w:pos="1455"/>
        </w:tabs>
        <w:ind w:left="1455" w:hanging="7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31232475">
    <w:abstractNumId w:val="27"/>
  </w:num>
  <w:num w:numId="2" w16cid:durableId="239754346">
    <w:abstractNumId w:val="15"/>
  </w:num>
  <w:num w:numId="3" w16cid:durableId="125240206">
    <w:abstractNumId w:val="3"/>
  </w:num>
  <w:num w:numId="4" w16cid:durableId="670258160">
    <w:abstractNumId w:val="24"/>
  </w:num>
  <w:num w:numId="5" w16cid:durableId="403259173">
    <w:abstractNumId w:val="11"/>
  </w:num>
  <w:num w:numId="6" w16cid:durableId="1895003664">
    <w:abstractNumId w:val="25"/>
  </w:num>
  <w:num w:numId="7" w16cid:durableId="2016227492">
    <w:abstractNumId w:val="19"/>
  </w:num>
  <w:num w:numId="8" w16cid:durableId="1736201063">
    <w:abstractNumId w:val="16"/>
  </w:num>
  <w:num w:numId="9" w16cid:durableId="484012049">
    <w:abstractNumId w:val="0"/>
    <w:lvlOverride w:ilvl="0">
      <w:lvl w:ilvl="0">
        <w:numFmt w:val="bullet"/>
        <w:lvlText w:val=""/>
        <w:legacy w:legacy="1" w:legacySpace="0" w:legacyIndent="420"/>
        <w:lvlJc w:val="left"/>
        <w:pPr>
          <w:ind w:left="420" w:hanging="420"/>
        </w:pPr>
        <w:rPr>
          <w:rFonts w:ascii="Symbol" w:hAnsi="Symbol" w:hint="default"/>
        </w:rPr>
      </w:lvl>
    </w:lvlOverride>
  </w:num>
  <w:num w:numId="10" w16cid:durableId="1298758931">
    <w:abstractNumId w:val="3"/>
    <w:lvlOverride w:ilvl="0">
      <w:startOverride w:val="7"/>
    </w:lvlOverride>
    <w:lvlOverride w:ilvl="1">
      <w:startOverride w:val="2"/>
    </w:lvlOverride>
  </w:num>
  <w:num w:numId="11" w16cid:durableId="1278876145">
    <w:abstractNumId w:val="16"/>
  </w:num>
  <w:num w:numId="12" w16cid:durableId="2112384653">
    <w:abstractNumId w:val="3"/>
  </w:num>
  <w:num w:numId="13" w16cid:durableId="257250916">
    <w:abstractNumId w:val="3"/>
  </w:num>
  <w:num w:numId="14" w16cid:durableId="239757228">
    <w:abstractNumId w:val="3"/>
  </w:num>
  <w:num w:numId="15" w16cid:durableId="1872455900">
    <w:abstractNumId w:val="3"/>
  </w:num>
  <w:num w:numId="16" w16cid:durableId="1793133908">
    <w:abstractNumId w:val="3"/>
  </w:num>
  <w:num w:numId="17" w16cid:durableId="1807619939">
    <w:abstractNumId w:val="3"/>
  </w:num>
  <w:num w:numId="18" w16cid:durableId="376781275">
    <w:abstractNumId w:val="3"/>
  </w:num>
  <w:num w:numId="19" w16cid:durableId="1630936904">
    <w:abstractNumId w:val="3"/>
  </w:num>
  <w:num w:numId="20" w16cid:durableId="1523203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938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638632">
    <w:abstractNumId w:val="3"/>
  </w:num>
  <w:num w:numId="23" w16cid:durableId="1661999623">
    <w:abstractNumId w:val="3"/>
  </w:num>
  <w:num w:numId="24" w16cid:durableId="1824467666">
    <w:abstractNumId w:val="3"/>
  </w:num>
  <w:num w:numId="25" w16cid:durableId="1845391791">
    <w:abstractNumId w:val="13"/>
  </w:num>
  <w:num w:numId="26" w16cid:durableId="936718770">
    <w:abstractNumId w:val="20"/>
  </w:num>
  <w:num w:numId="27" w16cid:durableId="55394132">
    <w:abstractNumId w:val="1"/>
  </w:num>
  <w:num w:numId="28" w16cid:durableId="1276673493">
    <w:abstractNumId w:val="17"/>
  </w:num>
  <w:num w:numId="29" w16cid:durableId="611474689">
    <w:abstractNumId w:val="3"/>
  </w:num>
  <w:num w:numId="30" w16cid:durableId="1075131971">
    <w:abstractNumId w:val="3"/>
  </w:num>
  <w:num w:numId="31" w16cid:durableId="1587349894">
    <w:abstractNumId w:val="5"/>
  </w:num>
  <w:num w:numId="32" w16cid:durableId="766730890">
    <w:abstractNumId w:val="3"/>
  </w:num>
  <w:num w:numId="33" w16cid:durableId="336344826">
    <w:abstractNumId w:val="3"/>
  </w:num>
  <w:num w:numId="34" w16cid:durableId="2132505022">
    <w:abstractNumId w:val="3"/>
  </w:num>
  <w:num w:numId="35" w16cid:durableId="1703557874">
    <w:abstractNumId w:val="3"/>
  </w:num>
  <w:num w:numId="36" w16cid:durableId="24524731">
    <w:abstractNumId w:val="3"/>
  </w:num>
  <w:num w:numId="37" w16cid:durableId="773020822">
    <w:abstractNumId w:val="3"/>
  </w:num>
  <w:num w:numId="38" w16cid:durableId="433288843">
    <w:abstractNumId w:val="3"/>
  </w:num>
  <w:num w:numId="39" w16cid:durableId="28802547">
    <w:abstractNumId w:val="3"/>
  </w:num>
  <w:num w:numId="40" w16cid:durableId="281618391">
    <w:abstractNumId w:val="3"/>
  </w:num>
  <w:num w:numId="41" w16cid:durableId="1946303540">
    <w:abstractNumId w:val="4"/>
  </w:num>
  <w:num w:numId="42" w16cid:durableId="1952204538">
    <w:abstractNumId w:val="8"/>
  </w:num>
  <w:num w:numId="43" w16cid:durableId="1228422695">
    <w:abstractNumId w:val="12"/>
  </w:num>
  <w:num w:numId="44" w16cid:durableId="4603125">
    <w:abstractNumId w:val="22"/>
  </w:num>
  <w:num w:numId="45" w16cid:durableId="1961760372">
    <w:abstractNumId w:val="3"/>
  </w:num>
  <w:num w:numId="46" w16cid:durableId="941376621">
    <w:abstractNumId w:val="14"/>
  </w:num>
  <w:num w:numId="47" w16cid:durableId="792404485">
    <w:abstractNumId w:val="3"/>
  </w:num>
  <w:num w:numId="48" w16cid:durableId="1710446152">
    <w:abstractNumId w:val="3"/>
  </w:num>
  <w:num w:numId="49" w16cid:durableId="1677656504">
    <w:abstractNumId w:val="29"/>
  </w:num>
  <w:num w:numId="50" w16cid:durableId="1114667937">
    <w:abstractNumId w:val="10"/>
  </w:num>
  <w:num w:numId="51" w16cid:durableId="1728649490">
    <w:abstractNumId w:val="23"/>
  </w:num>
  <w:num w:numId="52" w16cid:durableId="1830561016">
    <w:abstractNumId w:val="26"/>
  </w:num>
  <w:num w:numId="53" w16cid:durableId="800609490">
    <w:abstractNumId w:val="2"/>
  </w:num>
  <w:num w:numId="54" w16cid:durableId="239141389">
    <w:abstractNumId w:val="7"/>
  </w:num>
  <w:num w:numId="55" w16cid:durableId="2082556668">
    <w:abstractNumId w:val="3"/>
  </w:num>
  <w:num w:numId="56" w16cid:durableId="1976598123">
    <w:abstractNumId w:val="3"/>
  </w:num>
  <w:num w:numId="57" w16cid:durableId="323123639">
    <w:abstractNumId w:val="28"/>
  </w:num>
  <w:num w:numId="58" w16cid:durableId="313417885">
    <w:abstractNumId w:val="3"/>
  </w:num>
  <w:num w:numId="59" w16cid:durableId="937327891">
    <w:abstractNumId w:val="3"/>
  </w:num>
  <w:num w:numId="60" w16cid:durableId="792939999">
    <w:abstractNumId w:val="6"/>
  </w:num>
  <w:num w:numId="61" w16cid:durableId="1388652858">
    <w:abstractNumId w:val="3"/>
  </w:num>
  <w:num w:numId="62" w16cid:durableId="1278100658">
    <w:abstractNumId w:val="3"/>
  </w:num>
  <w:num w:numId="63" w16cid:durableId="306053175">
    <w:abstractNumId w:val="30"/>
  </w:num>
  <w:num w:numId="64" w16cid:durableId="264962826">
    <w:abstractNumId w:val="21"/>
  </w:num>
  <w:num w:numId="65" w16cid:durableId="1550914492">
    <w:abstractNumId w:val="3"/>
  </w:num>
  <w:num w:numId="66" w16cid:durableId="1693990819">
    <w:abstractNumId w:val="3"/>
  </w:num>
  <w:num w:numId="67" w16cid:durableId="2085183067">
    <w:abstractNumId w:val="3"/>
  </w:num>
  <w:num w:numId="68" w16cid:durableId="477038881">
    <w:abstractNumId w:val="3"/>
  </w:num>
  <w:num w:numId="69" w16cid:durableId="1602951420">
    <w:abstractNumId w:val="3"/>
  </w:num>
  <w:num w:numId="70" w16cid:durableId="337851866">
    <w:abstractNumId w:val="3"/>
  </w:num>
  <w:num w:numId="71" w16cid:durableId="1155494905">
    <w:abstractNumId w:val="3"/>
  </w:num>
  <w:num w:numId="72" w16cid:durableId="276371505">
    <w:abstractNumId w:val="3"/>
  </w:num>
  <w:num w:numId="73" w16cid:durableId="1449665119">
    <w:abstractNumId w:val="3"/>
  </w:num>
  <w:num w:numId="74" w16cid:durableId="268395498">
    <w:abstractNumId w:val="3"/>
  </w:num>
  <w:num w:numId="75" w16cid:durableId="582885035">
    <w:abstractNumId w:val="3"/>
  </w:num>
  <w:num w:numId="76" w16cid:durableId="702634624">
    <w:abstractNumId w:val="9"/>
  </w:num>
  <w:num w:numId="77" w16cid:durableId="102695112">
    <w:abstractNumId w:val="18"/>
  </w:num>
  <w:num w:numId="78" w16cid:durableId="994261461">
    <w:abstractNumId w:val="3"/>
  </w:num>
  <w:num w:numId="79" w16cid:durableId="1797335494">
    <w:abstractNumId w:val="3"/>
  </w:num>
  <w:num w:numId="80" w16cid:durableId="398677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activeWritingStyle w:appName="MSWord" w:lang="en-AU" w:vendorID="64" w:dllVersion="0" w:nlCheck="1" w:checkStyle="1"/>
  <w:activeWritingStyle w:appName="MSWord" w:lang="en-US" w:vendorID="64" w:dllVersion="0" w:nlCheck="1" w:checkStyle="1"/>
  <w:activeWritingStyle w:appName="MSWord" w:lang="en-AU"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10517387_4"/>
    <w:docVar w:name="S4S_TemplateSet" w:val="Yes"/>
    <w:docVar w:name="Template" w:val="fdeedn.dot"/>
  </w:docVars>
  <w:rsids>
    <w:rsidRoot w:val="0040380B"/>
    <w:rsid w:val="00002981"/>
    <w:rsid w:val="00004524"/>
    <w:rsid w:val="000105DF"/>
    <w:rsid w:val="00011CC8"/>
    <w:rsid w:val="000153C9"/>
    <w:rsid w:val="000156D7"/>
    <w:rsid w:val="00016E58"/>
    <w:rsid w:val="000223EF"/>
    <w:rsid w:val="000253D2"/>
    <w:rsid w:val="00026A42"/>
    <w:rsid w:val="00027F7A"/>
    <w:rsid w:val="000301CC"/>
    <w:rsid w:val="00030F94"/>
    <w:rsid w:val="0003693D"/>
    <w:rsid w:val="00040D95"/>
    <w:rsid w:val="00043D3A"/>
    <w:rsid w:val="00046413"/>
    <w:rsid w:val="00046B2A"/>
    <w:rsid w:val="00046BCE"/>
    <w:rsid w:val="00047204"/>
    <w:rsid w:val="00051267"/>
    <w:rsid w:val="000533A9"/>
    <w:rsid w:val="0006382F"/>
    <w:rsid w:val="000644A8"/>
    <w:rsid w:val="0006783A"/>
    <w:rsid w:val="0007097A"/>
    <w:rsid w:val="00074B9C"/>
    <w:rsid w:val="00075065"/>
    <w:rsid w:val="000750AB"/>
    <w:rsid w:val="000767EC"/>
    <w:rsid w:val="0007697A"/>
    <w:rsid w:val="00077ACD"/>
    <w:rsid w:val="00077D5A"/>
    <w:rsid w:val="000820DE"/>
    <w:rsid w:val="000859A0"/>
    <w:rsid w:val="00087544"/>
    <w:rsid w:val="000875DA"/>
    <w:rsid w:val="0009134C"/>
    <w:rsid w:val="00094530"/>
    <w:rsid w:val="00096658"/>
    <w:rsid w:val="000A63AB"/>
    <w:rsid w:val="000A7900"/>
    <w:rsid w:val="000B0945"/>
    <w:rsid w:val="000B28A1"/>
    <w:rsid w:val="000B3165"/>
    <w:rsid w:val="000B400B"/>
    <w:rsid w:val="000B5DDB"/>
    <w:rsid w:val="000B65BD"/>
    <w:rsid w:val="000C3F3A"/>
    <w:rsid w:val="000C7782"/>
    <w:rsid w:val="000D166A"/>
    <w:rsid w:val="000D1DA1"/>
    <w:rsid w:val="000D1E64"/>
    <w:rsid w:val="000D25BA"/>
    <w:rsid w:val="000D42F1"/>
    <w:rsid w:val="000E5519"/>
    <w:rsid w:val="000E6EA1"/>
    <w:rsid w:val="000E71C6"/>
    <w:rsid w:val="000F1DA5"/>
    <w:rsid w:val="000F232F"/>
    <w:rsid w:val="000F3FB4"/>
    <w:rsid w:val="000F4E37"/>
    <w:rsid w:val="000F6654"/>
    <w:rsid w:val="00101B41"/>
    <w:rsid w:val="00103E54"/>
    <w:rsid w:val="00110A67"/>
    <w:rsid w:val="001164AA"/>
    <w:rsid w:val="001179DB"/>
    <w:rsid w:val="00120882"/>
    <w:rsid w:val="00122A75"/>
    <w:rsid w:val="00124002"/>
    <w:rsid w:val="0012412D"/>
    <w:rsid w:val="00126B62"/>
    <w:rsid w:val="00127992"/>
    <w:rsid w:val="00133DCA"/>
    <w:rsid w:val="00137C8B"/>
    <w:rsid w:val="00140D33"/>
    <w:rsid w:val="00140D68"/>
    <w:rsid w:val="00142D9D"/>
    <w:rsid w:val="0014314E"/>
    <w:rsid w:val="00144B65"/>
    <w:rsid w:val="00145619"/>
    <w:rsid w:val="0014563B"/>
    <w:rsid w:val="001501B9"/>
    <w:rsid w:val="0015492F"/>
    <w:rsid w:val="00155F0C"/>
    <w:rsid w:val="001720C4"/>
    <w:rsid w:val="00173EDF"/>
    <w:rsid w:val="00174CAC"/>
    <w:rsid w:val="00175A07"/>
    <w:rsid w:val="00183EAC"/>
    <w:rsid w:val="001853E1"/>
    <w:rsid w:val="00187EC8"/>
    <w:rsid w:val="00190938"/>
    <w:rsid w:val="001927E9"/>
    <w:rsid w:val="001928BE"/>
    <w:rsid w:val="00193423"/>
    <w:rsid w:val="0019502A"/>
    <w:rsid w:val="0019637F"/>
    <w:rsid w:val="001977A0"/>
    <w:rsid w:val="001A031B"/>
    <w:rsid w:val="001A0467"/>
    <w:rsid w:val="001A258E"/>
    <w:rsid w:val="001A3B6D"/>
    <w:rsid w:val="001A4A6F"/>
    <w:rsid w:val="001A705F"/>
    <w:rsid w:val="001A7662"/>
    <w:rsid w:val="001B009C"/>
    <w:rsid w:val="001B4401"/>
    <w:rsid w:val="001B5E7F"/>
    <w:rsid w:val="001B6466"/>
    <w:rsid w:val="001C022B"/>
    <w:rsid w:val="001C20EF"/>
    <w:rsid w:val="001C753F"/>
    <w:rsid w:val="001D0118"/>
    <w:rsid w:val="001D412E"/>
    <w:rsid w:val="001D60B6"/>
    <w:rsid w:val="001E04AB"/>
    <w:rsid w:val="001E27B3"/>
    <w:rsid w:val="001E668D"/>
    <w:rsid w:val="001E6DF7"/>
    <w:rsid w:val="001E7AFF"/>
    <w:rsid w:val="001F4147"/>
    <w:rsid w:val="001F6122"/>
    <w:rsid w:val="001F70DB"/>
    <w:rsid w:val="00202DF1"/>
    <w:rsid w:val="0020345F"/>
    <w:rsid w:val="00204465"/>
    <w:rsid w:val="002063A5"/>
    <w:rsid w:val="0020689E"/>
    <w:rsid w:val="00207C54"/>
    <w:rsid w:val="002136E1"/>
    <w:rsid w:val="00213E1B"/>
    <w:rsid w:val="00224E17"/>
    <w:rsid w:val="00226502"/>
    <w:rsid w:val="00231517"/>
    <w:rsid w:val="0023734A"/>
    <w:rsid w:val="002443E0"/>
    <w:rsid w:val="00245007"/>
    <w:rsid w:val="00245514"/>
    <w:rsid w:val="002463BE"/>
    <w:rsid w:val="0024693B"/>
    <w:rsid w:val="00251F2A"/>
    <w:rsid w:val="002525C7"/>
    <w:rsid w:val="00254F71"/>
    <w:rsid w:val="0025537A"/>
    <w:rsid w:val="00257465"/>
    <w:rsid w:val="002621A4"/>
    <w:rsid w:val="00263000"/>
    <w:rsid w:val="002641E6"/>
    <w:rsid w:val="002642E2"/>
    <w:rsid w:val="002646FD"/>
    <w:rsid w:val="00265461"/>
    <w:rsid w:val="00266167"/>
    <w:rsid w:val="0026624D"/>
    <w:rsid w:val="0026693F"/>
    <w:rsid w:val="00284F8E"/>
    <w:rsid w:val="0029248C"/>
    <w:rsid w:val="00292D29"/>
    <w:rsid w:val="002945F8"/>
    <w:rsid w:val="002956EE"/>
    <w:rsid w:val="00296804"/>
    <w:rsid w:val="00296B3C"/>
    <w:rsid w:val="002A32FA"/>
    <w:rsid w:val="002A4E78"/>
    <w:rsid w:val="002A4F4D"/>
    <w:rsid w:val="002A7567"/>
    <w:rsid w:val="002B2773"/>
    <w:rsid w:val="002B4729"/>
    <w:rsid w:val="002B5919"/>
    <w:rsid w:val="002B6A17"/>
    <w:rsid w:val="002B6B44"/>
    <w:rsid w:val="002C0792"/>
    <w:rsid w:val="002C0F97"/>
    <w:rsid w:val="002C1D4E"/>
    <w:rsid w:val="002C292C"/>
    <w:rsid w:val="002C747F"/>
    <w:rsid w:val="002D2CF4"/>
    <w:rsid w:val="002D3CEC"/>
    <w:rsid w:val="002D5830"/>
    <w:rsid w:val="002D7330"/>
    <w:rsid w:val="002D74B8"/>
    <w:rsid w:val="002E2783"/>
    <w:rsid w:val="002E3387"/>
    <w:rsid w:val="002E7A6C"/>
    <w:rsid w:val="002E7E48"/>
    <w:rsid w:val="002F079F"/>
    <w:rsid w:val="002F122D"/>
    <w:rsid w:val="002F2C69"/>
    <w:rsid w:val="002F7681"/>
    <w:rsid w:val="00307CAE"/>
    <w:rsid w:val="00314F53"/>
    <w:rsid w:val="00315796"/>
    <w:rsid w:val="00317B50"/>
    <w:rsid w:val="003209AC"/>
    <w:rsid w:val="0032246E"/>
    <w:rsid w:val="003226D2"/>
    <w:rsid w:val="003242EC"/>
    <w:rsid w:val="0033224D"/>
    <w:rsid w:val="00337D1C"/>
    <w:rsid w:val="00340CD3"/>
    <w:rsid w:val="003412EA"/>
    <w:rsid w:val="00343A22"/>
    <w:rsid w:val="00343F1F"/>
    <w:rsid w:val="00344D77"/>
    <w:rsid w:val="00345C5C"/>
    <w:rsid w:val="00345F05"/>
    <w:rsid w:val="00352D7C"/>
    <w:rsid w:val="00354397"/>
    <w:rsid w:val="0035457E"/>
    <w:rsid w:val="00365448"/>
    <w:rsid w:val="00365504"/>
    <w:rsid w:val="00365E8E"/>
    <w:rsid w:val="00367CDB"/>
    <w:rsid w:val="0037113F"/>
    <w:rsid w:val="003717C8"/>
    <w:rsid w:val="00372FA4"/>
    <w:rsid w:val="003744A1"/>
    <w:rsid w:val="00374560"/>
    <w:rsid w:val="00377606"/>
    <w:rsid w:val="00377E7C"/>
    <w:rsid w:val="00382004"/>
    <w:rsid w:val="0038225B"/>
    <w:rsid w:val="00382D59"/>
    <w:rsid w:val="0038431C"/>
    <w:rsid w:val="003847F3"/>
    <w:rsid w:val="003857FB"/>
    <w:rsid w:val="00385F77"/>
    <w:rsid w:val="0038655D"/>
    <w:rsid w:val="0038678A"/>
    <w:rsid w:val="00386A79"/>
    <w:rsid w:val="00392E05"/>
    <w:rsid w:val="0039380D"/>
    <w:rsid w:val="00394C3E"/>
    <w:rsid w:val="00396571"/>
    <w:rsid w:val="003966E4"/>
    <w:rsid w:val="003A031E"/>
    <w:rsid w:val="003A2975"/>
    <w:rsid w:val="003A3335"/>
    <w:rsid w:val="003A7F84"/>
    <w:rsid w:val="003B39D5"/>
    <w:rsid w:val="003B489C"/>
    <w:rsid w:val="003B7BC8"/>
    <w:rsid w:val="003B7D66"/>
    <w:rsid w:val="003C0920"/>
    <w:rsid w:val="003C164C"/>
    <w:rsid w:val="003C1E45"/>
    <w:rsid w:val="003C34A1"/>
    <w:rsid w:val="003C3DC8"/>
    <w:rsid w:val="003C4E8C"/>
    <w:rsid w:val="003C6215"/>
    <w:rsid w:val="003C6EA9"/>
    <w:rsid w:val="003C6F78"/>
    <w:rsid w:val="003C7A34"/>
    <w:rsid w:val="003D18BA"/>
    <w:rsid w:val="003D3518"/>
    <w:rsid w:val="003D4A2A"/>
    <w:rsid w:val="003D4D94"/>
    <w:rsid w:val="003D64D6"/>
    <w:rsid w:val="003E0C5E"/>
    <w:rsid w:val="003E2AB5"/>
    <w:rsid w:val="003E3C2E"/>
    <w:rsid w:val="003F1B5F"/>
    <w:rsid w:val="003F1C84"/>
    <w:rsid w:val="003F3709"/>
    <w:rsid w:val="0040380B"/>
    <w:rsid w:val="0040484A"/>
    <w:rsid w:val="00405B1A"/>
    <w:rsid w:val="00406C7E"/>
    <w:rsid w:val="004120FF"/>
    <w:rsid w:val="004131A9"/>
    <w:rsid w:val="00415266"/>
    <w:rsid w:val="00420357"/>
    <w:rsid w:val="004204A9"/>
    <w:rsid w:val="00420526"/>
    <w:rsid w:val="00420E10"/>
    <w:rsid w:val="00421724"/>
    <w:rsid w:val="0042495E"/>
    <w:rsid w:val="004260A0"/>
    <w:rsid w:val="00426171"/>
    <w:rsid w:val="004269A0"/>
    <w:rsid w:val="004274BD"/>
    <w:rsid w:val="00431474"/>
    <w:rsid w:val="0043197F"/>
    <w:rsid w:val="00433BF0"/>
    <w:rsid w:val="0043558F"/>
    <w:rsid w:val="0043603E"/>
    <w:rsid w:val="004402B2"/>
    <w:rsid w:val="004421F0"/>
    <w:rsid w:val="0044312F"/>
    <w:rsid w:val="00443435"/>
    <w:rsid w:val="0045045A"/>
    <w:rsid w:val="0045572F"/>
    <w:rsid w:val="00455E6F"/>
    <w:rsid w:val="00462036"/>
    <w:rsid w:val="0046537E"/>
    <w:rsid w:val="00465C18"/>
    <w:rsid w:val="00470902"/>
    <w:rsid w:val="00474044"/>
    <w:rsid w:val="00477063"/>
    <w:rsid w:val="004804E1"/>
    <w:rsid w:val="004807E2"/>
    <w:rsid w:val="00480D99"/>
    <w:rsid w:val="00484E4E"/>
    <w:rsid w:val="00487797"/>
    <w:rsid w:val="00491BC5"/>
    <w:rsid w:val="00491F3F"/>
    <w:rsid w:val="004922F8"/>
    <w:rsid w:val="00492AD2"/>
    <w:rsid w:val="0049337F"/>
    <w:rsid w:val="004938BA"/>
    <w:rsid w:val="0049653F"/>
    <w:rsid w:val="004A1FC5"/>
    <w:rsid w:val="004A2220"/>
    <w:rsid w:val="004A2E6D"/>
    <w:rsid w:val="004A41E1"/>
    <w:rsid w:val="004A71A8"/>
    <w:rsid w:val="004B2550"/>
    <w:rsid w:val="004B25D5"/>
    <w:rsid w:val="004B2722"/>
    <w:rsid w:val="004B3152"/>
    <w:rsid w:val="004B315D"/>
    <w:rsid w:val="004B4949"/>
    <w:rsid w:val="004B4CD1"/>
    <w:rsid w:val="004B70D9"/>
    <w:rsid w:val="004B7F87"/>
    <w:rsid w:val="004C01E4"/>
    <w:rsid w:val="004C0E71"/>
    <w:rsid w:val="004C13A8"/>
    <w:rsid w:val="004C3BEF"/>
    <w:rsid w:val="004C68C3"/>
    <w:rsid w:val="004C6DA0"/>
    <w:rsid w:val="004D7482"/>
    <w:rsid w:val="004D79C1"/>
    <w:rsid w:val="004E1598"/>
    <w:rsid w:val="004E15E3"/>
    <w:rsid w:val="004E3847"/>
    <w:rsid w:val="004E4D73"/>
    <w:rsid w:val="004E4F1D"/>
    <w:rsid w:val="004E6FCE"/>
    <w:rsid w:val="004E796A"/>
    <w:rsid w:val="004F4EE8"/>
    <w:rsid w:val="004F6F21"/>
    <w:rsid w:val="004F763C"/>
    <w:rsid w:val="004F7CEA"/>
    <w:rsid w:val="004F7ED3"/>
    <w:rsid w:val="00501538"/>
    <w:rsid w:val="005032F8"/>
    <w:rsid w:val="005040ED"/>
    <w:rsid w:val="005046AC"/>
    <w:rsid w:val="005052E2"/>
    <w:rsid w:val="005054BB"/>
    <w:rsid w:val="0050576C"/>
    <w:rsid w:val="00505897"/>
    <w:rsid w:val="00507C12"/>
    <w:rsid w:val="005111B9"/>
    <w:rsid w:val="005132B2"/>
    <w:rsid w:val="005177B1"/>
    <w:rsid w:val="0052157D"/>
    <w:rsid w:val="00523965"/>
    <w:rsid w:val="00525066"/>
    <w:rsid w:val="005254DD"/>
    <w:rsid w:val="0052723C"/>
    <w:rsid w:val="005277CA"/>
    <w:rsid w:val="00530238"/>
    <w:rsid w:val="00531D65"/>
    <w:rsid w:val="005328B3"/>
    <w:rsid w:val="005331E9"/>
    <w:rsid w:val="00535E0E"/>
    <w:rsid w:val="00536E26"/>
    <w:rsid w:val="005371E9"/>
    <w:rsid w:val="005423EF"/>
    <w:rsid w:val="00543499"/>
    <w:rsid w:val="00543618"/>
    <w:rsid w:val="00543C17"/>
    <w:rsid w:val="00544214"/>
    <w:rsid w:val="00545504"/>
    <w:rsid w:val="00545E9B"/>
    <w:rsid w:val="00551CEB"/>
    <w:rsid w:val="00551F5A"/>
    <w:rsid w:val="00552714"/>
    <w:rsid w:val="00554BF9"/>
    <w:rsid w:val="0055615C"/>
    <w:rsid w:val="00560A03"/>
    <w:rsid w:val="00561781"/>
    <w:rsid w:val="00563271"/>
    <w:rsid w:val="005662B1"/>
    <w:rsid w:val="00567CBA"/>
    <w:rsid w:val="005736B2"/>
    <w:rsid w:val="0057370F"/>
    <w:rsid w:val="00576D67"/>
    <w:rsid w:val="00576F52"/>
    <w:rsid w:val="00577AA3"/>
    <w:rsid w:val="00580640"/>
    <w:rsid w:val="00580757"/>
    <w:rsid w:val="00580B73"/>
    <w:rsid w:val="00581FB9"/>
    <w:rsid w:val="00583F66"/>
    <w:rsid w:val="00583FAB"/>
    <w:rsid w:val="005851C0"/>
    <w:rsid w:val="00585C3B"/>
    <w:rsid w:val="00586F78"/>
    <w:rsid w:val="00592F07"/>
    <w:rsid w:val="0059419F"/>
    <w:rsid w:val="00596DC9"/>
    <w:rsid w:val="0059701C"/>
    <w:rsid w:val="00597DBF"/>
    <w:rsid w:val="005A0673"/>
    <w:rsid w:val="005A09AC"/>
    <w:rsid w:val="005A6BE4"/>
    <w:rsid w:val="005A73EA"/>
    <w:rsid w:val="005B00D8"/>
    <w:rsid w:val="005B27F7"/>
    <w:rsid w:val="005C038D"/>
    <w:rsid w:val="005C2C45"/>
    <w:rsid w:val="005C38AB"/>
    <w:rsid w:val="005C3E6B"/>
    <w:rsid w:val="005C7BD9"/>
    <w:rsid w:val="005D251E"/>
    <w:rsid w:val="005D2BAA"/>
    <w:rsid w:val="005E02B2"/>
    <w:rsid w:val="005E1A5D"/>
    <w:rsid w:val="005E227E"/>
    <w:rsid w:val="005E34EF"/>
    <w:rsid w:val="005E3A18"/>
    <w:rsid w:val="005E5F6E"/>
    <w:rsid w:val="005F044B"/>
    <w:rsid w:val="005F0C68"/>
    <w:rsid w:val="005F3EC5"/>
    <w:rsid w:val="005F498B"/>
    <w:rsid w:val="005F6E66"/>
    <w:rsid w:val="00601043"/>
    <w:rsid w:val="00601776"/>
    <w:rsid w:val="006034AE"/>
    <w:rsid w:val="006036D3"/>
    <w:rsid w:val="00606BC6"/>
    <w:rsid w:val="00607399"/>
    <w:rsid w:val="00610F84"/>
    <w:rsid w:val="006140FC"/>
    <w:rsid w:val="006147A2"/>
    <w:rsid w:val="00616B55"/>
    <w:rsid w:val="006177C9"/>
    <w:rsid w:val="00617DBC"/>
    <w:rsid w:val="00620A6E"/>
    <w:rsid w:val="006237DE"/>
    <w:rsid w:val="00625943"/>
    <w:rsid w:val="0062631D"/>
    <w:rsid w:val="00626750"/>
    <w:rsid w:val="0062764C"/>
    <w:rsid w:val="0063024B"/>
    <w:rsid w:val="00630740"/>
    <w:rsid w:val="0063311B"/>
    <w:rsid w:val="00633849"/>
    <w:rsid w:val="00634505"/>
    <w:rsid w:val="00634C3F"/>
    <w:rsid w:val="006357C0"/>
    <w:rsid w:val="00636258"/>
    <w:rsid w:val="0064042B"/>
    <w:rsid w:val="00641703"/>
    <w:rsid w:val="006436F4"/>
    <w:rsid w:val="00643C5C"/>
    <w:rsid w:val="00645C3E"/>
    <w:rsid w:val="0064621A"/>
    <w:rsid w:val="00655EE3"/>
    <w:rsid w:val="00657911"/>
    <w:rsid w:val="00662CB4"/>
    <w:rsid w:val="00664FF8"/>
    <w:rsid w:val="00665492"/>
    <w:rsid w:val="00672360"/>
    <w:rsid w:val="00674C11"/>
    <w:rsid w:val="0067546B"/>
    <w:rsid w:val="00675B10"/>
    <w:rsid w:val="00681CC4"/>
    <w:rsid w:val="00681FAC"/>
    <w:rsid w:val="00682320"/>
    <w:rsid w:val="00683517"/>
    <w:rsid w:val="00683DB5"/>
    <w:rsid w:val="00686DBF"/>
    <w:rsid w:val="00694F27"/>
    <w:rsid w:val="006959EF"/>
    <w:rsid w:val="006A2552"/>
    <w:rsid w:val="006A26AE"/>
    <w:rsid w:val="006A5ABB"/>
    <w:rsid w:val="006A6618"/>
    <w:rsid w:val="006A7018"/>
    <w:rsid w:val="006A7AAF"/>
    <w:rsid w:val="006B2D4B"/>
    <w:rsid w:val="006B4A9A"/>
    <w:rsid w:val="006C09DC"/>
    <w:rsid w:val="006C0DC0"/>
    <w:rsid w:val="006C4EB2"/>
    <w:rsid w:val="006C5233"/>
    <w:rsid w:val="006C662E"/>
    <w:rsid w:val="006C752C"/>
    <w:rsid w:val="006D11C9"/>
    <w:rsid w:val="006D4E53"/>
    <w:rsid w:val="006D7CA7"/>
    <w:rsid w:val="006E01C5"/>
    <w:rsid w:val="006E07D7"/>
    <w:rsid w:val="006E1521"/>
    <w:rsid w:val="006E3F7A"/>
    <w:rsid w:val="006E7D57"/>
    <w:rsid w:val="006F22EA"/>
    <w:rsid w:val="006F352D"/>
    <w:rsid w:val="006F354B"/>
    <w:rsid w:val="006F3B74"/>
    <w:rsid w:val="006F4897"/>
    <w:rsid w:val="006F51A2"/>
    <w:rsid w:val="007028A4"/>
    <w:rsid w:val="00702E4C"/>
    <w:rsid w:val="00703978"/>
    <w:rsid w:val="007065FA"/>
    <w:rsid w:val="0071138F"/>
    <w:rsid w:val="00712889"/>
    <w:rsid w:val="007138D3"/>
    <w:rsid w:val="00717E51"/>
    <w:rsid w:val="0072099A"/>
    <w:rsid w:val="00720D04"/>
    <w:rsid w:val="00720D3C"/>
    <w:rsid w:val="007232C3"/>
    <w:rsid w:val="00730365"/>
    <w:rsid w:val="00732361"/>
    <w:rsid w:val="00741699"/>
    <w:rsid w:val="00743492"/>
    <w:rsid w:val="00743B7B"/>
    <w:rsid w:val="00743D06"/>
    <w:rsid w:val="00745A99"/>
    <w:rsid w:val="007503CF"/>
    <w:rsid w:val="007546B9"/>
    <w:rsid w:val="0075704A"/>
    <w:rsid w:val="00757E69"/>
    <w:rsid w:val="007600C1"/>
    <w:rsid w:val="007626E2"/>
    <w:rsid w:val="00765FCB"/>
    <w:rsid w:val="0077076D"/>
    <w:rsid w:val="007709EA"/>
    <w:rsid w:val="00771D75"/>
    <w:rsid w:val="007720E4"/>
    <w:rsid w:val="007727FF"/>
    <w:rsid w:val="00773FC3"/>
    <w:rsid w:val="0077424D"/>
    <w:rsid w:val="00775CD0"/>
    <w:rsid w:val="00777CA9"/>
    <w:rsid w:val="0078334E"/>
    <w:rsid w:val="00791336"/>
    <w:rsid w:val="007914DF"/>
    <w:rsid w:val="007917BC"/>
    <w:rsid w:val="0079219A"/>
    <w:rsid w:val="00793B24"/>
    <w:rsid w:val="007948B7"/>
    <w:rsid w:val="00795CFB"/>
    <w:rsid w:val="007976A0"/>
    <w:rsid w:val="007A053D"/>
    <w:rsid w:val="007A0F24"/>
    <w:rsid w:val="007A15F8"/>
    <w:rsid w:val="007A1AC9"/>
    <w:rsid w:val="007A3FD2"/>
    <w:rsid w:val="007A480D"/>
    <w:rsid w:val="007A4996"/>
    <w:rsid w:val="007A4EB0"/>
    <w:rsid w:val="007A4FAC"/>
    <w:rsid w:val="007A5781"/>
    <w:rsid w:val="007A5AEF"/>
    <w:rsid w:val="007A7869"/>
    <w:rsid w:val="007B1E1D"/>
    <w:rsid w:val="007B460F"/>
    <w:rsid w:val="007B7020"/>
    <w:rsid w:val="007C0C1F"/>
    <w:rsid w:val="007C12C5"/>
    <w:rsid w:val="007C5FA5"/>
    <w:rsid w:val="007C6130"/>
    <w:rsid w:val="007C695B"/>
    <w:rsid w:val="007C73E9"/>
    <w:rsid w:val="007D080F"/>
    <w:rsid w:val="007D20CC"/>
    <w:rsid w:val="007D3174"/>
    <w:rsid w:val="007D4C46"/>
    <w:rsid w:val="007D658F"/>
    <w:rsid w:val="007E0EC5"/>
    <w:rsid w:val="007E784B"/>
    <w:rsid w:val="007F182C"/>
    <w:rsid w:val="007F1AC2"/>
    <w:rsid w:val="007F48AA"/>
    <w:rsid w:val="007F4EFF"/>
    <w:rsid w:val="007F5282"/>
    <w:rsid w:val="00800CF4"/>
    <w:rsid w:val="00800F7A"/>
    <w:rsid w:val="00801416"/>
    <w:rsid w:val="00803ADC"/>
    <w:rsid w:val="00807CBD"/>
    <w:rsid w:val="0081088F"/>
    <w:rsid w:val="00810E4F"/>
    <w:rsid w:val="008153F2"/>
    <w:rsid w:val="008155C7"/>
    <w:rsid w:val="008205C7"/>
    <w:rsid w:val="008218D8"/>
    <w:rsid w:val="00822CF7"/>
    <w:rsid w:val="00824CCF"/>
    <w:rsid w:val="008305BF"/>
    <w:rsid w:val="00831488"/>
    <w:rsid w:val="00833CE1"/>
    <w:rsid w:val="00835F0B"/>
    <w:rsid w:val="008402B3"/>
    <w:rsid w:val="00841AF9"/>
    <w:rsid w:val="00843E21"/>
    <w:rsid w:val="0084507A"/>
    <w:rsid w:val="00846658"/>
    <w:rsid w:val="008470D0"/>
    <w:rsid w:val="00853F26"/>
    <w:rsid w:val="0085432D"/>
    <w:rsid w:val="00854B3C"/>
    <w:rsid w:val="00864138"/>
    <w:rsid w:val="0086418B"/>
    <w:rsid w:val="008672D6"/>
    <w:rsid w:val="008724F1"/>
    <w:rsid w:val="00872578"/>
    <w:rsid w:val="008726DE"/>
    <w:rsid w:val="00872C20"/>
    <w:rsid w:val="008732DC"/>
    <w:rsid w:val="00876767"/>
    <w:rsid w:val="008767BC"/>
    <w:rsid w:val="00881879"/>
    <w:rsid w:val="00882031"/>
    <w:rsid w:val="00884E93"/>
    <w:rsid w:val="0088669F"/>
    <w:rsid w:val="0089083F"/>
    <w:rsid w:val="008922BA"/>
    <w:rsid w:val="00894EA0"/>
    <w:rsid w:val="00895ED8"/>
    <w:rsid w:val="00897159"/>
    <w:rsid w:val="008A3B2B"/>
    <w:rsid w:val="008A795B"/>
    <w:rsid w:val="008B1E84"/>
    <w:rsid w:val="008B296E"/>
    <w:rsid w:val="008C27ED"/>
    <w:rsid w:val="008C40A0"/>
    <w:rsid w:val="008C423A"/>
    <w:rsid w:val="008C4333"/>
    <w:rsid w:val="008C5ECD"/>
    <w:rsid w:val="008D21D8"/>
    <w:rsid w:val="008D2E79"/>
    <w:rsid w:val="008D30F6"/>
    <w:rsid w:val="008D40A0"/>
    <w:rsid w:val="008D5D0E"/>
    <w:rsid w:val="008D601A"/>
    <w:rsid w:val="008D6B35"/>
    <w:rsid w:val="008E202A"/>
    <w:rsid w:val="008E36AF"/>
    <w:rsid w:val="008E5049"/>
    <w:rsid w:val="008E710D"/>
    <w:rsid w:val="008F35E7"/>
    <w:rsid w:val="008F6765"/>
    <w:rsid w:val="008F6C34"/>
    <w:rsid w:val="008F7967"/>
    <w:rsid w:val="008F79E9"/>
    <w:rsid w:val="008F7F42"/>
    <w:rsid w:val="00900F58"/>
    <w:rsid w:val="00901437"/>
    <w:rsid w:val="009032D2"/>
    <w:rsid w:val="009036DC"/>
    <w:rsid w:val="0090643A"/>
    <w:rsid w:val="00907D15"/>
    <w:rsid w:val="00910970"/>
    <w:rsid w:val="00912371"/>
    <w:rsid w:val="009147BB"/>
    <w:rsid w:val="009157EB"/>
    <w:rsid w:val="00916B06"/>
    <w:rsid w:val="00921BFF"/>
    <w:rsid w:val="00923740"/>
    <w:rsid w:val="00923A8A"/>
    <w:rsid w:val="009242E1"/>
    <w:rsid w:val="00924A05"/>
    <w:rsid w:val="00924C6D"/>
    <w:rsid w:val="00927CD2"/>
    <w:rsid w:val="00930895"/>
    <w:rsid w:val="00931C30"/>
    <w:rsid w:val="00941C55"/>
    <w:rsid w:val="00943798"/>
    <w:rsid w:val="00947199"/>
    <w:rsid w:val="009515B8"/>
    <w:rsid w:val="00951D4B"/>
    <w:rsid w:val="0095322F"/>
    <w:rsid w:val="00953955"/>
    <w:rsid w:val="00953AF3"/>
    <w:rsid w:val="00953DA3"/>
    <w:rsid w:val="00954231"/>
    <w:rsid w:val="00954CE2"/>
    <w:rsid w:val="009564FA"/>
    <w:rsid w:val="00957E13"/>
    <w:rsid w:val="00961572"/>
    <w:rsid w:val="00962F18"/>
    <w:rsid w:val="009634A9"/>
    <w:rsid w:val="00964938"/>
    <w:rsid w:val="00965615"/>
    <w:rsid w:val="00965805"/>
    <w:rsid w:val="00966B9E"/>
    <w:rsid w:val="00970D3E"/>
    <w:rsid w:val="00977185"/>
    <w:rsid w:val="009801D0"/>
    <w:rsid w:val="00985266"/>
    <w:rsid w:val="00986145"/>
    <w:rsid w:val="0099002B"/>
    <w:rsid w:val="009904B8"/>
    <w:rsid w:val="00995734"/>
    <w:rsid w:val="00997F29"/>
    <w:rsid w:val="009A02BE"/>
    <w:rsid w:val="009A0F91"/>
    <w:rsid w:val="009A41C3"/>
    <w:rsid w:val="009A5115"/>
    <w:rsid w:val="009A632A"/>
    <w:rsid w:val="009A6D18"/>
    <w:rsid w:val="009A6FA4"/>
    <w:rsid w:val="009B365C"/>
    <w:rsid w:val="009B384E"/>
    <w:rsid w:val="009B7F17"/>
    <w:rsid w:val="009C0D31"/>
    <w:rsid w:val="009C42CD"/>
    <w:rsid w:val="009C4AFE"/>
    <w:rsid w:val="009C4DD8"/>
    <w:rsid w:val="009C50FB"/>
    <w:rsid w:val="009D0A94"/>
    <w:rsid w:val="009D1464"/>
    <w:rsid w:val="009D31AF"/>
    <w:rsid w:val="009D3BC4"/>
    <w:rsid w:val="009D5526"/>
    <w:rsid w:val="009E0103"/>
    <w:rsid w:val="009E1413"/>
    <w:rsid w:val="009E348E"/>
    <w:rsid w:val="009E4177"/>
    <w:rsid w:val="009E49D7"/>
    <w:rsid w:val="009E57B9"/>
    <w:rsid w:val="009E5F8D"/>
    <w:rsid w:val="009E70E5"/>
    <w:rsid w:val="009F0452"/>
    <w:rsid w:val="009F1D8E"/>
    <w:rsid w:val="009F48E8"/>
    <w:rsid w:val="009F6B9F"/>
    <w:rsid w:val="009F718D"/>
    <w:rsid w:val="00A0126E"/>
    <w:rsid w:val="00A01620"/>
    <w:rsid w:val="00A03386"/>
    <w:rsid w:val="00A047AA"/>
    <w:rsid w:val="00A057EB"/>
    <w:rsid w:val="00A05A0E"/>
    <w:rsid w:val="00A06213"/>
    <w:rsid w:val="00A066EC"/>
    <w:rsid w:val="00A1011D"/>
    <w:rsid w:val="00A1073B"/>
    <w:rsid w:val="00A11D10"/>
    <w:rsid w:val="00A123CF"/>
    <w:rsid w:val="00A14DDA"/>
    <w:rsid w:val="00A15048"/>
    <w:rsid w:val="00A15D97"/>
    <w:rsid w:val="00A234EF"/>
    <w:rsid w:val="00A24C8E"/>
    <w:rsid w:val="00A3381C"/>
    <w:rsid w:val="00A3606C"/>
    <w:rsid w:val="00A41932"/>
    <w:rsid w:val="00A41CDF"/>
    <w:rsid w:val="00A42575"/>
    <w:rsid w:val="00A434D6"/>
    <w:rsid w:val="00A43B98"/>
    <w:rsid w:val="00A443D4"/>
    <w:rsid w:val="00A44794"/>
    <w:rsid w:val="00A470F6"/>
    <w:rsid w:val="00A54EE9"/>
    <w:rsid w:val="00A56791"/>
    <w:rsid w:val="00A618BC"/>
    <w:rsid w:val="00A633D1"/>
    <w:rsid w:val="00A71540"/>
    <w:rsid w:val="00A71CA9"/>
    <w:rsid w:val="00A71F45"/>
    <w:rsid w:val="00A741DA"/>
    <w:rsid w:val="00A74995"/>
    <w:rsid w:val="00A74C38"/>
    <w:rsid w:val="00A8020F"/>
    <w:rsid w:val="00A80FCC"/>
    <w:rsid w:val="00A8632F"/>
    <w:rsid w:val="00A874EA"/>
    <w:rsid w:val="00A90421"/>
    <w:rsid w:val="00A91E03"/>
    <w:rsid w:val="00A938F6"/>
    <w:rsid w:val="00A977E5"/>
    <w:rsid w:val="00AA23D4"/>
    <w:rsid w:val="00AC09BE"/>
    <w:rsid w:val="00AC115D"/>
    <w:rsid w:val="00AC155B"/>
    <w:rsid w:val="00AC2E08"/>
    <w:rsid w:val="00AC514B"/>
    <w:rsid w:val="00AC5EE7"/>
    <w:rsid w:val="00AC7032"/>
    <w:rsid w:val="00AC7897"/>
    <w:rsid w:val="00AC7E41"/>
    <w:rsid w:val="00AE0663"/>
    <w:rsid w:val="00AE08AF"/>
    <w:rsid w:val="00AE3535"/>
    <w:rsid w:val="00AE5A9E"/>
    <w:rsid w:val="00AE5E6E"/>
    <w:rsid w:val="00AE6790"/>
    <w:rsid w:val="00AE7267"/>
    <w:rsid w:val="00AE759C"/>
    <w:rsid w:val="00AE7AF8"/>
    <w:rsid w:val="00AF2301"/>
    <w:rsid w:val="00AF42D7"/>
    <w:rsid w:val="00AF499C"/>
    <w:rsid w:val="00AF641E"/>
    <w:rsid w:val="00B00348"/>
    <w:rsid w:val="00B04799"/>
    <w:rsid w:val="00B05BB8"/>
    <w:rsid w:val="00B12811"/>
    <w:rsid w:val="00B12E8E"/>
    <w:rsid w:val="00B1303C"/>
    <w:rsid w:val="00B152DA"/>
    <w:rsid w:val="00B157AE"/>
    <w:rsid w:val="00B15CCB"/>
    <w:rsid w:val="00B20CD6"/>
    <w:rsid w:val="00B21B58"/>
    <w:rsid w:val="00B25C7F"/>
    <w:rsid w:val="00B26439"/>
    <w:rsid w:val="00B26948"/>
    <w:rsid w:val="00B26ED7"/>
    <w:rsid w:val="00B27950"/>
    <w:rsid w:val="00B27DB3"/>
    <w:rsid w:val="00B319F4"/>
    <w:rsid w:val="00B34679"/>
    <w:rsid w:val="00B40E49"/>
    <w:rsid w:val="00B415A5"/>
    <w:rsid w:val="00B42C62"/>
    <w:rsid w:val="00B44990"/>
    <w:rsid w:val="00B4713B"/>
    <w:rsid w:val="00B47A58"/>
    <w:rsid w:val="00B54132"/>
    <w:rsid w:val="00B54F29"/>
    <w:rsid w:val="00B55859"/>
    <w:rsid w:val="00B6096E"/>
    <w:rsid w:val="00B63C6F"/>
    <w:rsid w:val="00B64A7C"/>
    <w:rsid w:val="00B6622D"/>
    <w:rsid w:val="00B7181F"/>
    <w:rsid w:val="00B724A7"/>
    <w:rsid w:val="00B72870"/>
    <w:rsid w:val="00B73557"/>
    <w:rsid w:val="00B76FE8"/>
    <w:rsid w:val="00B82443"/>
    <w:rsid w:val="00B85024"/>
    <w:rsid w:val="00B8610D"/>
    <w:rsid w:val="00B90E4D"/>
    <w:rsid w:val="00B92DEE"/>
    <w:rsid w:val="00BA0434"/>
    <w:rsid w:val="00BA276D"/>
    <w:rsid w:val="00BA3C4A"/>
    <w:rsid w:val="00BA4B0A"/>
    <w:rsid w:val="00BA4E01"/>
    <w:rsid w:val="00BA4E7D"/>
    <w:rsid w:val="00BA6385"/>
    <w:rsid w:val="00BB0FB9"/>
    <w:rsid w:val="00BB1A67"/>
    <w:rsid w:val="00BB2D06"/>
    <w:rsid w:val="00BB37DC"/>
    <w:rsid w:val="00BB4547"/>
    <w:rsid w:val="00BB48FA"/>
    <w:rsid w:val="00BB569A"/>
    <w:rsid w:val="00BB7EA3"/>
    <w:rsid w:val="00BC16AC"/>
    <w:rsid w:val="00BC1E94"/>
    <w:rsid w:val="00BC28E2"/>
    <w:rsid w:val="00BC4689"/>
    <w:rsid w:val="00BC500D"/>
    <w:rsid w:val="00BC5917"/>
    <w:rsid w:val="00BC74DC"/>
    <w:rsid w:val="00BD244E"/>
    <w:rsid w:val="00BD26B0"/>
    <w:rsid w:val="00BD3A90"/>
    <w:rsid w:val="00BE44E3"/>
    <w:rsid w:val="00BE7104"/>
    <w:rsid w:val="00BF1103"/>
    <w:rsid w:val="00BF1506"/>
    <w:rsid w:val="00BF3D69"/>
    <w:rsid w:val="00BF4DB7"/>
    <w:rsid w:val="00C003D0"/>
    <w:rsid w:val="00C04C09"/>
    <w:rsid w:val="00C05757"/>
    <w:rsid w:val="00C070FC"/>
    <w:rsid w:val="00C11E29"/>
    <w:rsid w:val="00C126EC"/>
    <w:rsid w:val="00C13E55"/>
    <w:rsid w:val="00C16C2F"/>
    <w:rsid w:val="00C3221C"/>
    <w:rsid w:val="00C33EC0"/>
    <w:rsid w:val="00C343EF"/>
    <w:rsid w:val="00C3590B"/>
    <w:rsid w:val="00C4061F"/>
    <w:rsid w:val="00C445D4"/>
    <w:rsid w:val="00C45E2B"/>
    <w:rsid w:val="00C46749"/>
    <w:rsid w:val="00C511F7"/>
    <w:rsid w:val="00C51AF8"/>
    <w:rsid w:val="00C53736"/>
    <w:rsid w:val="00C56632"/>
    <w:rsid w:val="00C57349"/>
    <w:rsid w:val="00C60682"/>
    <w:rsid w:val="00C60CE5"/>
    <w:rsid w:val="00C611AA"/>
    <w:rsid w:val="00C6353E"/>
    <w:rsid w:val="00C6409F"/>
    <w:rsid w:val="00C641F8"/>
    <w:rsid w:val="00C656EC"/>
    <w:rsid w:val="00C65F42"/>
    <w:rsid w:val="00C66067"/>
    <w:rsid w:val="00C6733D"/>
    <w:rsid w:val="00C67BB6"/>
    <w:rsid w:val="00C70A16"/>
    <w:rsid w:val="00C70FA8"/>
    <w:rsid w:val="00C73B4F"/>
    <w:rsid w:val="00C751C2"/>
    <w:rsid w:val="00C75280"/>
    <w:rsid w:val="00C804E7"/>
    <w:rsid w:val="00C8194B"/>
    <w:rsid w:val="00C831A7"/>
    <w:rsid w:val="00C83E7C"/>
    <w:rsid w:val="00C8715E"/>
    <w:rsid w:val="00C87B39"/>
    <w:rsid w:val="00C90188"/>
    <w:rsid w:val="00C915F9"/>
    <w:rsid w:val="00C91EEA"/>
    <w:rsid w:val="00C94BC0"/>
    <w:rsid w:val="00C96E95"/>
    <w:rsid w:val="00C97C22"/>
    <w:rsid w:val="00CA111B"/>
    <w:rsid w:val="00CA259E"/>
    <w:rsid w:val="00CA58D1"/>
    <w:rsid w:val="00CA7E05"/>
    <w:rsid w:val="00CA7EBA"/>
    <w:rsid w:val="00CB04D3"/>
    <w:rsid w:val="00CB07E8"/>
    <w:rsid w:val="00CB2216"/>
    <w:rsid w:val="00CB265B"/>
    <w:rsid w:val="00CB7309"/>
    <w:rsid w:val="00CB7E90"/>
    <w:rsid w:val="00CC14B1"/>
    <w:rsid w:val="00CC77F6"/>
    <w:rsid w:val="00CC7982"/>
    <w:rsid w:val="00CD29C2"/>
    <w:rsid w:val="00CD2F06"/>
    <w:rsid w:val="00CD32D2"/>
    <w:rsid w:val="00CD5BEB"/>
    <w:rsid w:val="00CE58BE"/>
    <w:rsid w:val="00CE5D22"/>
    <w:rsid w:val="00CF021D"/>
    <w:rsid w:val="00CF0AD0"/>
    <w:rsid w:val="00CF1305"/>
    <w:rsid w:val="00CF17D0"/>
    <w:rsid w:val="00CF2076"/>
    <w:rsid w:val="00CF6E5A"/>
    <w:rsid w:val="00D01CB5"/>
    <w:rsid w:val="00D02439"/>
    <w:rsid w:val="00D06760"/>
    <w:rsid w:val="00D07DA2"/>
    <w:rsid w:val="00D10E3E"/>
    <w:rsid w:val="00D10FAB"/>
    <w:rsid w:val="00D1105B"/>
    <w:rsid w:val="00D12C7B"/>
    <w:rsid w:val="00D142BE"/>
    <w:rsid w:val="00D14611"/>
    <w:rsid w:val="00D16F06"/>
    <w:rsid w:val="00D1724A"/>
    <w:rsid w:val="00D206DA"/>
    <w:rsid w:val="00D243A5"/>
    <w:rsid w:val="00D25D91"/>
    <w:rsid w:val="00D26746"/>
    <w:rsid w:val="00D274F9"/>
    <w:rsid w:val="00D30009"/>
    <w:rsid w:val="00D30BA3"/>
    <w:rsid w:val="00D319DD"/>
    <w:rsid w:val="00D33203"/>
    <w:rsid w:val="00D3417D"/>
    <w:rsid w:val="00D4087B"/>
    <w:rsid w:val="00D427D9"/>
    <w:rsid w:val="00D429F0"/>
    <w:rsid w:val="00D45362"/>
    <w:rsid w:val="00D468AD"/>
    <w:rsid w:val="00D469CC"/>
    <w:rsid w:val="00D50B16"/>
    <w:rsid w:val="00D5161B"/>
    <w:rsid w:val="00D6077F"/>
    <w:rsid w:val="00D62EA1"/>
    <w:rsid w:val="00D632D3"/>
    <w:rsid w:val="00D73346"/>
    <w:rsid w:val="00D743F0"/>
    <w:rsid w:val="00D74638"/>
    <w:rsid w:val="00D749EE"/>
    <w:rsid w:val="00D759D9"/>
    <w:rsid w:val="00D80996"/>
    <w:rsid w:val="00D82AF7"/>
    <w:rsid w:val="00D83762"/>
    <w:rsid w:val="00D87094"/>
    <w:rsid w:val="00D939BC"/>
    <w:rsid w:val="00D95F5C"/>
    <w:rsid w:val="00D9651C"/>
    <w:rsid w:val="00D97722"/>
    <w:rsid w:val="00DA0433"/>
    <w:rsid w:val="00DA28A7"/>
    <w:rsid w:val="00DA36D8"/>
    <w:rsid w:val="00DA4966"/>
    <w:rsid w:val="00DA4F34"/>
    <w:rsid w:val="00DA5E76"/>
    <w:rsid w:val="00DA7689"/>
    <w:rsid w:val="00DB1965"/>
    <w:rsid w:val="00DB47F3"/>
    <w:rsid w:val="00DB480D"/>
    <w:rsid w:val="00DB6718"/>
    <w:rsid w:val="00DC05F0"/>
    <w:rsid w:val="00DC1918"/>
    <w:rsid w:val="00DC2267"/>
    <w:rsid w:val="00DC730E"/>
    <w:rsid w:val="00DD1B3E"/>
    <w:rsid w:val="00DD1ED3"/>
    <w:rsid w:val="00DD5271"/>
    <w:rsid w:val="00DE6E42"/>
    <w:rsid w:val="00DE780F"/>
    <w:rsid w:val="00DF0BF1"/>
    <w:rsid w:val="00DF1AE0"/>
    <w:rsid w:val="00DF249A"/>
    <w:rsid w:val="00DF5350"/>
    <w:rsid w:val="00DF5B06"/>
    <w:rsid w:val="00E0261F"/>
    <w:rsid w:val="00E0336E"/>
    <w:rsid w:val="00E043CA"/>
    <w:rsid w:val="00E0728D"/>
    <w:rsid w:val="00E11CB2"/>
    <w:rsid w:val="00E1541D"/>
    <w:rsid w:val="00E225FB"/>
    <w:rsid w:val="00E25912"/>
    <w:rsid w:val="00E2595F"/>
    <w:rsid w:val="00E31463"/>
    <w:rsid w:val="00E33ABB"/>
    <w:rsid w:val="00E3608B"/>
    <w:rsid w:val="00E376A3"/>
    <w:rsid w:val="00E41E6C"/>
    <w:rsid w:val="00E42069"/>
    <w:rsid w:val="00E43425"/>
    <w:rsid w:val="00E43C1A"/>
    <w:rsid w:val="00E44767"/>
    <w:rsid w:val="00E44F61"/>
    <w:rsid w:val="00E4584F"/>
    <w:rsid w:val="00E46EDF"/>
    <w:rsid w:val="00E478C2"/>
    <w:rsid w:val="00E4790B"/>
    <w:rsid w:val="00E5010F"/>
    <w:rsid w:val="00E521AD"/>
    <w:rsid w:val="00E528F2"/>
    <w:rsid w:val="00E562B6"/>
    <w:rsid w:val="00E61556"/>
    <w:rsid w:val="00E6345F"/>
    <w:rsid w:val="00E63AC9"/>
    <w:rsid w:val="00E64551"/>
    <w:rsid w:val="00E65B14"/>
    <w:rsid w:val="00E67265"/>
    <w:rsid w:val="00E6726B"/>
    <w:rsid w:val="00E737C2"/>
    <w:rsid w:val="00E7765B"/>
    <w:rsid w:val="00E81C7B"/>
    <w:rsid w:val="00E838DE"/>
    <w:rsid w:val="00E878A0"/>
    <w:rsid w:val="00E90DA5"/>
    <w:rsid w:val="00E910E4"/>
    <w:rsid w:val="00E9341C"/>
    <w:rsid w:val="00E93424"/>
    <w:rsid w:val="00E944F4"/>
    <w:rsid w:val="00E946DA"/>
    <w:rsid w:val="00E96335"/>
    <w:rsid w:val="00E96CC1"/>
    <w:rsid w:val="00EA2DC5"/>
    <w:rsid w:val="00EA3EF8"/>
    <w:rsid w:val="00EA3FCF"/>
    <w:rsid w:val="00EB2F13"/>
    <w:rsid w:val="00EB5ECF"/>
    <w:rsid w:val="00EB6654"/>
    <w:rsid w:val="00EB6707"/>
    <w:rsid w:val="00EB72ED"/>
    <w:rsid w:val="00EC05CC"/>
    <w:rsid w:val="00EC16C6"/>
    <w:rsid w:val="00EC266B"/>
    <w:rsid w:val="00EC4D66"/>
    <w:rsid w:val="00EC4F6F"/>
    <w:rsid w:val="00EC5E88"/>
    <w:rsid w:val="00EC7257"/>
    <w:rsid w:val="00EC7695"/>
    <w:rsid w:val="00EC7F27"/>
    <w:rsid w:val="00ED0152"/>
    <w:rsid w:val="00ED0663"/>
    <w:rsid w:val="00ED13ED"/>
    <w:rsid w:val="00ED182F"/>
    <w:rsid w:val="00ED336F"/>
    <w:rsid w:val="00ED3525"/>
    <w:rsid w:val="00ED5F2E"/>
    <w:rsid w:val="00EE0E5D"/>
    <w:rsid w:val="00EE2B3F"/>
    <w:rsid w:val="00EE4ECB"/>
    <w:rsid w:val="00EE5903"/>
    <w:rsid w:val="00EE778B"/>
    <w:rsid w:val="00EF07C6"/>
    <w:rsid w:val="00EF2D7E"/>
    <w:rsid w:val="00EF39E0"/>
    <w:rsid w:val="00F02AB7"/>
    <w:rsid w:val="00F02F81"/>
    <w:rsid w:val="00F04577"/>
    <w:rsid w:val="00F0545E"/>
    <w:rsid w:val="00F0595E"/>
    <w:rsid w:val="00F07670"/>
    <w:rsid w:val="00F105F3"/>
    <w:rsid w:val="00F10D7D"/>
    <w:rsid w:val="00F13883"/>
    <w:rsid w:val="00F14E25"/>
    <w:rsid w:val="00F17979"/>
    <w:rsid w:val="00F20121"/>
    <w:rsid w:val="00F2114E"/>
    <w:rsid w:val="00F22B6D"/>
    <w:rsid w:val="00F23B40"/>
    <w:rsid w:val="00F25B5E"/>
    <w:rsid w:val="00F312D9"/>
    <w:rsid w:val="00F361B3"/>
    <w:rsid w:val="00F37D52"/>
    <w:rsid w:val="00F4502F"/>
    <w:rsid w:val="00F46119"/>
    <w:rsid w:val="00F524ED"/>
    <w:rsid w:val="00F5391C"/>
    <w:rsid w:val="00F562D3"/>
    <w:rsid w:val="00F572E9"/>
    <w:rsid w:val="00F60A35"/>
    <w:rsid w:val="00F634C0"/>
    <w:rsid w:val="00F64F91"/>
    <w:rsid w:val="00F70E92"/>
    <w:rsid w:val="00F75935"/>
    <w:rsid w:val="00F80792"/>
    <w:rsid w:val="00F82151"/>
    <w:rsid w:val="00F85990"/>
    <w:rsid w:val="00F87F94"/>
    <w:rsid w:val="00F9491F"/>
    <w:rsid w:val="00F94D64"/>
    <w:rsid w:val="00F973F4"/>
    <w:rsid w:val="00FA1101"/>
    <w:rsid w:val="00FA3D7D"/>
    <w:rsid w:val="00FA68B7"/>
    <w:rsid w:val="00FB08BD"/>
    <w:rsid w:val="00FB0C15"/>
    <w:rsid w:val="00FB136E"/>
    <w:rsid w:val="00FB1C22"/>
    <w:rsid w:val="00FB47CD"/>
    <w:rsid w:val="00FB7BBA"/>
    <w:rsid w:val="00FC0A0A"/>
    <w:rsid w:val="00FC2962"/>
    <w:rsid w:val="00FC2A3B"/>
    <w:rsid w:val="00FC4106"/>
    <w:rsid w:val="00FC5A16"/>
    <w:rsid w:val="00FC5A42"/>
    <w:rsid w:val="00FC6214"/>
    <w:rsid w:val="00FD0363"/>
    <w:rsid w:val="00FD4C7C"/>
    <w:rsid w:val="00FD5604"/>
    <w:rsid w:val="00FE0762"/>
    <w:rsid w:val="00FE108A"/>
    <w:rsid w:val="00FE5815"/>
    <w:rsid w:val="00FE5C0D"/>
    <w:rsid w:val="00FE5ED8"/>
    <w:rsid w:val="00FE6BB7"/>
    <w:rsid w:val="00FE6E4B"/>
    <w:rsid w:val="00FE7D9B"/>
    <w:rsid w:val="00FF36D2"/>
    <w:rsid w:val="00FF6D7F"/>
    <w:rsid w:val="00FF7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D91F7"/>
  <w15:chartTrackingRefBased/>
  <w15:docId w15:val="{3E37E501-2192-43C1-B0FA-D355925C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F84"/>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3"/>
      </w:numPr>
      <w:spacing w:after="240"/>
      <w:outlineLvl w:val="3"/>
    </w:pPr>
  </w:style>
  <w:style w:type="paragraph" w:styleId="Heading5">
    <w:name w:val="heading 5"/>
    <w:aliases w:val="Block Label,H5,Sub4Para,Heading 5 StGeorge,Appendix,Level 3 - i,Level 5,L5,l5,Para5,h5,5,(A),A,h51,h52,heading 5"/>
    <w:basedOn w:val="Normal"/>
    <w:qFormat/>
    <w:pPr>
      <w:numPr>
        <w:ilvl w:val="4"/>
        <w:numId w:val="3"/>
      </w:numPr>
      <w:spacing w:after="240"/>
      <w:outlineLvl w:val="4"/>
    </w:pPr>
  </w:style>
  <w:style w:type="paragraph" w:styleId="Heading6">
    <w:name w:val="heading 6"/>
    <w:aliases w:val="Sub5Para,L1 PIP,a,b,H6,Legal Level 1.,Level 6,(I),I"/>
    <w:basedOn w:val="Normal"/>
    <w:qFormat/>
    <w:pPr>
      <w:numPr>
        <w:ilvl w:val="5"/>
        <w:numId w:val="3"/>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20"/>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Legal Level 1.1.1.1.,number"/>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link w:val="TableDataChar"/>
    <w:rsid w:val="00C97C22"/>
    <w:pPr>
      <w:spacing w:before="120" w:after="120"/>
    </w:pPr>
    <w:rPr>
      <w:rFonts w:ascii="Arial" w:hAnsi="Arial"/>
      <w:b/>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10">
    <w:name w:val="Indent1"/>
    <w:basedOn w:val="Normal"/>
    <w:next w:val="Normal"/>
    <w:pPr>
      <w:spacing w:before="120" w:after="120"/>
      <w:ind w:left="737"/>
    </w:pPr>
    <w:rPr>
      <w:lang w:val="en-US"/>
    </w:rPr>
  </w:style>
  <w:style w:type="paragraph" w:customStyle="1" w:styleId="indent11">
    <w:name w:val="indent 11"/>
    <w:basedOn w:val="Normal"/>
    <w:pPr>
      <w:tabs>
        <w:tab w:val="left" w:pos="2552"/>
        <w:tab w:val="decimal" w:pos="6804"/>
      </w:tabs>
      <w:spacing w:before="120" w:after="120"/>
      <w:ind w:left="1985" w:hanging="851"/>
    </w:pPr>
    <w:rPr>
      <w:lang w:val="en-GB"/>
    </w:rPr>
  </w:style>
  <w:style w:type="paragraph" w:customStyle="1" w:styleId="indent12">
    <w:name w:val="indent 12"/>
    <w:basedOn w:val="Normal"/>
    <w:pPr>
      <w:tabs>
        <w:tab w:val="left" w:pos="2552"/>
        <w:tab w:val="decimal" w:pos="6804"/>
      </w:tabs>
      <w:spacing w:before="120" w:after="120"/>
      <w:ind w:left="2552" w:hanging="567"/>
    </w:pPr>
    <w:rPr>
      <w:sz w:val="20"/>
      <w:lang w:val="en-GB"/>
    </w:rPr>
  </w:style>
  <w:style w:type="paragraph" w:styleId="BodyText2">
    <w:name w:val="Body Text 2"/>
    <w:aliases w:val="Table header"/>
    <w:basedOn w:val="Normal"/>
    <w:pPr>
      <w:spacing w:after="240"/>
    </w:pPr>
    <w:rPr>
      <w:rFonts w:ascii="Arial" w:hAnsi="Arial"/>
      <w:bCs/>
      <w:sz w:val="21"/>
    </w:rPr>
  </w:style>
  <w:style w:type="table" w:styleId="TableGrid">
    <w:name w:val="Table Grid"/>
    <w:basedOn w:val="TableNormal"/>
    <w:rsid w:val="00B2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spacing w:after="120"/>
    </w:pPr>
    <w:rPr>
      <w:sz w:val="16"/>
      <w:szCs w:val="16"/>
    </w:rPr>
  </w:style>
  <w:style w:type="numbering" w:styleId="111111">
    <w:name w:val="Outline List 2"/>
    <w:basedOn w:val="NoList"/>
    <w:semiHidden/>
    <w:rsid w:val="003717C8"/>
    <w:pPr>
      <w:numPr>
        <w:numId w:val="4"/>
      </w:numPr>
    </w:pPr>
  </w:style>
  <w:style w:type="paragraph" w:customStyle="1" w:styleId="BodyText1">
    <w:name w:val="Body Text1"/>
    <w:rsid w:val="0072099A"/>
    <w:pPr>
      <w:spacing w:before="240"/>
      <w:ind w:left="142" w:firstLine="113"/>
    </w:pPr>
    <w:rPr>
      <w:rFonts w:ascii="Times New Roman" w:hAnsi="Times New Roman"/>
      <w:sz w:val="24"/>
      <w:lang w:eastAsia="en-US"/>
    </w:rPr>
  </w:style>
  <w:style w:type="paragraph" w:customStyle="1" w:styleId="Figure">
    <w:name w:val="Figure"/>
    <w:basedOn w:val="BodyText"/>
    <w:autoRedefine/>
    <w:rsid w:val="0072099A"/>
    <w:pPr>
      <w:spacing w:before="120" w:after="0"/>
      <w:jc w:val="center"/>
    </w:pPr>
    <w:rPr>
      <w:rFonts w:ascii="Harmony Text" w:hAnsi="Harmony Text"/>
      <w:b/>
      <w:sz w:val="20"/>
      <w:lang w:eastAsia="en-AU"/>
    </w:rPr>
  </w:style>
  <w:style w:type="paragraph" w:customStyle="1" w:styleId="StyleHeading1">
    <w:name w:val="Style Heading 1"/>
    <w:basedOn w:val="Heading1"/>
    <w:link w:val="StyleHeading1Char"/>
    <w:autoRedefine/>
    <w:rsid w:val="0085432D"/>
    <w:pPr>
      <w:keepNext w:val="0"/>
      <w:pageBreakBefore/>
      <w:pBdr>
        <w:top w:val="none" w:sz="0" w:space="0" w:color="auto"/>
      </w:pBdr>
      <w:tabs>
        <w:tab w:val="clear" w:pos="737"/>
        <w:tab w:val="num" w:pos="432"/>
        <w:tab w:val="left" w:pos="851"/>
      </w:tabs>
      <w:ind w:left="432" w:hanging="432"/>
    </w:pPr>
    <w:rPr>
      <w:rFonts w:ascii="Harmony Text" w:hAnsi="Harmony Text"/>
      <w:color w:val="000080"/>
      <w:sz w:val="44"/>
      <w:szCs w:val="20"/>
    </w:rPr>
  </w:style>
  <w:style w:type="character" w:customStyle="1" w:styleId="StyleHeading1Char">
    <w:name w:val="Style Heading 1 Char"/>
    <w:link w:val="StyleHeading1"/>
    <w:rsid w:val="0085432D"/>
    <w:rPr>
      <w:rFonts w:ascii="Harmony Text" w:hAnsi="Harmony Text"/>
      <w:b/>
      <w:color w:val="000080"/>
      <w:sz w:val="44"/>
      <w:lang w:val="en-AU" w:eastAsia="en-US" w:bidi="ar-SA"/>
    </w:rPr>
  </w:style>
  <w:style w:type="paragraph" w:customStyle="1" w:styleId="figurenormal">
    <w:name w:val="figurenormal"/>
    <w:basedOn w:val="Normal"/>
    <w:rsid w:val="00616B55"/>
    <w:pPr>
      <w:jc w:val="center"/>
    </w:pPr>
    <w:rPr>
      <w:b/>
      <w:sz w:val="24"/>
      <w:szCs w:val="24"/>
      <w:lang w:eastAsia="en-AU"/>
    </w:rPr>
  </w:style>
  <w:style w:type="paragraph" w:customStyle="1" w:styleId="tabletext">
    <w:name w:val="table text"/>
    <w:basedOn w:val="Normal"/>
    <w:rsid w:val="00616B55"/>
    <w:pPr>
      <w:numPr>
        <w:ilvl w:val="12"/>
      </w:numPr>
      <w:spacing w:before="60" w:after="60"/>
    </w:pPr>
    <w:rPr>
      <w:rFonts w:ascii="Harmony Text" w:hAnsi="Harmony Text"/>
      <w:sz w:val="22"/>
      <w:szCs w:val="24"/>
      <w:lang w:eastAsia="en-AU"/>
    </w:rPr>
  </w:style>
  <w:style w:type="character" w:customStyle="1" w:styleId="TableDataChar">
    <w:name w:val="TableData Char"/>
    <w:link w:val="TableData"/>
    <w:rsid w:val="007A1AC9"/>
    <w:rPr>
      <w:rFonts w:ascii="Arial" w:hAnsi="Arial"/>
      <w:b/>
      <w:sz w:val="18"/>
      <w:lang w:val="en-AU" w:eastAsia="en-US" w:bidi="ar-SA"/>
    </w:rPr>
  </w:style>
  <w:style w:type="character" w:customStyle="1" w:styleId="DeltaViewInsertion">
    <w:name w:val="DeltaView Insertion"/>
    <w:rsid w:val="007A1AC9"/>
    <w:rPr>
      <w:color w:val="008000"/>
      <w:spacing w:val="0"/>
      <w:u w:val="single"/>
    </w:rPr>
  </w:style>
  <w:style w:type="paragraph" w:customStyle="1" w:styleId="tabletext0">
    <w:name w:val="tabletext"/>
    <w:basedOn w:val="Normal"/>
    <w:rsid w:val="00FE0762"/>
    <w:pPr>
      <w:numPr>
        <w:ilvl w:val="12"/>
      </w:numPr>
      <w:spacing w:before="60" w:after="60"/>
    </w:pPr>
    <w:rPr>
      <w:rFonts w:ascii="Harmony Text" w:hAnsi="Harmony Text"/>
      <w:sz w:val="22"/>
      <w:szCs w:val="22"/>
      <w:lang w:eastAsia="en-AU"/>
    </w:rPr>
  </w:style>
  <w:style w:type="paragraph" w:customStyle="1" w:styleId="ResponseBullet">
    <w:name w:val="Response Bullet"/>
    <w:basedOn w:val="Normal"/>
    <w:rsid w:val="002F079F"/>
    <w:pPr>
      <w:numPr>
        <w:numId w:val="6"/>
      </w:numPr>
      <w:spacing w:after="120"/>
      <w:jc w:val="both"/>
    </w:pPr>
    <w:rPr>
      <w:sz w:val="22"/>
    </w:rPr>
  </w:style>
  <w:style w:type="paragraph" w:customStyle="1" w:styleId="StyleTableHead">
    <w:name w:val="Style TableHead"/>
    <w:basedOn w:val="TableHead"/>
    <w:rsid w:val="002F079F"/>
    <w:pPr>
      <w:overflowPunct w:val="0"/>
      <w:autoSpaceDE w:val="0"/>
      <w:autoSpaceDN w:val="0"/>
      <w:adjustRightInd w:val="0"/>
      <w:textAlignment w:val="baseline"/>
    </w:pPr>
    <w:rPr>
      <w:rFonts w:ascii="Harmony Text" w:hAnsi="Harmony Text"/>
      <w:bCs/>
      <w:sz w:val="20"/>
      <w:szCs w:val="24"/>
      <w:lang w:eastAsia="en-AU"/>
    </w:rPr>
  </w:style>
  <w:style w:type="paragraph" w:customStyle="1" w:styleId="Style1">
    <w:name w:val="Style1"/>
    <w:basedOn w:val="Normal"/>
    <w:rsid w:val="00D83762"/>
    <w:pPr>
      <w:numPr>
        <w:ilvl w:val="1"/>
        <w:numId w:val="8"/>
      </w:numPr>
    </w:pPr>
    <w:rPr>
      <w:color w:val="000000"/>
      <w:sz w:val="20"/>
    </w:rPr>
  </w:style>
  <w:style w:type="paragraph" w:customStyle="1" w:styleId="Indent1CSM">
    <w:name w:val="Indent 1 CSM"/>
    <w:basedOn w:val="Normal"/>
    <w:rsid w:val="00D83762"/>
    <w:pPr>
      <w:tabs>
        <w:tab w:val="left" w:pos="1134"/>
      </w:tabs>
      <w:spacing w:before="120"/>
      <w:ind w:left="851"/>
    </w:pPr>
    <w:rPr>
      <w:sz w:val="20"/>
    </w:rPr>
  </w:style>
  <w:style w:type="paragraph" w:customStyle="1" w:styleId="Indent2CSM">
    <w:name w:val="Indent 2 CSM"/>
    <w:basedOn w:val="Normal"/>
    <w:rsid w:val="00D83762"/>
    <w:pPr>
      <w:ind w:left="1985"/>
    </w:pPr>
    <w:rPr>
      <w:color w:val="000000"/>
      <w:sz w:val="20"/>
    </w:rPr>
  </w:style>
  <w:style w:type="paragraph" w:customStyle="1" w:styleId="Default">
    <w:name w:val="Default"/>
    <w:rsid w:val="009904B8"/>
    <w:pPr>
      <w:autoSpaceDE w:val="0"/>
      <w:autoSpaceDN w:val="0"/>
      <w:adjustRightInd w:val="0"/>
    </w:pPr>
    <w:rPr>
      <w:rFonts w:ascii="Times New Roman" w:eastAsia="SimSun" w:hAnsi="Times New Roman"/>
      <w:color w:val="000000"/>
      <w:sz w:val="24"/>
      <w:szCs w:val="24"/>
      <w:lang w:eastAsia="zh-CN"/>
    </w:rPr>
  </w:style>
  <w:style w:type="paragraph" w:styleId="NormalWeb">
    <w:name w:val="Normal (Web)"/>
    <w:basedOn w:val="Normal"/>
    <w:uiPriority w:val="99"/>
    <w:unhideWhenUsed/>
    <w:rsid w:val="00CA7E05"/>
    <w:pPr>
      <w:spacing w:before="100" w:beforeAutospacing="1" w:after="100" w:afterAutospacing="1"/>
    </w:pPr>
    <w:rPr>
      <w:rFonts w:eastAsia="Calibri"/>
      <w:sz w:val="24"/>
      <w:szCs w:val="24"/>
      <w:lang w:eastAsia="en-AU"/>
    </w:rPr>
  </w:style>
  <w:style w:type="character" w:customStyle="1" w:styleId="FooterChar">
    <w:name w:val="Footer Char"/>
    <w:link w:val="Footer"/>
    <w:rsid w:val="001C753F"/>
    <w:rPr>
      <w:rFonts w:ascii="Arial" w:hAnsi="Arial"/>
      <w:sz w:val="16"/>
      <w:lang w:eastAsia="en-US"/>
    </w:rPr>
  </w:style>
  <w:style w:type="paragraph" w:styleId="Revision">
    <w:name w:val="Revision"/>
    <w:hidden/>
    <w:uiPriority w:val="99"/>
    <w:semiHidden/>
    <w:rsid w:val="009F718D"/>
    <w:rPr>
      <w:rFonts w:ascii="Times New Roman" w:hAnsi="Times New Roman"/>
      <w:sz w:val="23"/>
      <w:lang w:eastAsia="en-US"/>
    </w:rPr>
  </w:style>
  <w:style w:type="character" w:styleId="CommentReference">
    <w:name w:val="annotation reference"/>
    <w:basedOn w:val="DefaultParagraphFont"/>
    <w:rsid w:val="006E1521"/>
    <w:rPr>
      <w:sz w:val="16"/>
      <w:szCs w:val="16"/>
    </w:rPr>
  </w:style>
  <w:style w:type="paragraph" w:styleId="CommentText">
    <w:name w:val="annotation text"/>
    <w:basedOn w:val="Normal"/>
    <w:link w:val="CommentTextChar"/>
    <w:rsid w:val="006E1521"/>
    <w:rPr>
      <w:sz w:val="20"/>
    </w:rPr>
  </w:style>
  <w:style w:type="character" w:customStyle="1" w:styleId="CommentTextChar">
    <w:name w:val="Comment Text Char"/>
    <w:basedOn w:val="DefaultParagraphFont"/>
    <w:link w:val="CommentText"/>
    <w:rsid w:val="006E1521"/>
    <w:rPr>
      <w:rFonts w:ascii="Times New Roman" w:hAnsi="Times New Roman"/>
      <w:lang w:eastAsia="en-US"/>
    </w:rPr>
  </w:style>
  <w:style w:type="paragraph" w:styleId="CommentSubject">
    <w:name w:val="annotation subject"/>
    <w:basedOn w:val="CommentText"/>
    <w:next w:val="CommentText"/>
    <w:link w:val="CommentSubjectChar"/>
    <w:rsid w:val="006E1521"/>
    <w:rPr>
      <w:b/>
      <w:bCs/>
    </w:rPr>
  </w:style>
  <w:style w:type="character" w:customStyle="1" w:styleId="CommentSubjectChar">
    <w:name w:val="Comment Subject Char"/>
    <w:basedOn w:val="CommentTextChar"/>
    <w:link w:val="CommentSubject"/>
    <w:rsid w:val="006E1521"/>
    <w:rPr>
      <w:rFonts w:ascii="Times New Roman" w:hAnsi="Times New Roman"/>
      <w:b/>
      <w:bCs/>
      <w:lang w:eastAsia="en-US"/>
    </w:rPr>
  </w:style>
  <w:style w:type="table" w:styleId="PlainTable2">
    <w:name w:val="Plain Table 2"/>
    <w:basedOn w:val="TableNormal"/>
    <w:uiPriority w:val="42"/>
    <w:rsid w:val="004120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624">
      <w:bodyDiv w:val="1"/>
      <w:marLeft w:val="0"/>
      <w:marRight w:val="0"/>
      <w:marTop w:val="0"/>
      <w:marBottom w:val="0"/>
      <w:divBdr>
        <w:top w:val="none" w:sz="0" w:space="0" w:color="auto"/>
        <w:left w:val="none" w:sz="0" w:space="0" w:color="auto"/>
        <w:bottom w:val="none" w:sz="0" w:space="0" w:color="auto"/>
        <w:right w:val="none" w:sz="0" w:space="0" w:color="auto"/>
      </w:divBdr>
    </w:div>
    <w:div w:id="58941564">
      <w:bodyDiv w:val="1"/>
      <w:marLeft w:val="0"/>
      <w:marRight w:val="0"/>
      <w:marTop w:val="0"/>
      <w:marBottom w:val="0"/>
      <w:divBdr>
        <w:top w:val="none" w:sz="0" w:space="0" w:color="auto"/>
        <w:left w:val="none" w:sz="0" w:space="0" w:color="auto"/>
        <w:bottom w:val="none" w:sz="0" w:space="0" w:color="auto"/>
        <w:right w:val="none" w:sz="0" w:space="0" w:color="auto"/>
      </w:divBdr>
    </w:div>
    <w:div w:id="112095459">
      <w:bodyDiv w:val="1"/>
      <w:marLeft w:val="0"/>
      <w:marRight w:val="0"/>
      <w:marTop w:val="0"/>
      <w:marBottom w:val="0"/>
      <w:divBdr>
        <w:top w:val="none" w:sz="0" w:space="0" w:color="auto"/>
        <w:left w:val="none" w:sz="0" w:space="0" w:color="auto"/>
        <w:bottom w:val="none" w:sz="0" w:space="0" w:color="auto"/>
        <w:right w:val="none" w:sz="0" w:space="0" w:color="auto"/>
      </w:divBdr>
    </w:div>
    <w:div w:id="204293210">
      <w:bodyDiv w:val="1"/>
      <w:marLeft w:val="0"/>
      <w:marRight w:val="0"/>
      <w:marTop w:val="0"/>
      <w:marBottom w:val="0"/>
      <w:divBdr>
        <w:top w:val="none" w:sz="0" w:space="0" w:color="auto"/>
        <w:left w:val="none" w:sz="0" w:space="0" w:color="auto"/>
        <w:bottom w:val="none" w:sz="0" w:space="0" w:color="auto"/>
        <w:right w:val="none" w:sz="0" w:space="0" w:color="auto"/>
      </w:divBdr>
    </w:div>
    <w:div w:id="275913129">
      <w:bodyDiv w:val="1"/>
      <w:marLeft w:val="0"/>
      <w:marRight w:val="0"/>
      <w:marTop w:val="0"/>
      <w:marBottom w:val="0"/>
      <w:divBdr>
        <w:top w:val="none" w:sz="0" w:space="0" w:color="auto"/>
        <w:left w:val="none" w:sz="0" w:space="0" w:color="auto"/>
        <w:bottom w:val="none" w:sz="0" w:space="0" w:color="auto"/>
        <w:right w:val="none" w:sz="0" w:space="0" w:color="auto"/>
      </w:divBdr>
    </w:div>
    <w:div w:id="352419502">
      <w:bodyDiv w:val="1"/>
      <w:marLeft w:val="0"/>
      <w:marRight w:val="0"/>
      <w:marTop w:val="0"/>
      <w:marBottom w:val="0"/>
      <w:divBdr>
        <w:top w:val="none" w:sz="0" w:space="0" w:color="auto"/>
        <w:left w:val="none" w:sz="0" w:space="0" w:color="auto"/>
        <w:bottom w:val="none" w:sz="0" w:space="0" w:color="auto"/>
        <w:right w:val="none" w:sz="0" w:space="0" w:color="auto"/>
      </w:divBdr>
    </w:div>
    <w:div w:id="375668862">
      <w:bodyDiv w:val="1"/>
      <w:marLeft w:val="0"/>
      <w:marRight w:val="0"/>
      <w:marTop w:val="0"/>
      <w:marBottom w:val="0"/>
      <w:divBdr>
        <w:top w:val="none" w:sz="0" w:space="0" w:color="auto"/>
        <w:left w:val="none" w:sz="0" w:space="0" w:color="auto"/>
        <w:bottom w:val="none" w:sz="0" w:space="0" w:color="auto"/>
        <w:right w:val="none" w:sz="0" w:space="0" w:color="auto"/>
      </w:divBdr>
    </w:div>
    <w:div w:id="425081054">
      <w:bodyDiv w:val="1"/>
      <w:marLeft w:val="0"/>
      <w:marRight w:val="0"/>
      <w:marTop w:val="0"/>
      <w:marBottom w:val="0"/>
      <w:divBdr>
        <w:top w:val="none" w:sz="0" w:space="0" w:color="auto"/>
        <w:left w:val="none" w:sz="0" w:space="0" w:color="auto"/>
        <w:bottom w:val="none" w:sz="0" w:space="0" w:color="auto"/>
        <w:right w:val="none" w:sz="0" w:space="0" w:color="auto"/>
      </w:divBdr>
    </w:div>
    <w:div w:id="547378788">
      <w:bodyDiv w:val="1"/>
      <w:marLeft w:val="0"/>
      <w:marRight w:val="0"/>
      <w:marTop w:val="0"/>
      <w:marBottom w:val="0"/>
      <w:divBdr>
        <w:top w:val="none" w:sz="0" w:space="0" w:color="auto"/>
        <w:left w:val="none" w:sz="0" w:space="0" w:color="auto"/>
        <w:bottom w:val="none" w:sz="0" w:space="0" w:color="auto"/>
        <w:right w:val="none" w:sz="0" w:space="0" w:color="auto"/>
      </w:divBdr>
    </w:div>
    <w:div w:id="595140677">
      <w:bodyDiv w:val="1"/>
      <w:marLeft w:val="0"/>
      <w:marRight w:val="0"/>
      <w:marTop w:val="0"/>
      <w:marBottom w:val="0"/>
      <w:divBdr>
        <w:top w:val="none" w:sz="0" w:space="0" w:color="auto"/>
        <w:left w:val="none" w:sz="0" w:space="0" w:color="auto"/>
        <w:bottom w:val="none" w:sz="0" w:space="0" w:color="auto"/>
        <w:right w:val="none" w:sz="0" w:space="0" w:color="auto"/>
      </w:divBdr>
    </w:div>
    <w:div w:id="680592413">
      <w:bodyDiv w:val="1"/>
      <w:marLeft w:val="0"/>
      <w:marRight w:val="0"/>
      <w:marTop w:val="0"/>
      <w:marBottom w:val="0"/>
      <w:divBdr>
        <w:top w:val="none" w:sz="0" w:space="0" w:color="auto"/>
        <w:left w:val="none" w:sz="0" w:space="0" w:color="auto"/>
        <w:bottom w:val="none" w:sz="0" w:space="0" w:color="auto"/>
        <w:right w:val="none" w:sz="0" w:space="0" w:color="auto"/>
      </w:divBdr>
    </w:div>
    <w:div w:id="739407592">
      <w:bodyDiv w:val="1"/>
      <w:marLeft w:val="0"/>
      <w:marRight w:val="0"/>
      <w:marTop w:val="0"/>
      <w:marBottom w:val="0"/>
      <w:divBdr>
        <w:top w:val="none" w:sz="0" w:space="0" w:color="auto"/>
        <w:left w:val="none" w:sz="0" w:space="0" w:color="auto"/>
        <w:bottom w:val="none" w:sz="0" w:space="0" w:color="auto"/>
        <w:right w:val="none" w:sz="0" w:space="0" w:color="auto"/>
      </w:divBdr>
    </w:div>
    <w:div w:id="780422059">
      <w:bodyDiv w:val="1"/>
      <w:marLeft w:val="0"/>
      <w:marRight w:val="0"/>
      <w:marTop w:val="0"/>
      <w:marBottom w:val="0"/>
      <w:divBdr>
        <w:top w:val="none" w:sz="0" w:space="0" w:color="auto"/>
        <w:left w:val="none" w:sz="0" w:space="0" w:color="auto"/>
        <w:bottom w:val="none" w:sz="0" w:space="0" w:color="auto"/>
        <w:right w:val="none" w:sz="0" w:space="0" w:color="auto"/>
      </w:divBdr>
    </w:div>
    <w:div w:id="790635834">
      <w:bodyDiv w:val="1"/>
      <w:marLeft w:val="0"/>
      <w:marRight w:val="0"/>
      <w:marTop w:val="0"/>
      <w:marBottom w:val="0"/>
      <w:divBdr>
        <w:top w:val="none" w:sz="0" w:space="0" w:color="auto"/>
        <w:left w:val="none" w:sz="0" w:space="0" w:color="auto"/>
        <w:bottom w:val="none" w:sz="0" w:space="0" w:color="auto"/>
        <w:right w:val="none" w:sz="0" w:space="0" w:color="auto"/>
      </w:divBdr>
    </w:div>
    <w:div w:id="848830317">
      <w:bodyDiv w:val="1"/>
      <w:marLeft w:val="0"/>
      <w:marRight w:val="0"/>
      <w:marTop w:val="0"/>
      <w:marBottom w:val="0"/>
      <w:divBdr>
        <w:top w:val="none" w:sz="0" w:space="0" w:color="auto"/>
        <w:left w:val="none" w:sz="0" w:space="0" w:color="auto"/>
        <w:bottom w:val="none" w:sz="0" w:space="0" w:color="auto"/>
        <w:right w:val="none" w:sz="0" w:space="0" w:color="auto"/>
      </w:divBdr>
    </w:div>
    <w:div w:id="869807134">
      <w:bodyDiv w:val="1"/>
      <w:marLeft w:val="0"/>
      <w:marRight w:val="0"/>
      <w:marTop w:val="0"/>
      <w:marBottom w:val="0"/>
      <w:divBdr>
        <w:top w:val="none" w:sz="0" w:space="0" w:color="auto"/>
        <w:left w:val="none" w:sz="0" w:space="0" w:color="auto"/>
        <w:bottom w:val="none" w:sz="0" w:space="0" w:color="auto"/>
        <w:right w:val="none" w:sz="0" w:space="0" w:color="auto"/>
      </w:divBdr>
    </w:div>
    <w:div w:id="940454699">
      <w:bodyDiv w:val="1"/>
      <w:marLeft w:val="0"/>
      <w:marRight w:val="0"/>
      <w:marTop w:val="0"/>
      <w:marBottom w:val="0"/>
      <w:divBdr>
        <w:top w:val="none" w:sz="0" w:space="0" w:color="auto"/>
        <w:left w:val="none" w:sz="0" w:space="0" w:color="auto"/>
        <w:bottom w:val="none" w:sz="0" w:space="0" w:color="auto"/>
        <w:right w:val="none" w:sz="0" w:space="0" w:color="auto"/>
      </w:divBdr>
    </w:div>
    <w:div w:id="1062755957">
      <w:bodyDiv w:val="1"/>
      <w:marLeft w:val="0"/>
      <w:marRight w:val="0"/>
      <w:marTop w:val="0"/>
      <w:marBottom w:val="0"/>
      <w:divBdr>
        <w:top w:val="none" w:sz="0" w:space="0" w:color="auto"/>
        <w:left w:val="none" w:sz="0" w:space="0" w:color="auto"/>
        <w:bottom w:val="none" w:sz="0" w:space="0" w:color="auto"/>
        <w:right w:val="none" w:sz="0" w:space="0" w:color="auto"/>
      </w:divBdr>
    </w:div>
    <w:div w:id="1066688058">
      <w:bodyDiv w:val="1"/>
      <w:marLeft w:val="0"/>
      <w:marRight w:val="0"/>
      <w:marTop w:val="0"/>
      <w:marBottom w:val="0"/>
      <w:divBdr>
        <w:top w:val="none" w:sz="0" w:space="0" w:color="auto"/>
        <w:left w:val="none" w:sz="0" w:space="0" w:color="auto"/>
        <w:bottom w:val="none" w:sz="0" w:space="0" w:color="auto"/>
        <w:right w:val="none" w:sz="0" w:space="0" w:color="auto"/>
      </w:divBdr>
    </w:div>
    <w:div w:id="1080178583">
      <w:bodyDiv w:val="1"/>
      <w:marLeft w:val="0"/>
      <w:marRight w:val="0"/>
      <w:marTop w:val="0"/>
      <w:marBottom w:val="0"/>
      <w:divBdr>
        <w:top w:val="none" w:sz="0" w:space="0" w:color="auto"/>
        <w:left w:val="none" w:sz="0" w:space="0" w:color="auto"/>
        <w:bottom w:val="none" w:sz="0" w:space="0" w:color="auto"/>
        <w:right w:val="none" w:sz="0" w:space="0" w:color="auto"/>
      </w:divBdr>
    </w:div>
    <w:div w:id="1225604697">
      <w:bodyDiv w:val="1"/>
      <w:marLeft w:val="0"/>
      <w:marRight w:val="0"/>
      <w:marTop w:val="0"/>
      <w:marBottom w:val="0"/>
      <w:divBdr>
        <w:top w:val="none" w:sz="0" w:space="0" w:color="auto"/>
        <w:left w:val="none" w:sz="0" w:space="0" w:color="auto"/>
        <w:bottom w:val="none" w:sz="0" w:space="0" w:color="auto"/>
        <w:right w:val="none" w:sz="0" w:space="0" w:color="auto"/>
      </w:divBdr>
    </w:div>
    <w:div w:id="1234047753">
      <w:bodyDiv w:val="1"/>
      <w:marLeft w:val="0"/>
      <w:marRight w:val="0"/>
      <w:marTop w:val="0"/>
      <w:marBottom w:val="0"/>
      <w:divBdr>
        <w:top w:val="none" w:sz="0" w:space="0" w:color="auto"/>
        <w:left w:val="none" w:sz="0" w:space="0" w:color="auto"/>
        <w:bottom w:val="none" w:sz="0" w:space="0" w:color="auto"/>
        <w:right w:val="none" w:sz="0" w:space="0" w:color="auto"/>
      </w:divBdr>
    </w:div>
    <w:div w:id="1304698018">
      <w:bodyDiv w:val="1"/>
      <w:marLeft w:val="0"/>
      <w:marRight w:val="0"/>
      <w:marTop w:val="0"/>
      <w:marBottom w:val="0"/>
      <w:divBdr>
        <w:top w:val="none" w:sz="0" w:space="0" w:color="auto"/>
        <w:left w:val="none" w:sz="0" w:space="0" w:color="auto"/>
        <w:bottom w:val="none" w:sz="0" w:space="0" w:color="auto"/>
        <w:right w:val="none" w:sz="0" w:space="0" w:color="auto"/>
      </w:divBdr>
    </w:div>
    <w:div w:id="1366714301">
      <w:bodyDiv w:val="1"/>
      <w:marLeft w:val="0"/>
      <w:marRight w:val="0"/>
      <w:marTop w:val="0"/>
      <w:marBottom w:val="0"/>
      <w:divBdr>
        <w:top w:val="none" w:sz="0" w:space="0" w:color="auto"/>
        <w:left w:val="none" w:sz="0" w:space="0" w:color="auto"/>
        <w:bottom w:val="none" w:sz="0" w:space="0" w:color="auto"/>
        <w:right w:val="none" w:sz="0" w:space="0" w:color="auto"/>
      </w:divBdr>
    </w:div>
    <w:div w:id="1399327855">
      <w:bodyDiv w:val="1"/>
      <w:marLeft w:val="0"/>
      <w:marRight w:val="0"/>
      <w:marTop w:val="0"/>
      <w:marBottom w:val="0"/>
      <w:divBdr>
        <w:top w:val="none" w:sz="0" w:space="0" w:color="auto"/>
        <w:left w:val="none" w:sz="0" w:space="0" w:color="auto"/>
        <w:bottom w:val="none" w:sz="0" w:space="0" w:color="auto"/>
        <w:right w:val="none" w:sz="0" w:space="0" w:color="auto"/>
      </w:divBdr>
    </w:div>
    <w:div w:id="1596478808">
      <w:bodyDiv w:val="1"/>
      <w:marLeft w:val="0"/>
      <w:marRight w:val="0"/>
      <w:marTop w:val="0"/>
      <w:marBottom w:val="0"/>
      <w:divBdr>
        <w:top w:val="none" w:sz="0" w:space="0" w:color="auto"/>
        <w:left w:val="none" w:sz="0" w:space="0" w:color="auto"/>
        <w:bottom w:val="none" w:sz="0" w:space="0" w:color="auto"/>
        <w:right w:val="none" w:sz="0" w:space="0" w:color="auto"/>
      </w:divBdr>
    </w:div>
    <w:div w:id="1629166456">
      <w:bodyDiv w:val="1"/>
      <w:marLeft w:val="0"/>
      <w:marRight w:val="0"/>
      <w:marTop w:val="0"/>
      <w:marBottom w:val="0"/>
      <w:divBdr>
        <w:top w:val="none" w:sz="0" w:space="0" w:color="auto"/>
        <w:left w:val="none" w:sz="0" w:space="0" w:color="auto"/>
        <w:bottom w:val="none" w:sz="0" w:space="0" w:color="auto"/>
        <w:right w:val="none" w:sz="0" w:space="0" w:color="auto"/>
      </w:divBdr>
    </w:div>
    <w:div w:id="1760562144">
      <w:bodyDiv w:val="1"/>
      <w:marLeft w:val="0"/>
      <w:marRight w:val="0"/>
      <w:marTop w:val="0"/>
      <w:marBottom w:val="0"/>
      <w:divBdr>
        <w:top w:val="none" w:sz="0" w:space="0" w:color="auto"/>
        <w:left w:val="none" w:sz="0" w:space="0" w:color="auto"/>
        <w:bottom w:val="none" w:sz="0" w:space="0" w:color="auto"/>
        <w:right w:val="none" w:sz="0" w:space="0" w:color="auto"/>
      </w:divBdr>
    </w:div>
    <w:div w:id="1795712843">
      <w:bodyDiv w:val="1"/>
      <w:marLeft w:val="0"/>
      <w:marRight w:val="0"/>
      <w:marTop w:val="0"/>
      <w:marBottom w:val="0"/>
      <w:divBdr>
        <w:top w:val="none" w:sz="0" w:space="0" w:color="auto"/>
        <w:left w:val="none" w:sz="0" w:space="0" w:color="auto"/>
        <w:bottom w:val="none" w:sz="0" w:space="0" w:color="auto"/>
        <w:right w:val="none" w:sz="0" w:space="0" w:color="auto"/>
      </w:divBdr>
    </w:div>
    <w:div w:id="1817141768">
      <w:bodyDiv w:val="1"/>
      <w:marLeft w:val="0"/>
      <w:marRight w:val="0"/>
      <w:marTop w:val="0"/>
      <w:marBottom w:val="0"/>
      <w:divBdr>
        <w:top w:val="none" w:sz="0" w:space="0" w:color="auto"/>
        <w:left w:val="none" w:sz="0" w:space="0" w:color="auto"/>
        <w:bottom w:val="none" w:sz="0" w:space="0" w:color="auto"/>
        <w:right w:val="none" w:sz="0" w:space="0" w:color="auto"/>
      </w:divBdr>
    </w:div>
    <w:div w:id="1824740870">
      <w:bodyDiv w:val="1"/>
      <w:marLeft w:val="0"/>
      <w:marRight w:val="0"/>
      <w:marTop w:val="0"/>
      <w:marBottom w:val="0"/>
      <w:divBdr>
        <w:top w:val="none" w:sz="0" w:space="0" w:color="auto"/>
        <w:left w:val="none" w:sz="0" w:space="0" w:color="auto"/>
        <w:bottom w:val="none" w:sz="0" w:space="0" w:color="auto"/>
        <w:right w:val="none" w:sz="0" w:space="0" w:color="auto"/>
      </w:divBdr>
    </w:div>
    <w:div w:id="1907374831">
      <w:bodyDiv w:val="1"/>
      <w:marLeft w:val="0"/>
      <w:marRight w:val="0"/>
      <w:marTop w:val="0"/>
      <w:marBottom w:val="0"/>
      <w:divBdr>
        <w:top w:val="none" w:sz="0" w:space="0" w:color="auto"/>
        <w:left w:val="none" w:sz="0" w:space="0" w:color="auto"/>
        <w:bottom w:val="none" w:sz="0" w:space="0" w:color="auto"/>
        <w:right w:val="none" w:sz="0" w:space="0" w:color="auto"/>
      </w:divBdr>
    </w:div>
    <w:div w:id="1951618855">
      <w:bodyDiv w:val="1"/>
      <w:marLeft w:val="0"/>
      <w:marRight w:val="0"/>
      <w:marTop w:val="0"/>
      <w:marBottom w:val="0"/>
      <w:divBdr>
        <w:top w:val="none" w:sz="0" w:space="0" w:color="auto"/>
        <w:left w:val="none" w:sz="0" w:space="0" w:color="auto"/>
        <w:bottom w:val="none" w:sz="0" w:space="0" w:color="auto"/>
        <w:right w:val="none" w:sz="0" w:space="0" w:color="auto"/>
      </w:divBdr>
    </w:div>
    <w:div w:id="1986618714">
      <w:bodyDiv w:val="1"/>
      <w:marLeft w:val="0"/>
      <w:marRight w:val="0"/>
      <w:marTop w:val="0"/>
      <w:marBottom w:val="0"/>
      <w:divBdr>
        <w:top w:val="none" w:sz="0" w:space="0" w:color="auto"/>
        <w:left w:val="none" w:sz="0" w:space="0" w:color="auto"/>
        <w:bottom w:val="none" w:sz="0" w:space="0" w:color="auto"/>
        <w:right w:val="none" w:sz="0" w:space="0" w:color="auto"/>
      </w:divBdr>
    </w:div>
    <w:div w:id="2058779419">
      <w:bodyDiv w:val="1"/>
      <w:marLeft w:val="0"/>
      <w:marRight w:val="0"/>
      <w:marTop w:val="0"/>
      <w:marBottom w:val="0"/>
      <w:divBdr>
        <w:top w:val="none" w:sz="0" w:space="0" w:color="auto"/>
        <w:left w:val="none" w:sz="0" w:space="0" w:color="auto"/>
        <w:bottom w:val="none" w:sz="0" w:space="0" w:color="auto"/>
        <w:right w:val="none" w:sz="0" w:space="0" w:color="auto"/>
      </w:divBdr>
    </w:div>
    <w:div w:id="2097969042">
      <w:bodyDiv w:val="1"/>
      <w:marLeft w:val="0"/>
      <w:marRight w:val="0"/>
      <w:marTop w:val="0"/>
      <w:marBottom w:val="0"/>
      <w:divBdr>
        <w:top w:val="none" w:sz="0" w:space="0" w:color="auto"/>
        <w:left w:val="none" w:sz="0" w:space="0" w:color="auto"/>
        <w:bottom w:val="none" w:sz="0" w:space="0" w:color="auto"/>
        <w:right w:val="none" w:sz="0" w:space="0" w:color="auto"/>
      </w:divBdr>
    </w:div>
    <w:div w:id="2109421803">
      <w:bodyDiv w:val="1"/>
      <w:marLeft w:val="0"/>
      <w:marRight w:val="0"/>
      <w:marTop w:val="0"/>
      <w:marBottom w:val="0"/>
      <w:divBdr>
        <w:top w:val="none" w:sz="0" w:space="0" w:color="auto"/>
        <w:left w:val="none" w:sz="0" w:space="0" w:color="auto"/>
        <w:bottom w:val="none" w:sz="0" w:space="0" w:color="auto"/>
        <w:right w:val="none" w:sz="0" w:space="0" w:color="auto"/>
      </w:divBdr>
    </w:div>
    <w:div w:id="211289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bus_government.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_government.htm" TargetMode="External"/><Relationship Id="rId25" Type="http://schemas.openxmlformats.org/officeDocument/2006/relationships/hyperlink" Target="http://www.telstra.com.au/csg/teleserv.htm" TargetMode="Externa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telstra.com.au/customerterms/bus_government.htm"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60e18-b0eb-4480-9a3d-a706d13d01c2" xsi:nil="true"/>
    <lcf76f155ced4ddcb4097134ff3c332f xmlns="2fb30381-0118-4d8a-a267-108b895caa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FB5428FFFA2C40A82D4CFF6B6E22C5" ma:contentTypeVersion="14" ma:contentTypeDescription="Create a new document." ma:contentTypeScope="" ma:versionID="3b3409bb91d5eeb0e6ca2fb766493682">
  <xsd:schema xmlns:xsd="http://www.w3.org/2001/XMLSchema" xmlns:xs="http://www.w3.org/2001/XMLSchema" xmlns:p="http://schemas.microsoft.com/office/2006/metadata/properties" xmlns:ns2="2fb30381-0118-4d8a-a267-108b895caa88" xmlns:ns3="ce660e18-b0eb-4480-9a3d-a706d13d01c2" targetNamespace="http://schemas.microsoft.com/office/2006/metadata/properties" ma:root="true" ma:fieldsID="35861ebfd4b4e2716b1fdc53f4f4c955" ns2:_="" ns3:_="">
    <xsd:import namespace="2fb30381-0118-4d8a-a267-108b895caa88"/>
    <xsd:import namespace="ce660e18-b0eb-4480-9a3d-a706d13d0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30381-0118-4d8a-a267-108b895ca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660e18-b0eb-4480-9a3d-a706d13d01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10d8fd-2089-4263-93b3-4c929328aba2}" ma:internalName="TaxCatchAll" ma:showField="CatchAllData" ma:web="ce660e18-b0eb-4480-9a3d-a706d13d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945EA-D86D-4D7B-AEC2-61BA4154AA39}">
  <ds:schemaRefs>
    <ds:schemaRef ds:uri="http://schemas.openxmlformats.org/officeDocument/2006/bibliography"/>
  </ds:schemaRefs>
</ds:datastoreItem>
</file>

<file path=customXml/itemProps2.xml><?xml version="1.0" encoding="utf-8"?>
<ds:datastoreItem xmlns:ds="http://schemas.openxmlformats.org/officeDocument/2006/customXml" ds:itemID="{36083247-9DB2-456A-A879-3E35BE17B0F7}">
  <ds:schemaRefs>
    <ds:schemaRef ds:uri="http://schemas.microsoft.com/sharepoint/v3/contenttype/forms"/>
  </ds:schemaRefs>
</ds:datastoreItem>
</file>

<file path=customXml/itemProps3.xml><?xml version="1.0" encoding="utf-8"?>
<ds:datastoreItem xmlns:ds="http://schemas.openxmlformats.org/officeDocument/2006/customXml" ds:itemID="{E3F9F46F-8DE1-4147-9630-E340C9D53D6D}">
  <ds:schemaRefs>
    <ds:schemaRef ds:uri="2fb30381-0118-4d8a-a267-108b895caa88"/>
    <ds:schemaRef ds:uri="http://schemas.microsoft.com/office/2006/metadata/properties"/>
    <ds:schemaRef ds:uri="http://purl.org/dc/terms/"/>
    <ds:schemaRef ds:uri="http://schemas.microsoft.com/office/infopath/2007/PartnerControls"/>
    <ds:schemaRef ds:uri="ce660e18-b0eb-4480-9a3d-a706d13d01c2"/>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3A13519B-346B-4223-B9D6-24E99CCB8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30381-0118-4d8a-a267-108b895caa88"/>
    <ds:schemaRef ds:uri="ce660e18-b0eb-4480-9a3d-a706d13d0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12</TotalTime>
  <Pages>24</Pages>
  <Words>6766</Words>
  <Characters>35746</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42428</CharactersWithSpaces>
  <SharedDoc>false</SharedDoc>
  <HyperlinkBase/>
  <HLinks>
    <vt:vector size="144" baseType="variant">
      <vt:variant>
        <vt:i4>2883689</vt:i4>
      </vt:variant>
      <vt:variant>
        <vt:i4>255</vt:i4>
      </vt:variant>
      <vt:variant>
        <vt:i4>0</vt:i4>
      </vt:variant>
      <vt:variant>
        <vt:i4>5</vt:i4>
      </vt:variant>
      <vt:variant>
        <vt:lpwstr>http://www.telstra.com.au/csg/teleserv.htm</vt:lpwstr>
      </vt:variant>
      <vt:variant>
        <vt:lpwstr/>
      </vt:variant>
      <vt:variant>
        <vt:i4>327786</vt:i4>
      </vt:variant>
      <vt:variant>
        <vt:i4>252</vt:i4>
      </vt:variant>
      <vt:variant>
        <vt:i4>0</vt:i4>
      </vt:variant>
      <vt:variant>
        <vt:i4>5</vt:i4>
      </vt:variant>
      <vt:variant>
        <vt:lpwstr>http://www.telstra.com.au/customerterms/bus_government.htm</vt:lpwstr>
      </vt:variant>
      <vt:variant>
        <vt:lpwstr/>
      </vt:variant>
      <vt:variant>
        <vt:i4>327786</vt:i4>
      </vt:variant>
      <vt:variant>
        <vt:i4>120</vt:i4>
      </vt:variant>
      <vt:variant>
        <vt:i4>0</vt:i4>
      </vt:variant>
      <vt:variant>
        <vt:i4>5</vt:i4>
      </vt:variant>
      <vt:variant>
        <vt:lpwstr>http://www.telstra.com.au/customerterms/bus_government.htm</vt:lpwstr>
      </vt:variant>
      <vt:variant>
        <vt:lpwstr/>
      </vt:variant>
      <vt:variant>
        <vt:i4>327786</vt:i4>
      </vt:variant>
      <vt:variant>
        <vt:i4>117</vt:i4>
      </vt:variant>
      <vt:variant>
        <vt:i4>0</vt:i4>
      </vt:variant>
      <vt:variant>
        <vt:i4>5</vt:i4>
      </vt:variant>
      <vt:variant>
        <vt:lpwstr>http://www.telstra.com.au/customerterms/bus_government.htm</vt:lpwstr>
      </vt:variant>
      <vt:variant>
        <vt:lpwstr/>
      </vt:variant>
      <vt:variant>
        <vt:i4>327786</vt:i4>
      </vt:variant>
      <vt:variant>
        <vt:i4>114</vt:i4>
      </vt:variant>
      <vt:variant>
        <vt:i4>0</vt:i4>
      </vt:variant>
      <vt:variant>
        <vt:i4>5</vt:i4>
      </vt:variant>
      <vt:variant>
        <vt:lpwstr>http://www.telstra.com.au/customerterms/bus_government.htm</vt:lpwstr>
      </vt:variant>
      <vt:variant>
        <vt:lpwstr/>
      </vt:variant>
      <vt:variant>
        <vt:i4>327786</vt:i4>
      </vt:variant>
      <vt:variant>
        <vt:i4>111</vt:i4>
      </vt:variant>
      <vt:variant>
        <vt:i4>0</vt:i4>
      </vt:variant>
      <vt:variant>
        <vt:i4>5</vt:i4>
      </vt:variant>
      <vt:variant>
        <vt:lpwstr>http://www.telstra.com.au/customerterms/bus_government.htm</vt:lpwstr>
      </vt:variant>
      <vt:variant>
        <vt:lpwstr/>
      </vt:variant>
      <vt:variant>
        <vt:i4>1441844</vt:i4>
      </vt:variant>
      <vt:variant>
        <vt:i4>104</vt:i4>
      </vt:variant>
      <vt:variant>
        <vt:i4>0</vt:i4>
      </vt:variant>
      <vt:variant>
        <vt:i4>5</vt:i4>
      </vt:variant>
      <vt:variant>
        <vt:lpwstr/>
      </vt:variant>
      <vt:variant>
        <vt:lpwstr>_Toc450140451</vt:lpwstr>
      </vt:variant>
      <vt:variant>
        <vt:i4>1441844</vt:i4>
      </vt:variant>
      <vt:variant>
        <vt:i4>98</vt:i4>
      </vt:variant>
      <vt:variant>
        <vt:i4>0</vt:i4>
      </vt:variant>
      <vt:variant>
        <vt:i4>5</vt:i4>
      </vt:variant>
      <vt:variant>
        <vt:lpwstr/>
      </vt:variant>
      <vt:variant>
        <vt:lpwstr>_Toc450140450</vt:lpwstr>
      </vt:variant>
      <vt:variant>
        <vt:i4>1507380</vt:i4>
      </vt:variant>
      <vt:variant>
        <vt:i4>92</vt:i4>
      </vt:variant>
      <vt:variant>
        <vt:i4>0</vt:i4>
      </vt:variant>
      <vt:variant>
        <vt:i4>5</vt:i4>
      </vt:variant>
      <vt:variant>
        <vt:lpwstr/>
      </vt:variant>
      <vt:variant>
        <vt:lpwstr>_Toc450140449</vt:lpwstr>
      </vt:variant>
      <vt:variant>
        <vt:i4>1507380</vt:i4>
      </vt:variant>
      <vt:variant>
        <vt:i4>86</vt:i4>
      </vt:variant>
      <vt:variant>
        <vt:i4>0</vt:i4>
      </vt:variant>
      <vt:variant>
        <vt:i4>5</vt:i4>
      </vt:variant>
      <vt:variant>
        <vt:lpwstr/>
      </vt:variant>
      <vt:variant>
        <vt:lpwstr>_Toc450140448</vt:lpwstr>
      </vt:variant>
      <vt:variant>
        <vt:i4>1507380</vt:i4>
      </vt:variant>
      <vt:variant>
        <vt:i4>80</vt:i4>
      </vt:variant>
      <vt:variant>
        <vt:i4>0</vt:i4>
      </vt:variant>
      <vt:variant>
        <vt:i4>5</vt:i4>
      </vt:variant>
      <vt:variant>
        <vt:lpwstr/>
      </vt:variant>
      <vt:variant>
        <vt:lpwstr>_Toc450140447</vt:lpwstr>
      </vt:variant>
      <vt:variant>
        <vt:i4>1507380</vt:i4>
      </vt:variant>
      <vt:variant>
        <vt:i4>74</vt:i4>
      </vt:variant>
      <vt:variant>
        <vt:i4>0</vt:i4>
      </vt:variant>
      <vt:variant>
        <vt:i4>5</vt:i4>
      </vt:variant>
      <vt:variant>
        <vt:lpwstr/>
      </vt:variant>
      <vt:variant>
        <vt:lpwstr>_Toc450140446</vt:lpwstr>
      </vt:variant>
      <vt:variant>
        <vt:i4>1507380</vt:i4>
      </vt:variant>
      <vt:variant>
        <vt:i4>68</vt:i4>
      </vt:variant>
      <vt:variant>
        <vt:i4>0</vt:i4>
      </vt:variant>
      <vt:variant>
        <vt:i4>5</vt:i4>
      </vt:variant>
      <vt:variant>
        <vt:lpwstr/>
      </vt:variant>
      <vt:variant>
        <vt:lpwstr>_Toc450140445</vt:lpwstr>
      </vt:variant>
      <vt:variant>
        <vt:i4>1507380</vt:i4>
      </vt:variant>
      <vt:variant>
        <vt:i4>62</vt:i4>
      </vt:variant>
      <vt:variant>
        <vt:i4>0</vt:i4>
      </vt:variant>
      <vt:variant>
        <vt:i4>5</vt:i4>
      </vt:variant>
      <vt:variant>
        <vt:lpwstr/>
      </vt:variant>
      <vt:variant>
        <vt:lpwstr>_Toc450140444</vt:lpwstr>
      </vt:variant>
      <vt:variant>
        <vt:i4>1507380</vt:i4>
      </vt:variant>
      <vt:variant>
        <vt:i4>56</vt:i4>
      </vt:variant>
      <vt:variant>
        <vt:i4>0</vt:i4>
      </vt:variant>
      <vt:variant>
        <vt:i4>5</vt:i4>
      </vt:variant>
      <vt:variant>
        <vt:lpwstr/>
      </vt:variant>
      <vt:variant>
        <vt:lpwstr>_Toc450140443</vt:lpwstr>
      </vt:variant>
      <vt:variant>
        <vt:i4>1507380</vt:i4>
      </vt:variant>
      <vt:variant>
        <vt:i4>50</vt:i4>
      </vt:variant>
      <vt:variant>
        <vt:i4>0</vt:i4>
      </vt:variant>
      <vt:variant>
        <vt:i4>5</vt:i4>
      </vt:variant>
      <vt:variant>
        <vt:lpwstr/>
      </vt:variant>
      <vt:variant>
        <vt:lpwstr>_Toc450140442</vt:lpwstr>
      </vt:variant>
      <vt:variant>
        <vt:i4>1507380</vt:i4>
      </vt:variant>
      <vt:variant>
        <vt:i4>44</vt:i4>
      </vt:variant>
      <vt:variant>
        <vt:i4>0</vt:i4>
      </vt:variant>
      <vt:variant>
        <vt:i4>5</vt:i4>
      </vt:variant>
      <vt:variant>
        <vt:lpwstr/>
      </vt:variant>
      <vt:variant>
        <vt:lpwstr>_Toc450140441</vt:lpwstr>
      </vt:variant>
      <vt:variant>
        <vt:i4>1507380</vt:i4>
      </vt:variant>
      <vt:variant>
        <vt:i4>38</vt:i4>
      </vt:variant>
      <vt:variant>
        <vt:i4>0</vt:i4>
      </vt:variant>
      <vt:variant>
        <vt:i4>5</vt:i4>
      </vt:variant>
      <vt:variant>
        <vt:lpwstr/>
      </vt:variant>
      <vt:variant>
        <vt:lpwstr>_Toc450140440</vt:lpwstr>
      </vt:variant>
      <vt:variant>
        <vt:i4>1048628</vt:i4>
      </vt:variant>
      <vt:variant>
        <vt:i4>32</vt:i4>
      </vt:variant>
      <vt:variant>
        <vt:i4>0</vt:i4>
      </vt:variant>
      <vt:variant>
        <vt:i4>5</vt:i4>
      </vt:variant>
      <vt:variant>
        <vt:lpwstr/>
      </vt:variant>
      <vt:variant>
        <vt:lpwstr>_Toc450140439</vt:lpwstr>
      </vt:variant>
      <vt:variant>
        <vt:i4>1048628</vt:i4>
      </vt:variant>
      <vt:variant>
        <vt:i4>26</vt:i4>
      </vt:variant>
      <vt:variant>
        <vt:i4>0</vt:i4>
      </vt:variant>
      <vt:variant>
        <vt:i4>5</vt:i4>
      </vt:variant>
      <vt:variant>
        <vt:lpwstr/>
      </vt:variant>
      <vt:variant>
        <vt:lpwstr>_Toc450140438</vt:lpwstr>
      </vt:variant>
      <vt:variant>
        <vt:i4>1048628</vt:i4>
      </vt:variant>
      <vt:variant>
        <vt:i4>20</vt:i4>
      </vt:variant>
      <vt:variant>
        <vt:i4>0</vt:i4>
      </vt:variant>
      <vt:variant>
        <vt:i4>5</vt:i4>
      </vt:variant>
      <vt:variant>
        <vt:lpwstr/>
      </vt:variant>
      <vt:variant>
        <vt:lpwstr>_Toc450140437</vt:lpwstr>
      </vt:variant>
      <vt:variant>
        <vt:i4>1048628</vt:i4>
      </vt:variant>
      <vt:variant>
        <vt:i4>14</vt:i4>
      </vt:variant>
      <vt:variant>
        <vt:i4>0</vt:i4>
      </vt:variant>
      <vt:variant>
        <vt:i4>5</vt:i4>
      </vt:variant>
      <vt:variant>
        <vt:lpwstr/>
      </vt:variant>
      <vt:variant>
        <vt:lpwstr>_Toc450140436</vt:lpwstr>
      </vt:variant>
      <vt:variant>
        <vt:i4>1048628</vt:i4>
      </vt:variant>
      <vt:variant>
        <vt:i4>8</vt:i4>
      </vt:variant>
      <vt:variant>
        <vt:i4>0</vt:i4>
      </vt:variant>
      <vt:variant>
        <vt:i4>5</vt:i4>
      </vt:variant>
      <vt:variant>
        <vt:lpwstr/>
      </vt:variant>
      <vt:variant>
        <vt:lpwstr>_Toc450140435</vt:lpwstr>
      </vt:variant>
      <vt:variant>
        <vt:i4>1048628</vt:i4>
      </vt:variant>
      <vt:variant>
        <vt:i4>2</vt:i4>
      </vt:variant>
      <vt:variant>
        <vt:i4>0</vt:i4>
      </vt:variant>
      <vt:variant>
        <vt:i4>5</vt:i4>
      </vt:variant>
      <vt:variant>
        <vt:lpwstr/>
      </vt:variant>
      <vt:variant>
        <vt:lpwstr>_Toc450140434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Standard Restoration, SLA Premium, and Telstra Provisioning Commitment section</dc:title>
  <dc:subject/>
  <dc:creator>Telstra Limited</dc:creator>
  <cp:keywords>"Our Customer Terms, Standard, Restoration, SLA Premium, and Telstra, Provisioning, Commitment, section, OCT"</cp:keywords>
  <dc:description>Firstpage + Cover only - Recitals and Schedule, Execution and Cover pages in AutoText files</dc:description>
  <cp:lastModifiedBy>Tim Oleary</cp:lastModifiedBy>
  <cp:revision>12</cp:revision>
  <cp:lastPrinted>2025-09-12T03:40:00Z</cp:lastPrinted>
  <dcterms:created xsi:type="dcterms:W3CDTF">2025-09-12T00:59:00Z</dcterms:created>
  <dcterms:modified xsi:type="dcterms:W3CDTF">2025-09-18T03:13:00Z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Standard Restoration and SLA Premium section</vt:lpwstr>
  </property>
  <property fmtid="{D5CDD505-2E9C-101B-9397-08002B2CF9AE}" pid="3" name="PCDocsNo">
    <vt:lpwstr>39326171v2</vt:lpwstr>
  </property>
  <property fmtid="{D5CDD505-2E9C-101B-9397-08002B2CF9AE}" pid="4" name="ContentTypeId">
    <vt:lpwstr>0x010100BBFB5428FFFA2C40A82D4CFF6B6E22C5</vt:lpwstr>
  </property>
  <property fmtid="{D5CDD505-2E9C-101B-9397-08002B2CF9AE}" pid="5" name="ClassificationContentMarkingFooterShapeIds">
    <vt:lpwstr>31377cd1,781ae6e6,1d23d4a7</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ies>
</file>